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2026-06-10</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 </w:t>
      </w:r>
      <w:r>
        <w:t xml:space="preserve">and</w:t>
      </w:r>
      <w:r>
        <w:t xml:space="preserve"> </w:t>
      </w:r>
      <w:r>
        <w:t xml:space="preserve">‘OpenSesame’</w:t>
      </w:r>
      <w:r>
        <w:t xml:space="preserve"> </w:t>
      </w:r>
      <w:r>
        <w:t xml:space="preserve">experiment scripts whose hardware</w:t>
      </w:r>
      <w:r>
        <w:t xml:space="preserve"> </w:t>
      </w:r>
      <w:r>
        <w:t xml:space="preserve">triggers for electroencephalography are time-locked to stimulus onset in both</w:t>
      </w:r>
      <w:r>
        <w:t xml:space="preserve"> </w:t>
      </w:r>
      <w:r>
        <w:t xml:space="preserve">targets. The matching is deterministic, so the two engines select identical</w:t>
      </w:r>
      <w:r>
        <w:t xml:space="preserve"> </w:t>
      </w:r>
      <w:r>
        <w:t xml:space="preserve">matched stimuli; we</w:t>
      </w:r>
      <w:r>
        <w:t xml:space="preserve"> </w:t>
      </w:r>
      <w:r>
        <w:t xml:space="preserve">demonstrate</w:t>
      </w:r>
      <w:r>
        <w:t xml:space="preserve"> </w:t>
      </w:r>
      <w:r>
        <w:t xml:space="preserve">this on five worked examples in English, Spanish and Mandarin Chinese, the last</w:t>
      </w:r>
      <w:r>
        <w:t xml:space="preserve"> </w:t>
      </w:r>
      <w:r>
        <w:t xml:space="preserve">of which shows that the workflow extends to a logographic writing system.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word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matched stimuli.</w:t>
      </w:r>
      <w:r>
        <w:t xml:space="preserve"> </w:t>
      </w:r>
      <w:r>
        <w:t xml:space="preserve">‘lexsync’</w:t>
      </w:r>
      <w:r>
        <w:t xml:space="preserve"> </w:t>
      </w:r>
      <w:r>
        <w:t xml:space="preserve">generalises the materials workflow of</w:t>
      </w:r>
      <w:r>
        <w:t xml:space="preserve"> </w:t>
      </w:r>
      <w:r>
        <w:t xml:space="preserve">González Alonso et al. (2025)</w:t>
      </w:r>
      <w:r>
        <w:t xml:space="preserve"> </w:t>
      </w:r>
      <w:r>
        <w:t xml:space="preserve">into a</w:t>
      </w:r>
      <w:r>
        <w:t xml:space="preserve"> </w:t>
      </w:r>
      <w:r>
        <w:t xml:space="preserve">reusable, FAIR-compliant tool.</w:t>
      </w:r>
    </w:p>
    <w:bookmarkEnd w:id="9"/>
    <w:bookmarkStart w:id="16"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and</w:t>
      </w:r>
      <w:r>
        <w:t xml:space="preserve"> </w:t>
      </w:r>
      <w:r>
        <w:t xml:space="preserve">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w:t>
      </w:r>
      <w:r>
        <w:t xml:space="preserve"> </w:t>
      </w:r>
      <w:r>
        <w:t xml:space="preserve">orchestrator,</w:t>
      </w:r>
      <w:r>
        <w:t xml:space="preserve"> </w:t>
      </w:r>
      <w:r>
        <w:rPr>
          <w:rStyle w:val="VerbatimChar"/>
        </w:rPr>
        <w:t xml:space="preserve">run_pipeline</w:t>
      </w:r>
      <w:r>
        <w:t xml:space="preserve">, drives them in an explicit loop over designs and</w:t>
      </w:r>
      <w:r>
        <w:t xml:space="preserve"> </w:t>
      </w:r>
      <w:r>
        <w:t xml:space="preserve">languages, so that adding a language or a design is a matter of supplying a</w:t>
      </w:r>
      <w:r>
        <w:t xml:space="preserve"> </w:t>
      </w:r>
      <w:r>
        <w:t xml:space="preserve">configuration file and a lexicon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 among them SUBTLEX-CH for Chinese</w:t>
      </w:r>
      <w:r>
        <w:t xml:space="preserve"> </w:t>
      </w:r>
      <w:r>
        <w:t xml:space="preserve">(Cai &amp; Brysbaert, 2010)</w:t>
      </w:r>
      <w:r>
        <w:t xml:space="preserve"> </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 as orthographic neighbourhood density is with word length and</w:t>
      </w:r>
      <w:r>
        <w:t xml:space="preserve"> </w:t>
      </w:r>
      <w:r>
        <w:t xml:space="preserve">frequency —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 and hence</w:t>
      </w:r>
      <w:r>
        <w:t xml:space="preserve"> </w:t>
      </w:r>
      <w:r>
        <w:t xml:space="preserve">the dependence on the number of items —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right after the verified</w:t>
      </w:r>
      <w:r>
        <w:t xml:space="preserve"> </w:t>
      </w:r>
      <w:r>
        <w:t xml:space="preserve">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5"/>
    <w:bookmarkEnd w:id="16"/>
    <w:bookmarkStart w:id="28"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five demonstrations. Four are alphabetic: a high-</w:t>
      </w:r>
      <w:r>
        <w:t xml:space="preserve"> </w:t>
      </w:r>
      <w:r>
        <w:t xml:space="preserve">versus low-frequency contrast and a dense- versus sparse-neighbourhood contrast,</w:t>
      </w:r>
      <w:r>
        <w:t xml:space="preserve"> </w:t>
      </w:r>
      <w:r>
        <w:t xml:space="preserve">each in English and in Spanish, drawn from thirty-thousand-word lexica. The</w:t>
      </w:r>
      <w:r>
        <w:t xml:space="preserve"> </w:t>
      </w:r>
      <w:r>
        <w:t xml:space="preserve">frequency contrast matches items on length, neighbourhood density and OLD20; the</w:t>
      </w:r>
      <w:r>
        <w:t xml:space="preserve"> </w:t>
      </w:r>
      <w:r>
        <w:t xml:space="preserve">neighbourhood contrast matches on length and frequency. The fifth is a</w:t>
      </w:r>
      <w:r>
        <w:t xml:space="preserve"> </w:t>
      </w:r>
      <w:r>
        <w:t xml:space="preserve">high- versus low-frequency contrast in Mandarin Chinese, included to show that the</w:t>
      </w:r>
      <w:r>
        <w:t xml:space="preserve"> </w:t>
      </w:r>
      <w:r>
        <w:t xml:space="preserve">pipeline generalises to a logographic writing system (see</w:t>
      </w:r>
      <w:r>
        <w:t xml:space="preserve"> </w:t>
      </w:r>
      <w:r>
        <w:rPr>
          <w:i/>
          <w:iCs/>
        </w:rPr>
        <w:t xml:space="preserve">Generalisation to a</w:t>
      </w:r>
      <w:r>
        <w:rPr>
          <w:i/>
          <w:iCs/>
        </w:rPr>
        <w:t xml:space="preserve"> </w:t>
      </w:r>
      <w:r>
        <w:rPr>
          <w:i/>
          <w:iCs/>
        </w:rPr>
        <w:t xml:space="preserve">logographic script</w:t>
      </w:r>
      <w:r>
        <w:t xml:space="preserve">, below). Each demonstration was produced by both the R and the</w:t>
      </w:r>
      <w:r>
        <w:t xml:space="preserve"> </w:t>
      </w:r>
      <w:r>
        <w:t xml:space="preserve">Python engine. All tables and figures in this section are computed at render time</w:t>
      </w:r>
      <w:r>
        <w:t xml:space="preserve"> </w:t>
      </w:r>
      <w:r>
        <w:t xml:space="preserve">from the generated output.</w:t>
      </w:r>
    </w:p>
    <w:tbl>
      <w:tblPr>
        <w:tblStyle w:val="Table"/>
        <w:tblW w:type="pct" w:w="5000"/>
        <w:tblLayout w:type="fixed"/>
        <w:tblLook w:firstRow="0" w:lastRow="0" w:firstColumn="0" w:lastColumn="0" w:noHBand="0" w:noVBand="0" w:val="0000"/>
      </w:tblPr>
      <w:tblGrid>
        <w:gridCol w:w="7920"/>
      </w:tblGrid>
      <w:tr>
        <w:tc>
          <w:tcPr/>
          <w:bookmarkStart w:id="17"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7"/>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1" w:name="fig-balance"/>
          <w:p>
            <w:pPr>
              <w:pStyle w:val="Compact"/>
              <w:jc w:val="center"/>
            </w:pPr>
            <w:r>
              <w:drawing>
                <wp:inline>
                  <wp:extent cx="5334000" cy="3259666"/>
                  <wp:effectExtent b="0" l="0" r="0" t="0"/>
                  <wp:docPr descr="" title="" id="19" name="Picture"/>
                  <a:graphic>
                    <a:graphicData uri="http://schemas.openxmlformats.org/drawingml/2006/picture">
                      <pic:pic>
                        <pic:nvPicPr>
                          <pic:cNvPr descr="manuscript_files/figure-docx/fig-balance-1.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1"/>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2"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2"/>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 effect size and interval first, equivalence test as a</w:t>
      </w:r>
      <w:r>
        <w:t xml:space="preserve"> </w:t>
      </w:r>
      <w:r>
        <w:t xml:space="preserve">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3"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4"/>
          <w:p/>
        </w:tc>
      </w:tr>
    </w:tbl>
    <w:bookmarkStart w:id="27"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t xml:space="preserve"> </w:t>
      </w:r>
      <w:r>
        <w:rPr>
          <w:rStyle w:val="VerbatimChar"/>
        </w:rPr>
        <w:t xml:space="preserve">wordfreq</w:t>
      </w:r>
      <w:r>
        <w:t xml:space="preserve">‘s Chinese data</w:t>
      </w:r>
      <w:r>
        <w:t xml:space="preserve"> </w:t>
      </w:r>
      <w:r>
        <w:t xml:space="preserve">(Speer, 2022)</w:t>
      </w:r>
      <w:r>
        <w:t xml:space="preserve"> </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 tens of single-character substitutions each, an</w:t>
      </w:r>
      <w:r>
        <w:t xml:space="preserve"> </w:t>
      </w:r>
      <w:r>
        <w:t xml:space="preserve">order of magnitude more than the alphabetic words above —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5"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5"/>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demonstrations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6"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6"/>
          <w:p/>
        </w:tc>
      </w:tr>
    </w:tbl>
    <w:bookmarkEnd w:id="27"/>
    <w:bookmarkEnd w:id="28"/>
    <w:bookmarkStart w:id="29"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 corpus access, dimension derivation,</w:t>
      </w:r>
      <w:r>
        <w:t xml:space="preserve"> </w:t>
      </w:r>
      <w:r>
        <w:t xml:space="preserve">matching, counterbalancing and CJK-font script generation all work unchanged —</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w:t>
      </w:r>
      <w:r>
        <w:t xml:space="preserve"> </w:t>
      </w:r>
      <w:r>
        <w:t xml:space="preserve">Future work includes</w:t>
      </w:r>
      <w:r>
        <w:t xml:space="preserve"> </w:t>
      </w:r>
      <w:r>
        <w:t xml:space="preserve">additional presentation targets, a graphical interface and richer lexical</w:t>
      </w:r>
      <w:r>
        <w:t xml:space="preserve"> </w:t>
      </w:r>
      <w:r>
        <w:t xml:space="preserve">dimensions such as concreteness and age of acquisition, each of which slots into</w:t>
      </w:r>
      <w:r>
        <w:t xml:space="preserve"> </w:t>
      </w:r>
      <w:r>
        <w:t xml:space="preserve">the existing module structure.</w:t>
      </w:r>
    </w:p>
    <w:bookmarkEnd w:id="29"/>
    <w:bookmarkStart w:id="31"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0"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lexical dimension,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 table in</w:t>
      </w:r>
      <w:r>
        <w:t xml:space="preserve"> </w:t>
      </w:r>
      <w:r>
        <w:rPr>
          <w:rStyle w:val="VerbatimChar"/>
        </w:rPr>
        <w:t xml:space="preserve">config/schema.yaml</w:t>
      </w:r>
      <w:r>
        <w:t xml:space="preserve">) in both packages. To add a</w:t>
      </w:r>
      <w:r>
        <w:t xml:space="preserve"> </w:t>
      </w:r>
      <w:r>
        <w:t xml:space="preserve">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To add a</w:t>
      </w:r>
      <w:r>
        <w:t xml:space="preserve"> </w:t>
      </w:r>
      <w:r>
        <w:t xml:space="preserve">corpus or a language, add an entry to</w:t>
      </w:r>
      <w:r>
        <w:t xml:space="preserve"> </w:t>
      </w:r>
      <w:r>
        <w:rPr>
          <w:rStyle w:val="VerbatimChar"/>
        </w:rPr>
        <w:t xml:space="preserve">corpora/registry.yaml</w:t>
      </w:r>
      <w:r>
        <w:t xml:space="preserve">; no code change is</w:t>
      </w:r>
      <w:r>
        <w:t xml:space="preserve"> </w:t>
      </w:r>
      <w:r>
        <w:t xml:space="preserve">required for SUBTLEX-family or</w:t>
      </w:r>
      <w:r>
        <w:t xml:space="preserve"> </w:t>
      </w:r>
      <w:r>
        <w:t xml:space="preserve">‘wordfreq’</w:t>
      </w:r>
      <w:r>
        <w:t xml:space="preserve"> </w:t>
      </w:r>
      <w:r>
        <w:t xml:space="preserve">sources.</w:t>
      </w:r>
    </w:p>
    <w:p>
      <w:r>
        <w:br w:type="page"/>
      </w:r>
    </w:p>
    <w:bookmarkEnd w:id="30"/>
    <w:bookmarkEnd w:id="31"/>
    <w:bookmarkStart w:id="63" w:name="references"/>
    <w:p>
      <w:pPr>
        <w:pStyle w:val="Heading1"/>
      </w:pPr>
      <w:r>
        <w:t xml:space="preserve">References</w:t>
      </w:r>
    </w:p>
    <w:bookmarkStart w:id="62" w:name="refs"/>
    <w:bookmarkStart w:id="33"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32">
        <w:r>
          <w:rPr>
            <w:rStyle w:val="Hyperlink"/>
          </w:rPr>
          <w:t xml:space="preserve">https://doi.org/10.3758/BRM.41.4.977</w:t>
        </w:r>
      </w:hyperlink>
    </w:p>
    <w:bookmarkEnd w:id="33"/>
    <w:bookmarkStart w:id="35"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34">
        <w:r>
          <w:rPr>
            <w:rStyle w:val="Hyperlink"/>
          </w:rPr>
          <w:t xml:space="preserve">https://doi.org/10.1371/journal.pone.0010729</w:t>
        </w:r>
      </w:hyperlink>
    </w:p>
    <w:bookmarkEnd w:id="35"/>
    <w:bookmarkStart w:id="3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36"/>
    <w:bookmarkStart w:id="37"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37"/>
    <w:bookmarkStart w:id="39"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38">
        <w:r>
          <w:rPr>
            <w:rStyle w:val="Hyperlink"/>
          </w:rPr>
          <w:t xml:space="preserve">https://doi.org/10.1080/14790718.2024.2415993</w:t>
        </w:r>
      </w:hyperlink>
    </w:p>
    <w:bookmarkEnd w:id="39"/>
    <w:bookmarkStart w:id="41"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40">
        <w:r>
          <w:rPr>
            <w:rStyle w:val="Hyperlink"/>
          </w:rPr>
          <w:t xml:space="preserve">https://doi.org/10.1080/17470218.2013.850521</w:t>
        </w:r>
      </w:hyperlink>
    </w:p>
    <w:bookmarkEnd w:id="41"/>
    <w:bookmarkStart w:id="43"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42">
        <w:r>
          <w:rPr>
            <w:rStyle w:val="Hyperlink"/>
          </w:rPr>
          <w:t xml:space="preserve">https://doi.org/10.3758/s13428-024-02347-x</w:t>
        </w:r>
      </w:hyperlink>
    </w:p>
    <w:bookmarkEnd w:id="43"/>
    <w:bookmarkStart w:id="45"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44">
        <w:r>
          <w:rPr>
            <w:rStyle w:val="Hyperlink"/>
          </w:rPr>
          <w:t xml:space="preserve">https://doi.org/10.1177/1948550617697177</w:t>
        </w:r>
      </w:hyperlink>
    </w:p>
    <w:bookmarkEnd w:id="45"/>
    <w:bookmarkStart w:id="47"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46">
        <w:r>
          <w:rPr>
            <w:rStyle w:val="Hyperlink"/>
          </w:rPr>
          <w:t xml:space="preserve">https://doi.org/10.1016/j.mex.2021.101545</w:t>
        </w:r>
      </w:hyperlink>
    </w:p>
    <w:bookmarkEnd w:id="47"/>
    <w:bookmarkStart w:id="49"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48">
        <w:r>
          <w:rPr>
            <w:rStyle w:val="Hyperlink"/>
          </w:rPr>
          <w:t xml:space="preserve">https://doi.org/10.3758/s13428-011-0168-7</w:t>
        </w:r>
      </w:hyperlink>
    </w:p>
    <w:bookmarkEnd w:id="49"/>
    <w:bookmarkStart w:id="51"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50">
        <w:r>
          <w:rPr>
            <w:rStyle w:val="Hyperlink"/>
          </w:rPr>
          <w:t xml:space="preserve">https://doi.org/10.3758/s13428-018-01193-y</w:t>
        </w:r>
      </w:hyperlink>
    </w:p>
    <w:bookmarkEnd w:id="51"/>
    <w:bookmarkStart w:id="53"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52">
        <w:r>
          <w:rPr>
            <w:rStyle w:val="Hyperlink"/>
          </w:rPr>
          <w:t xml:space="preserve">https://doi.org/10.1016/j.bandl.2016.08.001</w:t>
        </w:r>
      </w:hyperlink>
    </w:p>
    <w:bookmarkEnd w:id="53"/>
    <w:bookmarkStart w:id="55"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54">
        <w:r>
          <w:rPr>
            <w:rStyle w:val="Hyperlink"/>
          </w:rPr>
          <w:t xml:space="preserve">https://doi.org/10.5281/zenodo.7199437</w:t>
        </w:r>
      </w:hyperlink>
    </w:p>
    <w:bookmarkEnd w:id="55"/>
    <w:bookmarkStart w:id="57"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56">
        <w:r>
          <w:rPr>
            <w:rStyle w:val="Hyperlink"/>
          </w:rPr>
          <w:t xml:space="preserve">https://doi.org/10.3758/s13428-020-01389-1</w:t>
        </w:r>
      </w:hyperlink>
    </w:p>
    <w:bookmarkEnd w:id="57"/>
    <w:bookmarkStart w:id="59"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58">
        <w:r>
          <w:rPr>
            <w:rStyle w:val="Hyperlink"/>
          </w:rPr>
          <w:t xml:space="preserve">https://doi.org/10.1038/sdata.2016.18</w:t>
        </w:r>
      </w:hyperlink>
    </w:p>
    <w:bookmarkEnd w:id="59"/>
    <w:bookmarkStart w:id="61"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60">
        <w:r>
          <w:rPr>
            <w:rStyle w:val="Hyperlink"/>
          </w:rPr>
          <w:t xml:space="preserve">https://doi.org/10.3758/pbr.15.5.971</w:t>
        </w:r>
      </w:hyperlink>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2" Target="https://doi.org/10.1016/j.bandl.2016.08.001" TargetMode="External" /><Relationship Type="http://schemas.openxmlformats.org/officeDocument/2006/relationships/hyperlink" Id="rId46" Target="https://doi.org/10.1016/j.mex.2021.101545" TargetMode="External" /><Relationship Type="http://schemas.openxmlformats.org/officeDocument/2006/relationships/hyperlink" Id="rId58" Target="https://doi.org/10.1038/sdata.2016.18" TargetMode="External" /><Relationship Type="http://schemas.openxmlformats.org/officeDocument/2006/relationships/hyperlink" Id="rId38" Target="https://doi.org/10.1080/14790718.2024.2415993" TargetMode="External" /><Relationship Type="http://schemas.openxmlformats.org/officeDocument/2006/relationships/hyperlink" Id="rId40" Target="https://doi.org/10.1080/17470218.2013.850521" TargetMode="External" /><Relationship Type="http://schemas.openxmlformats.org/officeDocument/2006/relationships/hyperlink" Id="rId44" Target="https://doi.org/10.1177/1948550617697177" TargetMode="External" /><Relationship Type="http://schemas.openxmlformats.org/officeDocument/2006/relationships/hyperlink" Id="rId34" Target="https://doi.org/10.1371/journal.pone.0010729" TargetMode="External" /><Relationship Type="http://schemas.openxmlformats.org/officeDocument/2006/relationships/hyperlink" Id="rId32" Target="https://doi.org/10.3758/BRM.41.4.977" TargetMode="External" /><Relationship Type="http://schemas.openxmlformats.org/officeDocument/2006/relationships/hyperlink" Id="rId60" Target="https://doi.org/10.3758/pbr.15.5.971" TargetMode="External" /><Relationship Type="http://schemas.openxmlformats.org/officeDocument/2006/relationships/hyperlink" Id="rId48" Target="https://doi.org/10.3758/s13428-011-0168-7" TargetMode="External" /><Relationship Type="http://schemas.openxmlformats.org/officeDocument/2006/relationships/hyperlink" Id="rId50" Target="https://doi.org/10.3758/s13428-018-01193-y" TargetMode="External" /><Relationship Type="http://schemas.openxmlformats.org/officeDocument/2006/relationships/hyperlink" Id="rId56" Target="https://doi.org/10.3758/s13428-020-01389-1" TargetMode="External" /><Relationship Type="http://schemas.openxmlformats.org/officeDocument/2006/relationships/hyperlink" Id="rId42" Target="https://doi.org/10.3758/s13428-024-02347-x" TargetMode="External" /><Relationship Type="http://schemas.openxmlformats.org/officeDocument/2006/relationships/hyperlink" Id="rId54" Target="https://doi.org/10.5281/zenodo.7199437"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bandl.2016.08.001" TargetMode="External" /><Relationship Type="http://schemas.openxmlformats.org/officeDocument/2006/relationships/hyperlink" Id="rId46" Target="https://doi.org/10.1016/j.mex.2021.101545" TargetMode="External" /><Relationship Type="http://schemas.openxmlformats.org/officeDocument/2006/relationships/hyperlink" Id="rId58" Target="https://doi.org/10.1038/sdata.2016.18" TargetMode="External" /><Relationship Type="http://schemas.openxmlformats.org/officeDocument/2006/relationships/hyperlink" Id="rId38" Target="https://doi.org/10.1080/14790718.2024.2415993" TargetMode="External" /><Relationship Type="http://schemas.openxmlformats.org/officeDocument/2006/relationships/hyperlink" Id="rId40" Target="https://doi.org/10.1080/17470218.2013.850521" TargetMode="External" /><Relationship Type="http://schemas.openxmlformats.org/officeDocument/2006/relationships/hyperlink" Id="rId44" Target="https://doi.org/10.1177/1948550617697177" TargetMode="External" /><Relationship Type="http://schemas.openxmlformats.org/officeDocument/2006/relationships/hyperlink" Id="rId34" Target="https://doi.org/10.1371/journal.pone.0010729" TargetMode="External" /><Relationship Type="http://schemas.openxmlformats.org/officeDocument/2006/relationships/hyperlink" Id="rId32" Target="https://doi.org/10.3758/BRM.41.4.977" TargetMode="External" /><Relationship Type="http://schemas.openxmlformats.org/officeDocument/2006/relationships/hyperlink" Id="rId60" Target="https://doi.org/10.3758/pbr.15.5.971" TargetMode="External" /><Relationship Type="http://schemas.openxmlformats.org/officeDocument/2006/relationships/hyperlink" Id="rId48" Target="https://doi.org/10.3758/s13428-011-0168-7" TargetMode="External" /><Relationship Type="http://schemas.openxmlformats.org/officeDocument/2006/relationships/hyperlink" Id="rId50" Target="https://doi.org/10.3758/s13428-018-01193-y" TargetMode="External" /><Relationship Type="http://schemas.openxmlformats.org/officeDocument/2006/relationships/hyperlink" Id="rId56" Target="https://doi.org/10.3758/s13428-020-01389-1" TargetMode="External" /><Relationship Type="http://schemas.openxmlformats.org/officeDocument/2006/relationships/hyperlink" Id="rId42" Target="https://doi.org/10.3758/s13428-024-02347-x" TargetMode="External" /><Relationship Type="http://schemas.openxmlformats.org/officeDocument/2006/relationships/hyperlink" Id="rId54" Target="https://doi.org/10.5281/zenodo.7199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2026-06-10T09:21:08Z</dcterms:created>
  <dcterms:modified xsi:type="dcterms:W3CDTF">2026-06-10T09:21:08Z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and ‘OpenSesame’ experiment scripts whose hardware triggers for electroencephalography are time-locked to stimulus onset in both targets. The matching is deterministic, so the two engines select identical matched stimuli; we demonstrate this on five worked examples in English, Spanish and Mandarin Chinese, the last of which shows that the workflow extends to a logographic writing system.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2026-06-10</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