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2026-07-23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toolkit that unifies the</w:t>
      </w:r>
      <w:r>
        <w:t xml:space="preserve"> </w:t>
      </w:r>
      <w:r>
        <w:t xml:space="preserve">whole path from corpus to laboratory, released as a</w:t>
      </w:r>
      <w:r>
        <w:t xml:space="preserve"> </w:t>
      </w:r>
      <w:r>
        <w:t xml:space="preserve">‘CRAN’</w:t>
      </w:r>
      <w:r>
        <w:t xml:space="preserve">-ready R package</w:t>
      </w:r>
      <w:r>
        <w:t xml:space="preserve"> </w:t>
      </w:r>
      <w:r>
        <w:t xml:space="preserve">and a structurally identical</w:t>
      </w:r>
      <w:r>
        <w:t xml:space="preserve"> </w:t>
      </w:r>
      <w:r>
        <w:t xml:space="preserve">‘PyPI’</w:t>
      </w:r>
      <w:r>
        <w:t xml:space="preserve">-ready Python package. From a</w:t>
      </w:r>
      <w:r>
        <w:t xml:space="preserve"> </w:t>
      </w:r>
      <w:r>
        <w:t xml:space="preserve">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default matching methods, the pseudoword generation and the trial order</w:t>
      </w:r>
      <w:r>
        <w:t xml:space="preserve"> </w:t>
      </w:r>
      <w:r>
        <w:t xml:space="preserve">are deterministic, so the two engines produce byte-identical experiments. We</w:t>
      </w:r>
      <w:r>
        <w:t xml:space="preserve"> </w:t>
      </w:r>
      <w:r>
        <w:t xml:space="preserve">demonstrate this on fifteen worked examples in English, Spanish and Mandarin</w:t>
      </w:r>
      <w:r>
        <w:t xml:space="preserve"> </w:t>
      </w:r>
      <w:r>
        <w:t xml:space="preserve">Chinese (across word, pseudoword, paired and sentence stimuli), one of which</w:t>
      </w:r>
      <w:r>
        <w:t xml:space="preserve"> </w:t>
      </w:r>
      <w:r>
        <w:t xml:space="preserve">shows that the workflow extends to a logographic writing system, while three</w:t>
      </w:r>
      <w:r>
        <w:t xml:space="preserve"> </w:t>
      </w:r>
      <w:r>
        <w:t xml:space="preserve">reproduce published designs from the literature.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w:t>
      </w:r>
      <w:r>
        <w:t xml:space="preserve"> </w:t>
      </w:r>
      <w:r>
        <w:t xml:space="preserve">set as a reproducible artefact. It is distributed under open licences and</w:t>
      </w:r>
      <w:r>
        <w:t xml:space="preserve"> </w:t>
      </w:r>
      <w:r>
        <w:t xml:space="preserve">includes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A survey of 600 randomly sampled linguistics articles found materials, data</w:t>
      </w:r>
      <w:r>
        <w:t xml:space="preserve"> </w:t>
      </w:r>
      <w:r>
        <w:t xml:space="preserve">and protocols each shared in fewer than 10% of them, with no noticeable rise</w:t>
      </w:r>
      <w:r>
        <w:t xml:space="preserve"> </w:t>
      </w:r>
      <w:r>
        <w:t xml:space="preserve">between 2008/2009 and 2018/2019</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analytic choices, from how a</w:t>
      </w:r>
      <w:r>
        <w:t xml:space="preserve"> </w:t>
      </w:r>
      <w:r>
        <w:t xml:space="preserve">measure is quantified to how a model is specified, and exploiting that</w:t>
      </w:r>
      <w:r>
        <w:t xml:space="preserve"> </w:t>
      </w:r>
      <w:r>
        <w:t xml:space="preserve">flexibility inflates false positives</w:t>
      </w:r>
      <w:r>
        <w:t xml:space="preserve"> </w:t>
      </w:r>
      <w:r>
        <w:t xml:space="preserve">(Roettger, 2019)</w:t>
      </w:r>
      <w:r>
        <w:t xml:space="preserve"> </w:t>
      </w:r>
      <w:r>
        <w:t xml:space="preserve">and yields widely</w:t>
      </w:r>
      <w:r>
        <w:t xml:space="preserve"> </w:t>
      </w:r>
      <w:r>
        <w:t xml:space="preserve">divergent conclusions from the same data</w:t>
      </w:r>
      <w:r>
        <w:t xml:space="preserve"> </w:t>
      </w:r>
      <w:r>
        <w:t xml:space="preserve">(Coretta et al., 2023)</w:t>
      </w:r>
      <w:r>
        <w:t xml:space="preserve">.</w:t>
      </w:r>
      <w:r>
        <w:t xml:space="preserve"> </w:t>
      </w:r>
      <w:r>
        <w:t xml:space="preserve">Transparent, runnable, shareable materials are part of the remedy this</w:t>
      </w:r>
      <w:r>
        <w:t xml:space="preserve"> </w:t>
      </w:r>
      <w:r>
        <w:t xml:space="preserve">literature calls for</w:t>
      </w:r>
      <w:r>
        <w:t xml:space="preserve"> </w:t>
      </w:r>
      <w:r>
        <w:t xml:space="preserve">(Roettger et al., 2019)</w:t>
      </w:r>
      <w:r>
        <w:t xml:space="preserve">.</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none is available in</w:t>
      </w:r>
      <w:r>
        <w:t xml:space="preserve"> </w:t>
      </w:r>
      <w:r>
        <w:t xml:space="preserve">both the R and the Python ecosystems. Their language coverage follows the</w:t>
      </w:r>
      <w:r>
        <w:t xml:space="preserve"> </w:t>
      </w:r>
      <w:r>
        <w:t xml:space="preserve">lexical database each ships with rather than the method itself, and both</w:t>
      </w:r>
      <w:r>
        <w:t xml:space="preserve"> </w:t>
      </w:r>
      <w:r>
        <w:t xml:space="preserve">‘LexOPS’</w:t>
      </w:r>
      <w:r>
        <w:t xml:space="preserve"> </w:t>
      </w:r>
      <w:r>
        <w:t xml:space="preserve">and</w:t>
      </w:r>
      <w:r>
        <w:t xml:space="preserve"> </w:t>
      </w:r>
      <w:r>
        <w:t xml:space="preserve">‘LIBRA’</w:t>
      </w:r>
      <w:r>
        <w:t xml:space="preserve"> </w:t>
      </w:r>
      <w:r>
        <w:t xml:space="preserve">will work from any suitably formatted dataset, in any</w:t>
      </w:r>
      <w:r>
        <w:t xml:space="preserve"> </w:t>
      </w:r>
      <w:r>
        <w:t xml:space="preserve">language for which the user can supply the variables.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EEG study of artificial language</w:t>
      </w:r>
      <w:r>
        <w:t xml:space="preserve"> </w:t>
      </w:r>
      <w:r>
        <w:t xml:space="preserve">learning, for instance</w:t>
      </w:r>
      <w:r>
        <w:t xml:space="preserve"> </w:t>
      </w:r>
      <w:r>
        <w:t xml:space="preserve">(González Alonso et al., 2025)</w:t>
      </w:r>
      <w:r>
        <w:t xml:space="preserve">, EEG markers were sent from an</w:t>
      </w:r>
      <w:r>
        <w:t xml:space="preserve"> </w:t>
      </w:r>
      <w:r>
        <w:t xml:space="preserve">experiment item that followed the word, so that only the first marker was even</w:t>
      </w:r>
      <w:r>
        <w:t xml:space="preserve"> </w:t>
      </w:r>
      <w:r>
        <w:t xml:space="preserve">approximately aligned with stimulus onset and the others were sequence-ordered.</w:t>
      </w:r>
      <w:r>
        <w:t xml:space="preserve"> </w:t>
      </w:r>
      <w:r>
        <w:t xml:space="preserve">Their timing then followed the durations of the preceding events rather than the</w:t>
      </w:r>
      <w:r>
        <w:t xml:space="preserve"> </w:t>
      </w:r>
      <w:r>
        <w:t xml:space="preserve">flip that put the word on screen, a dependency that binding the trigger to the</w:t>
      </w:r>
      <w:r>
        <w:t xml:space="preserve"> </w:t>
      </w:r>
      <w:r>
        <w:t xml:space="preserve">flip itself removes.</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The</w:t>
      </w:r>
      <w:r>
        <w:t xml:space="preserve"> </w:t>
      </w:r>
      <w:r>
        <w:t xml:space="preserve">default matching methods and the trial ordering are deterministic, so the R and</w:t>
      </w:r>
      <w:r>
        <w:t xml:space="preserve"> </w:t>
      </w:r>
      <w:r>
        <w:t xml:space="preserve">Python engines select identical materials, order them identically and write</w:t>
      </w:r>
      <w:r>
        <w:t xml:space="preserve"> </w:t>
      </w:r>
      <w:r>
        <w:t xml:space="preserve">byte-identical experiment files. The trial itself is described declaratively. A</w:t>
      </w:r>
      <w:r>
        <w:t xml:space="preserve"> </w:t>
      </w:r>
      <w:r>
        <w:t xml:space="preserve">design sets out an ordered sequence of trial</w:t>
      </w:r>
      <w:r>
        <w:t xml:space="preserve"> </w:t>
      </w:r>
      <w:r>
        <w:rPr>
          <w:i/>
          <w:iCs/>
        </w:rPr>
        <w:t xml:space="preserve">events</w:t>
      </w:r>
      <w:r>
        <w:t xml:space="preserve">, and each presentation</w:t>
      </w:r>
      <w:r>
        <w:t xml:space="preserve"> </w:t>
      </w:r>
      <w:r>
        <w:t xml:space="preserve">backend renders that sequence, so the same machinery produces a factorial word</w:t>
      </w:r>
      <w:r>
        <w:t xml:space="preserve"> </w:t>
      </w:r>
      <w:r>
        <w:t xml:space="preserve">study, a lexical-decision task with generated pseudowords, a primed design or a</w:t>
      </w:r>
      <w:r>
        <w:t xml:space="preserve"> </w:t>
      </w:r>
      <w:r>
        <w:t xml:space="preserve">self-paced reading study from configuration rather than new code.</w:t>
      </w:r>
      <w:r>
        <w:t xml:space="preserve"> </w:t>
      </w:r>
      <w:r>
        <w:t xml:space="preserve">‘lexsync’</w:t>
      </w:r>
      <w:r>
        <w:t xml:space="preserve"> </w:t>
      </w:r>
      <w:r>
        <w:t xml:space="preserve">is</w:t>
      </w:r>
      <w:r>
        <w:t xml:space="preserve"> </w:t>
      </w:r>
      <w:r>
        <w:t xml:space="preserve">thus a reusable, FAIR-compliant tool for many psycholinguistic paradigms and</w:t>
      </w:r>
      <w:r>
        <w:t xml:space="preserve"> </w:t>
      </w:r>
      <w:r>
        <w:t xml:space="preserve">languages rather than a single study’s script. The longitudinal study above is</w:t>
      </w:r>
      <w:r>
        <w:t xml:space="preserve"> </w:t>
      </w:r>
      <w:r>
        <w:t xml:space="preserve">one of fifteen worked examples, and one of the three that rebuild a published</w:t>
      </w:r>
      <w:r>
        <w:t xml:space="preserve"> </w:t>
      </w:r>
      <w:r>
        <w:t xml:space="preserve">design.</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w:t>
      </w:r>
      <w:r>
        <w:t xml:space="preserve"> </w:t>
      </w:r>
      <w:r>
        <w:t xml:space="preserve">single orchestrator,</w:t>
      </w:r>
      <w:r>
        <w:t xml:space="preserve"> </w:t>
      </w:r>
      <w:r>
        <w:rPr>
          <w:rStyle w:val="VerbatimChar"/>
        </w:rPr>
        <w:t xml:space="preserve">run_pipeline</w:t>
      </w:r>
      <w:r>
        <w:t xml:space="preserve">, drives them for one design, and</w:t>
      </w:r>
      <w:r>
        <w:t xml:space="preserve"> </w:t>
      </w:r>
      <w:r>
        <w:rPr>
          <w:rStyle w:val="VerbatimChar"/>
        </w:rPr>
        <w:t xml:space="preserve">run_all</w:t>
      </w:r>
      <w:r>
        <w:t xml:space="preserve"> </w:t>
      </w:r>
      <w:r>
        <w:t xml:space="preserve">applies it in an explicit loop over every design configuration in a directory,</w:t>
      </w:r>
      <w:r>
        <w:t xml:space="preserve"> </w:t>
      </w:r>
      <w:r>
        <w:t xml:space="preserve">so that adding a language, a design or a paradigm is a matter of supplying a</w:t>
      </w:r>
      <w:r>
        <w:t xml:space="preserve"> </w:t>
      </w:r>
      <w:r>
        <w:t xml:space="preserve">configuration file (and, where relevant, a lexicon or item table) rather than</w:t>
      </w:r>
      <w:r>
        <w:t xml:space="preserve"> </w:t>
      </w:r>
      <w:r>
        <w:t xml:space="preserve">writing code. The two packages are deliberately lean: the R package depends only</w:t>
      </w:r>
      <w:r>
        <w:t xml:space="preserve"> </w:t>
      </w:r>
      <w:r>
        <w:t xml:space="preserve">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‘stringi’</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w:t>
      </w:r>
      <w:r>
        <w:t xml:space="preserve"> </w:t>
      </w:r>
      <w:r>
        <w:t xml:space="preserve">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 machine-readable registry that records, for each corpus</w:t>
      </w:r>
      <w:r>
        <w:t xml:space="preserve"> </w:t>
      </w:r>
      <w:r>
        <w:t xml:space="preserve">it knows about, its language, licence, citation, verification status and the</w:t>
      </w:r>
      <w:r>
        <w:t xml:space="preserve"> </w:t>
      </w:r>
      <w:r>
        <w:t xml:space="preserve">column names that map the source file onto the package schema. Two connectors</w:t>
      </w:r>
      <w:r>
        <w:t xml:space="preserve"> </w:t>
      </w:r>
      <w:r>
        <w:t xml:space="preserve">are provided. The first reads the delimited files of the curated SUBTLEX family</w:t>
      </w:r>
      <w:r>
        <w:t xml:space="preserve"> </w:t>
      </w:r>
      <w:r>
        <w:t xml:space="preserve">and the</w:t>
      </w:r>
      <w:r>
        <w:t xml:space="preserve"> </w:t>
      </w:r>
      <w:r>
        <w:t xml:space="preserve">‘openlexicon’</w:t>
      </w:r>
      <w:r>
        <w:t xml:space="preserve"> </w:t>
      </w:r>
      <w:r>
        <w:t xml:space="preserve">collection (for example SUBTLEX-ESP for Spanish</w:t>
      </w:r>
      <w:r>
        <w:t xml:space="preserve"> </w:t>
      </w:r>
      <w:r>
        <w:t xml:space="preserve">(Cuetos et al., 2011)</w:t>
      </w:r>
      <w:r>
        <w:t xml:space="preserve"> </w:t>
      </w:r>
      <w:r>
        <w:t xml:space="preserve">and SUBTLEX-US for American English</w:t>
      </w:r>
      <w:r>
        <w:t xml:space="preserve"> </w:t>
      </w:r>
      <w:r>
        <w:t xml:space="preserve">(Brysbaert &amp; New, 2009)</w:t>
      </w:r>
      <w:r>
        <w:t xml:space="preserve">), each individually citable and made freely available</w:t>
      </w:r>
      <w:r>
        <w:t xml:space="preserve"> </w:t>
      </w:r>
      <w:r>
        <w:t xml:space="preserve">by its authors subject to attribution, on terms equivalent to CC BY-SA. No entry</w:t>
      </w:r>
      <w:r>
        <w:t xml:space="preserve"> </w:t>
      </w:r>
      <w:r>
        <w:t xml:space="preserve">in that family currently registers a directly addressable delimited file, so the</w:t>
      </w:r>
      <w:r>
        <w:t xml:space="preserve"> </w:t>
      </w:r>
      <w:r>
        <w:t xml:space="preserve">registry marks the corpora the connector cannot read and gives a landing page</w:t>
      </w:r>
      <w:r>
        <w:t xml:space="preserve"> </w:t>
      </w:r>
      <w:r>
        <w:t xml:space="preserve">instead. SUBTLEX-UK</w:t>
      </w:r>
      <w:r>
        <w:t xml:space="preserve"> </w:t>
      </w:r>
      <w:r>
        <w:t xml:space="preserve">(Heuven et al., 2014)</w:t>
      </w:r>
      <w:r>
        <w:t xml:space="preserve">, for one, is published only as</w:t>
      </w:r>
      <w:r>
        <w:t xml:space="preserve"> </w:t>
      </w:r>
      <w:r>
        <w:t xml:space="preserve">zipped archives, so the researcher downloads the file once and passes it to</w:t>
      </w:r>
      <w:r>
        <w:t xml:space="preserve"> </w:t>
      </w:r>
      <w:r>
        <w:rPr>
          <w:rStyle w:val="VerbatimChar"/>
        </w:rPr>
        <w:t xml:space="preserve">load_lexicon()</w:t>
      </w:r>
      <w:r>
        <w:t xml:space="preserve">. The second connector is the</w:t>
      </w:r>
      <w:r>
        <w:t xml:space="preserve"> </w:t>
      </w:r>
      <w:r>
        <w:t xml:space="preserve">‘wordfreq’</w:t>
      </w:r>
      <w:r>
        <w:t xml:space="preserve"> </w:t>
      </w:r>
      <w:r>
        <w:t xml:space="preserve">package</w:t>
      </w:r>
      <w:r>
        <w:t xml:space="preserve"> </w:t>
      </w:r>
      <w:r>
        <w:t xml:space="preserve">(Speer, 2022)</w:t>
      </w:r>
      <w:r>
        <w:t xml:space="preserve">, which supplies frequencies through a single dependency for</w:t>
      </w:r>
      <w:r>
        <w:t xml:space="preserve"> </w:t>
      </w:r>
      <w:r>
        <w:t xml:space="preserve">the thirty languages the registry currently admits, among them Greek, Russian,</w:t>
      </w:r>
      <w:r>
        <w:t xml:space="preserve"> </w:t>
      </w:r>
      <w:r>
        <w:t xml:space="preserve">Arabic, Hebrew, Hindi, Chinese, Japanese and Korean. The package itself covers</w:t>
      </w:r>
      <w:r>
        <w:t xml:space="preserve"> </w:t>
      </w:r>
      <w:r>
        <w:t xml:space="preserve">around forty, and the rest are enabled by adding their language code to the</w:t>
      </w:r>
      <w:r>
        <w:t xml:space="preserve"> </w:t>
      </w:r>
      <w:r>
        <w:t xml:space="preserve">registry entry. The demonstrations below build their English, Spanish and</w:t>
      </w:r>
      <w:r>
        <w:t xml:space="preserve"> </w:t>
      </w:r>
      <w:r>
        <w:t xml:space="preserve">Mandarin Chinese lexica with</w:t>
      </w:r>
      <w:r>
        <w:t xml:space="preserve"> </w:t>
      </w:r>
      <w:r>
        <w:t xml:space="preserve">‘wordfreq’</w:t>
      </w:r>
      <w:r>
        <w:t xml:space="preserve">, which aggregates subtitle and web</w:t>
      </w:r>
      <w:r>
        <w:t xml:space="preserve"> </w:t>
      </w:r>
      <w:r>
        <w:t xml:space="preserve">corpora and, for some languages including English and Chinese, the corresponding</w:t>
      </w:r>
      <w:r>
        <w:t xml:space="preserve"> </w:t>
      </w:r>
      <w:r>
        <w:t xml:space="preserve">SUBTLEX lists. The registry documents the curated corpora (among them SUBTLEX-CH</w:t>
      </w:r>
      <w:r>
        <w:t xml:space="preserve"> </w:t>
      </w:r>
      <w:r>
        <w:t xml:space="preserve">for Chinese</w:t>
      </w:r>
      <w:r>
        <w:t xml:space="preserve"> </w:t>
      </w:r>
      <w:r>
        <w:t xml:space="preserve">(Cai &amp; Brysbaert, 2010)</w:t>
      </w:r>
      <w:r>
        <w:t xml:space="preserve">) as alternatives. Small example lexica are</w:t>
      </w:r>
      <w:r>
        <w:t xml:space="preserve"> </w:t>
      </w:r>
      <w:r>
        <w:t xml:space="preserve">bundled inside each package for offline use and testing, which keeps the</w:t>
      </w:r>
      <w:r>
        <w:t xml:space="preserve"> </w:t>
      </w:r>
      <w:r>
        <w:t xml:space="preserve">installed packages within distribution size limits. A lexicon for any of the</w:t>
      </w:r>
      <w:r>
        <w:t xml:space="preserve"> </w:t>
      </w:r>
      <w:r>
        <w:t xml:space="preserve">admitted</w:t>
      </w:r>
      <w:r>
        <w:t xml:space="preserve"> </w:t>
      </w:r>
      <w:r>
        <w:t xml:space="preserve">‘wordfreq’</w:t>
      </w:r>
      <w:r>
        <w:t xml:space="preserve"> </w:t>
      </w:r>
      <w:r>
        <w:t xml:space="preserve">languages is derived on demand into a user cache, an</w:t>
      </w:r>
      <w:r>
        <w:t xml:space="preserve"> </w:t>
      </w:r>
      <w:r>
        <w:t xml:space="preserve">ingestion step that runs in Python, and the R package reads the result as an</w:t>
      </w:r>
      <w:r>
        <w:t xml:space="preserve"> </w:t>
      </w:r>
      <w:r>
        <w:t xml:space="preserve">ordinary corpus.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Both are computed transparently from the lexicon rather than taken on trust, and</w:t>
      </w:r>
      <w:r>
        <w:t xml:space="preserve"> </w:t>
      </w:r>
      <w:r>
        <w:t xml:space="preserve">the reference set is the full loaded lexicon rather than the filtered candidate</w:t>
      </w:r>
      <w:r>
        <w:t xml:space="preserve"> </w:t>
      </w:r>
      <w:r>
        <w:t xml:space="preserve">pool the items are drawn from. A word is excluded from its own neighbourhood,</w:t>
      </w:r>
      <w:r>
        <w:t xml:space="preserve"> </w:t>
      </w:r>
      <w:r>
        <w:t xml:space="preserve">and where fewer than twenty other forms are available OLD20 averages over as</w:t>
      </w:r>
      <w:r>
        <w:t xml:space="preserve"> </w:t>
      </w:r>
      <w:r>
        <w:t xml:space="preserve">many as there are. The dimension set is open. It also includes an orthographic</w:t>
      </w:r>
      <w:r>
        <w:t xml:space="preserve"> </w:t>
      </w:r>
      <w:r>
        <w:t xml:space="preserve">syllable estimate (the number of maximal vowel runs, counting</w:t>
      </w:r>
      <w:r>
        <w:t xml:space="preserve"> </w:t>
      </w:r>
      <w:r>
        <w:rPr>
          <w:i/>
          <w:iCs/>
        </w:rPr>
        <w:t xml:space="preserve">y</w:t>
      </w:r>
      <w:r>
        <w:t xml:space="preserve"> </w:t>
      </w:r>
      <w:r>
        <w:t xml:space="preserve">and the</w:t>
      </w:r>
      <w:r>
        <w:t xml:space="preserve"> </w:t>
      </w:r>
      <w:r>
        <w:t xml:space="preserve">accented Latin vowels as vowels) and a bigram-frequency measure, the mean over a</w:t>
      </w:r>
      <w:r>
        <w:t xml:space="preserve"> </w:t>
      </w:r>
      <w:r>
        <w:t xml:space="preserve">word’s adjacent letter bigrams of that bigram’s share of all bigram occurrences</w:t>
      </w:r>
      <w:r>
        <w:t xml:space="preserve"> </w:t>
      </w:r>
      <w:r>
        <w:t xml:space="preserve">in the lexicon, which approximates phonotactic probability from word forms</w:t>
      </w:r>
      <w:r>
        <w:t xml:space="preserve"> </w:t>
      </w:r>
      <w:r>
        <w:t xml:space="preserve">rather than from frequency-weighted tokens.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puts two of the added dimensions to use, a frequency contrast</w:t>
      </w:r>
      <w:r>
        <w:t xml:space="preserve"> </w:t>
      </w:r>
      <w:r>
        <w:t xml:space="preserve">matched on length, syllable count and bigram frequency. Both engines select the</w:t>
      </w:r>
      <w:r>
        <w:t xml:space="preserve"> </w:t>
      </w:r>
      <w:r>
        <w:t xml:space="preserve">same items for it.</w:t>
      </w:r>
    </w:p>
    <w:p>
      <w:pPr>
        <w:pStyle w:val="BodyText"/>
      </w:pPr>
      <w:r>
        <w:t xml:space="preserve">A design declares its candidate pool by filtering the lexicon on any recorded</w:t>
      </w:r>
      <w:r>
        <w:t xml:space="preserve"> </w:t>
      </w:r>
      <w:r>
        <w:t xml:space="preserve">dimension, and then defines each condition by a range or a set of permitted</w:t>
      </w:r>
      <w:r>
        <w:t xml:space="preserve"> </w:t>
      </w:r>
      <w:r>
        <w:t xml:space="preserve">values on one or more dimensions, so each condition reaches the matcher as its</w:t>
      </w:r>
      <w:r>
        <w:t xml:space="preserve"> </w:t>
      </w:r>
      <w:r>
        <w:t xml:space="preserve">own subpool. The first condition listed is the anchor. Its items are not drawn</w:t>
      </w:r>
      <w:r>
        <w:t xml:space="preserve"> </w:t>
      </w:r>
      <w:r>
        <w:t xml:space="preserve">at random, and they are not taken from one end of the subpool either. The</w:t>
      </w:r>
      <w:r>
        <w:t xml:space="preserve"> </w:t>
      </w:r>
      <w:r>
        <w:t xml:space="preserve">subpool is sorted by the first dimension the condition is defined on, with ties</w:t>
      </w:r>
      <w:r>
        <w:t xml:space="preserve"> </w:t>
      </w:r>
      <w:r>
        <w:t xml:space="preserve">broken by the UTF-8 bytes of the word, and the</w:t>
      </w:r>
      <w:r>
        <w:t xml:space="preserve"> </w:t>
      </w:r>
      <w:r>
        <w:rPr>
          <w:i/>
          <w:iCs/>
        </w:rPr>
        <w:t xml:space="preserve">n</w:t>
      </w:r>
      <w:r>
        <w:t xml:space="preserve"> </w:t>
      </w:r>
      <w:r>
        <w:t xml:space="preserve">items are taken at evenly</w:t>
      </w:r>
      <w:r>
        <w:t xml:space="preserve"> </w:t>
      </w:r>
      <w:r>
        <w:t xml:space="preserve">spaced ranks along it, so the anchor spans the subpool rather than clustering at</w:t>
      </w:r>
      <w:r>
        <w:t xml:space="preserve"> </w:t>
      </w:r>
      <w:r>
        <w:t xml:space="preserve">one end.</w:t>
      </w:r>
    </w:p>
    <w:p>
      <w:pPr>
        <w:pStyle w:val="BodyText"/>
      </w:pPr>
      <w:r>
        <w:t xml:space="preserve">Matching then proceeds in two deterministic stages. First, a tolerance</w:t>
      </w:r>
      <w:r>
        <w:t xml:space="preserve"> </w:t>
      </w:r>
      <w:r>
        <w:t xml:space="preserve">pre-filter 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w:t>
      </w:r>
      <w:r>
        <w:t xml:space="preserve"> </w:t>
      </w:r>
      <w:r>
        <w:t xml:space="preserve">condition on each control dimension, generalising the windowed selection used by</w:t>
      </w:r>
      <w:r>
        <w:t xml:space="preserve"> </w:t>
      </w:r>
      <w:r>
        <w:t xml:space="preserve">González Alonso et al. (2025)</w:t>
      </w:r>
      <w:r>
        <w:t xml:space="preserve">. The schema sets</w:t>
      </w:r>
      <w:r>
        <w:t xml:space="preserve"> </w:t>
      </w:r>
      <w:r>
        <w:rPr>
          <w:i/>
          <w:iCs/>
        </w:rPr>
        <w:t xml:space="preserve">k</w:t>
      </w:r>
      <w:r>
        <w:t xml:space="preserve"> </w:t>
      </w:r>
      <w:r>
        <w:t xml:space="preserve">to 1 for frequency and to 2 for</w:t>
      </w:r>
      <w:r>
        <w:t xml:space="preserve"> </w:t>
      </w:r>
      <w:r>
        <w:t xml:space="preserve">length, Coltheart’s N and OLD20, and any dimension it does not name falls back</w:t>
      </w:r>
      <w:r>
        <w:t xml:space="preserve"> </w:t>
      </w:r>
      <w:r>
        <w:t xml:space="preserve">to 2. A design file may override these values, as the reproduction of that study</w:t>
      </w:r>
      <w:r>
        <w:t xml:space="preserve"> </w:t>
      </w:r>
      <w:r>
        <w:t xml:space="preserve">below does. If a condition holds fewer candidates inside its window than the</w:t>
      </w:r>
      <w:r>
        <w:t xml:space="preserve"> </w:t>
      </w:r>
      <w:r>
        <w:t xml:space="preserve">design asks for, the window is dropped for that condition and the match is made</w:t>
      </w:r>
      <w:r>
        <w:t xml:space="preserve"> </w:t>
      </w:r>
      <w:r>
        <w:t xml:space="preserve">over its whole subpool, so a window set too narrow costs matching precision</w:t>
      </w:r>
      <w:r>
        <w:t xml:space="preserve"> </w:t>
      </w:r>
      <w:r>
        <w:t xml:space="preserve">rather than the run. The matcher stops with an error only when the subpool</w:t>
      </w:r>
      <w:r>
        <w:t xml:space="preserve"> </w:t>
      </w:r>
      <w:r>
        <w:t xml:space="preserve">itself is too small, or too incomplete on the matched dimensions, to fill the</w:t>
      </w:r>
      <w:r>
        <w:t xml:space="preserve"> </w:t>
      </w:r>
      <w:r>
        <w:t xml:space="preserve">design, and the remedy is then to widen the pool filters or to ask for fewer</w:t>
      </w:r>
      <w:r>
        <w:t xml:space="preserve"> </w:t>
      </w:r>
      <w:r>
        <w:t xml:space="preserve">items per condition. The relaxation is reported on the console as it happens,</w:t>
      </w:r>
      <w:r>
        <w:t xml:space="preserve"> </w:t>
      </w:r>
      <w:r>
        <w:t xml:space="preserve">though it is not yet recorded in the datasheet, so a design with deliberately</w:t>
      </w:r>
      <w:r>
        <w:t xml:space="preserve"> </w:t>
      </w:r>
      <w:r>
        <w:t xml:space="preserve">narrow windows should be run with that output in view. The continuous selector</w:t>
      </w:r>
      <w:r>
        <w:t xml:space="preserve"> </w:t>
      </w:r>
      <w:r>
        <w:t xml:space="preserve">treats its control windows the same way.</w:t>
      </w:r>
    </w:p>
    <w:p>
      <w:pPr>
        <w:pStyle w:val="BodyText"/>
      </w:pPr>
      <w:r>
        <w:t xml:space="preserve">Second, every remaining condition is matched to the anchor item by item. Each</w:t>
      </w:r>
      <w:r>
        <w:t xml:space="preserve"> </w:t>
      </w:r>
      <w:r>
        <w:t xml:space="preserve">dimension is standardised on the mean and sample standard deviation of the whole</w:t>
      </w:r>
      <w:r>
        <w:t xml:space="preserve"> </w:t>
      </w:r>
      <w:r>
        <w:t xml:space="preserve">candidate pool rather than of a single condition, so one scaling serves every</w:t>
      </w:r>
      <w:r>
        <w:t xml:space="preserve"> </w:t>
      </w:r>
      <w:r>
        <w:t xml:space="preserve">comparison. The standardised Euclidean distance from each candidate to the</w:t>
      </w:r>
      <w:r>
        <w:t xml:space="preserve"> </w:t>
      </w:r>
      <w:r>
        <w:t xml:space="preserve">target item is then computed and rounded to nine decimal places, which absorbs</w:t>
      </w:r>
      <w:r>
        <w:t xml:space="preserve"> </w:t>
      </w:r>
      <w:r>
        <w:t xml:space="preserve">the last-bit differences between the two language runtimes, and the nearest</w:t>
      </w:r>
      <w:r>
        <w:t xml:space="preserve"> </w:t>
      </w:r>
      <w:r>
        <w:t xml:space="preserve">candidate not yet taken is assigned, with ties broken by the UTF-8 bytes of the</w:t>
      </w:r>
      <w:r>
        <w:t xml:space="preserve"> </w:t>
      </w:r>
      <w:r>
        <w:t xml:space="preserve">word. A word assigned in one condition is withdrawn from every later one, so no</w:t>
      </w:r>
      <w:r>
        <w:t xml:space="preserve"> </w:t>
      </w:r>
      <w:r>
        <w:t xml:space="preserve">word appears twice. Because no random number generator is used and string</w:t>
      </w:r>
      <w:r>
        <w:t xml:space="preserve"> </w:t>
      </w:r>
      <w:r>
        <w:t xml:space="preserve">comparisons are performed in byte order in both engines, the R and Python</w:t>
      </w:r>
      <w:r>
        <w:t xml:space="preserve"> </w:t>
      </w:r>
      <w:r>
        <w:t xml:space="preserve">packages select an identical matched selection from identical input, a parity we</w:t>
      </w:r>
      <w:r>
        <w:t xml:space="preserve"> </w:t>
      </w:r>
      <w:r>
        <w:t xml:space="preserve">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w:t>
      </w:r>
      <w:r>
        <w:t xml:space="preserve"> </w:t>
      </w:r>
      <w:r>
        <w:t xml:space="preserve">(Rubin, 1980; Stuart, 2010)</w:t>
      </w:r>
      <w:r>
        <w:t xml:space="preserve">. A globally optimal assignment, for a</w:t>
      </w:r>
      <w:r>
        <w:t xml:space="preserve"> </w:t>
      </w:r>
      <w:r>
        <w:t xml:space="preserve">two-condition design, minimises the total distance over the whole pairing instead</w:t>
      </w:r>
      <w:r>
        <w:t xml:space="preserve"> </w:t>
      </w:r>
      <w:r>
        <w:t xml:space="preserve">of taking the locally cheapest pair at each step</w:t>
      </w:r>
      <w:r>
        <w:t xml:space="preserve"> </w:t>
      </w:r>
      <w:r>
        <w:t xml:space="preserve">(Gu &amp; Rosenbaum, 1993; Hansen &amp; Klopfer, 2006)</w:t>
      </w:r>
      <w:r>
        <w:t xml:space="preserve">. Both rely on a linear-algebra routine (a matrix inverse and</w:t>
      </w:r>
      <w:r>
        <w:t xml:space="preserve"> </w:t>
      </w:r>
      <w:r>
        <w:t xml:space="preserve">an assignment solver respectively) whose last bits differ between the R and</w:t>
      </w:r>
      <w:r>
        <w:t xml:space="preserve"> </w:t>
      </w:r>
      <w:r>
        <w:t xml:space="preserve">Python backends, so on these two methods the engines select equivalent but not</w:t>
      </w:r>
      <w:r>
        <w:t xml:space="preserve"> </w:t>
      </w:r>
      <w:r>
        <w:t xml:space="preserve">byte-identical materials; each datasheet records which case applies. The optimal</w:t>
      </w:r>
      <w:r>
        <w:t xml:space="preserve"> </w:t>
      </w:r>
      <w:r>
        <w:t xml:space="preserve">method also carries a dependency the other methods do not. In R its assignment</w:t>
      </w:r>
      <w:r>
        <w:t xml:space="preserve"> </w:t>
      </w:r>
      <w:r>
        <w:t xml:space="preserve">solver comes from the suggested package</w:t>
      </w:r>
      <w:r>
        <w:t xml:space="preserve"> </w:t>
      </w:r>
      <w:r>
        <w:t xml:space="preserve">‘clue’</w:t>
      </w:r>
      <w:r>
        <w:t xml:space="preserve">, installed on demand rather than</w:t>
      </w:r>
      <w:r>
        <w:t xml:space="preserve"> </w:t>
      </w:r>
      <w:r>
        <w:t xml:space="preserve">alongside</w:t>
      </w:r>
      <w:r>
        <w:t xml:space="preserve"> </w:t>
      </w:r>
      <w:r>
        <w:t xml:space="preserve">‘lexsync’</w:t>
      </w:r>
      <w:r>
        <w:t xml:space="preserve">, and in Python from</w:t>
      </w:r>
      <w:r>
        <w:t xml:space="preserve"> </w:t>
      </w:r>
      <w:r>
        <w:t xml:space="preserve">‘SciPy’</w:t>
      </w:r>
      <w:r>
        <w:t xml:space="preserve">, which the package already</w:t>
      </w:r>
      <w:r>
        <w:t xml:space="preserve"> </w:t>
      </w:r>
      <w:r>
        <w:t xml:space="preserve">requires.</w:t>
      </w:r>
    </w:p>
    <w:p>
      <w:pPr>
        <w:pStyle w:val="BodyText"/>
      </w:pPr>
      <w:r>
        <w:t xml:space="preserve">A design may also be declared</w:t>
      </w:r>
      <w:r>
        <w:t xml:space="preserve"> </w:t>
      </w:r>
      <w:r>
        <w:rPr>
          <w:i/>
          <w:iCs/>
        </w:rPr>
        <w:t xml:space="preserve">continuous</w:t>
      </w:r>
      <w:r>
        <w:t xml:space="preserve"> </w:t>
      </w:r>
      <w:r>
        <w:t xml:space="preserve">rather than dichotomised. Instead of</w:t>
      </w:r>
      <w:r>
        <w:t xml:space="preserve"> </w:t>
      </w:r>
      <w:r>
        <w:t xml:space="preserve">splitting a variable into conditions and matching,</w:t>
      </w:r>
      <w:r>
        <w:t xml:space="preserve"> </w:t>
      </w:r>
      <w:r>
        <w:t xml:space="preserve">‘lexsync’</w:t>
      </w:r>
      <w:r>
        <w:t xml:space="preserve"> </w:t>
      </w:r>
      <w:r>
        <w:t xml:space="preserve">selects a set that</w:t>
      </w:r>
      <w:r>
        <w:t xml:space="preserve"> </w:t>
      </w:r>
      <w:r>
        <w:t xml:space="preserve">spans the variable’s range evenly while holding the control dimensions</w:t>
      </w:r>
      <w:r>
        <w:t xml:space="preserve"> </w:t>
      </w:r>
      <w:r>
        <w:t xml:space="preserve">near-constant, so the variable stays continuous and is analysed by regression or a</w:t>
      </w:r>
      <w:r>
        <w:t xml:space="preserve"> </w:t>
      </w:r>
      <w:r>
        <w:t xml:space="preserve">mixed model rather than a between-condition contrast. This is the recommended</w:t>
      </w:r>
      <w:r>
        <w:t xml:space="preserve"> </w:t>
      </w:r>
      <w:r>
        <w:t xml:space="preserve">alternative to matched dichotomies, which lose power and admit selection</w:t>
      </w:r>
      <w:r>
        <w:t xml:space="preserve"> </w:t>
      </w:r>
      <w:r>
        <w:t xml:space="preserve">artefacts</w:t>
      </w:r>
      <w:r>
        <w:t xml:space="preserve"> </w:t>
      </w:r>
      <w:r>
        <w:t xml:space="preserve">(Kuperman, 2015; Liben-Nowell et al., 2019)</w:t>
      </w:r>
      <w:r>
        <w:t xml:space="preserve">. For a continuous</w:t>
      </w:r>
      <w:r>
        <w:t xml:space="preserve"> </w:t>
      </w:r>
      <w:r>
        <w:t xml:space="preserve">design the datasheet reports the realised span, the predictor-control</w:t>
      </w:r>
      <w:r>
        <w:t xml:space="preserve"> </w:t>
      </w:r>
      <w:r>
        <w:t xml:space="preserve">correlations and a suggested regression model.</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cross-condition pairs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To keep the</w:t>
      </w:r>
      <w:r>
        <w:t xml:space="preserve"> </w:t>
      </w:r>
      <w:r>
        <w:t xml:space="preserve">pair matrix tractable, each condition’s candidate set is first reduced, in turn,</w:t>
      </w:r>
      <w:r>
        <w:t xml:space="preserve"> </w:t>
      </w:r>
      <w:r>
        <w:t xml:space="preserve">to the 1,200 items closest to the other condition’s centroid in standardised</w:t>
      </w:r>
      <w:r>
        <w:t xml:space="preserve"> </w:t>
      </w:r>
      <w:r>
        <w:t xml:space="preserve">space. In both neighbourhood demonstrations below at least one condition’s</w:t>
      </w:r>
      <w:r>
        <w:t xml:space="preserve"> </w:t>
      </w:r>
      <w:r>
        <w:t xml:space="preserve">candidate set is larger than that, so the reduction is active in them.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The trial order</w:t>
      </w:r>
      <w:r>
        <w:t xml:space="preserve"> </w:t>
      </w:r>
      <w:r>
        <w:t xml:space="preserve">within each list comes from a seeded, keyed-hash shuffle: each trial is ranked</w:t>
      </w:r>
      <w:r>
        <w:t xml:space="preserve"> </w:t>
      </w:r>
      <w:r>
        <w:t xml:space="preserve">by the SHA-256 digest of the string</w:t>
      </w:r>
      <w:r>
        <w:t xml:space="preserve"> </w:t>
      </w:r>
      <w:r>
        <w:rPr>
          <w:rStyle w:val="VerbatimChar"/>
        </w:rPr>
        <w:t xml:space="preserve">seed|replicate|list|set|condition</w:t>
      </w:r>
      <w:r>
        <w:t xml:space="preserve">, a</w:t>
      </w:r>
      <w:r>
        <w:t xml:space="preserve"> </w:t>
      </w:r>
      <w:r>
        <w:t xml:space="preserve">tuple that identifies it uniquely under either counterbalancing recipe.</w:t>
      </w:r>
      <w:r>
        <w:t xml:space="preserve"> </w:t>
      </w:r>
      <w:r>
        <w:t xml:space="preserve">Distinct inputs to SHA-256 behave as independent uniform draws, so ranking by</w:t>
      </w:r>
      <w:r>
        <w:t xml:space="preserve"> </w:t>
      </w:r>
      <w:r>
        <w:t xml:space="preserve">the digest realises a seeded random permutation, yet the permutation is a pure</w:t>
      </w:r>
      <w:r>
        <w:t xml:space="preserve"> </w:t>
      </w:r>
      <w:r>
        <w:t xml:space="preserve">function of the design. A different seed gives a different order, and the same</w:t>
      </w:r>
      <w:r>
        <w:t xml:space="preserve"> </w:t>
      </w:r>
      <w:r>
        <w:t xml:space="preserve">seed gives the same order, byte for byte, from both engines on any platform.</w:t>
      </w:r>
      <w:r>
        <w:t xml:space="preserve"> </w:t>
      </w:r>
      <w:r>
        <w:t xml:space="preserve">Nothing in the ordering consults the machine, since the digest and the byte-order</w:t>
      </w:r>
      <w:r>
        <w:t xml:space="preserve"> </w:t>
      </w:r>
      <w:r>
        <w:t xml:space="preserve">sort that ranks trials by it are fixed by the specification rather than by the</w:t>
      </w:r>
      <w:r>
        <w:t xml:space="preserve"> </w:t>
      </w:r>
      <w:r>
        <w:t xml:space="preserve">local toolchain. That is checked rather than assumed. The parity suite runs on</w:t>
      </w:r>
      <w:r>
        <w:t xml:space="preserve"> </w:t>
      </w:r>
      <w:r>
        <w:t xml:space="preserve">Linux, macOS and Windows, and on every push and pull request continuous</w:t>
      </w:r>
      <w:r>
        <w:t xml:space="preserve"> </w:t>
      </w:r>
      <w:r>
        <w:t xml:space="preserve">integration generates the experiments with each engine in turn and fails if any</w:t>
      </w:r>
      <w:r>
        <w:t xml:space="preserve"> </w:t>
      </w:r>
      <w:r>
        <w:t xml:space="preserve">file differs. No random-number generator is involved anywhere in the package, so</w:t>
      </w:r>
      <w:r>
        <w:t xml:space="preserve"> </w:t>
      </w:r>
      <w:r>
        <w:t xml:space="preserve">there is no generator state to save or restore. The permutation is uniform,</w:t>
      </w:r>
      <w:r>
        <w:t xml:space="preserve"> </w:t>
      </w:r>
      <w:r>
        <w:t xml:space="preserve">which makes it a legitimate randomisation and not merely a reproducible one.</w:t>
      </w:r>
      <w:r>
        <w:t xml:space="preserve"> </w:t>
      </w:r>
      <w:r>
        <w:t xml:space="preserve">Over a range of seeds each item’s mean serial position sits at the centre of its</w:t>
      </w:r>
      <w:r>
        <w:t xml:space="preserve"> </w:t>
      </w:r>
      <w:r>
        <w:t xml:space="preserve">list, and each item reaches every position about equally often. The test suite</w:t>
      </w:r>
      <w:r>
        <w:t xml:space="preserve"> </w:t>
      </w:r>
      <w:r>
        <w:t xml:space="preserve">checks the centring and that every item reaches first place at some seed. A</w:t>
      </w:r>
      <w:r>
        <w:t xml:space="preserve"> </w:t>
      </w:r>
      <w:r>
        <w:t xml:space="preserve">design may also request</w:t>
      </w:r>
      <w:r>
        <w:t xml:space="preserve"> </w:t>
      </w:r>
      <w:r>
        <w:rPr>
          <w:i/>
          <w:iCs/>
        </w:rPr>
        <w:t xml:space="preserve">resampling</w:t>
      </w:r>
      <w:r>
        <w:t xml:space="preserve">: several disjoint matched item sets are</w:t>
      </w:r>
      <w:r>
        <w:t xml:space="preserve"> </w:t>
      </w:r>
      <w:r>
        <w:t xml:space="preserve">drawn, no item reused across them, so a study can run a different item sample per</w:t>
      </w:r>
      <w:r>
        <w:t xml:space="preserve"> </w:t>
      </w:r>
      <w:r>
        <w:t xml:space="preserve">participant group or demonstrate an effect across samples rather than resting on</w:t>
      </w:r>
      <w:r>
        <w:t xml:space="preserve"> </w:t>
      </w:r>
      <w:r>
        <w:t xml:space="preserve">a single fixed set of items. Generalising beyond the particular items shown is a</w:t>
      </w:r>
      <w:r>
        <w:t xml:space="preserve"> </w:t>
      </w:r>
      <w:r>
        <w:t xml:space="preserve">long-standing concern</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the anchor</w:t>
      </w:r>
      <w:r>
        <w:t xml:space="preserve"> </w:t>
      </w:r>
      <w:r>
        <w:t xml:space="preserve">condition minus the comparison condition over their pooled standard deviation),</w:t>
      </w:r>
      <w:r>
        <w:t xml:space="preserve"> </w:t>
      </w:r>
      <w:r>
        <w:t xml:space="preserve">together with a 90% confidence interval on that difference. The interval is the</w:t>
      </w:r>
      <w:r>
        <w:t xml:space="preserve"> </w:t>
      </w:r>
      <w:r>
        <w:t xml:space="preserve">ordinary</w:t>
      </w:r>
      <w:r>
        <w:t xml:space="preserve"> </w:t>
      </w:r>
      <w:r>
        <w:rPr>
          <w:i/>
          <w:iCs/>
        </w:rPr>
        <w:t xml:space="preserve">t</w:t>
      </w:r>
      <w:r>
        <w:t xml:space="preserve"> </w:t>
      </w:r>
      <w:r>
        <w:t xml:space="preserve">interval on the raw mean difference, re-expressed in pooled standard</w:t>
      </w:r>
      <w:r>
        <w:t xml:space="preserve"> </w:t>
      </w:r>
      <w:r>
        <w:t xml:space="preserve">deviations. Its half-width is the .95 quantile of</w:t>
      </w:r>
      <w:r>
        <w:t xml:space="preserve"> </w:t>
      </w:r>
      <w:r>
        <w:rPr>
          <w:i/>
          <w:iCs/>
        </w:rPr>
        <w:t xml:space="preserve">t</w:t>
      </w:r>
      <w:r>
        <w:t xml:space="preserve"> </w:t>
      </w:r>
      <w:r>
        <w:t xml:space="preserve">on</w:t>
      </w:r>
      <w:r>
        <w:t xml:space="preserve"> </w:t>
      </w:r>
      <w:r>
        <w:rPr>
          <w:i/>
          <w:iCs/>
        </w:rPr>
        <w:t xml:space="preserve">n</w:t>
      </w:r>
      <w:r>
        <w:rPr>
          <w:vertAlign w:val="subscript"/>
        </w:rPr>
        <w:t xml:space="preserve">1</w:t>
      </w:r>
      <w:r>
        <w:t xml:space="preserve"> </w:t>
      </w:r>
      <w:r>
        <w:t xml:space="preserve">+</w:t>
      </w:r>
      <w:r>
        <w:t xml:space="preserve"> </w:t>
      </w:r>
      <w:r>
        <w:rPr>
          <w:i/>
          <w:iCs/>
        </w:rPr>
        <w:t xml:space="preserve">n</w:t>
      </w:r>
      <w:r>
        <w:rPr>
          <w:vertAlign w:val="subscript"/>
        </w:rPr>
        <w:t xml:space="preserve">2</w:t>
      </w:r>
      <w:r>
        <w:t xml:space="preserve"> </w:t>
      </w:r>
      <w:r>
        <w:t xml:space="preserve">− 2</w:t>
      </w:r>
      <w:r>
        <w:t xml:space="preserve"> </w:t>
      </w:r>
      <w:r>
        <w:t xml:space="preserve">degrees of freedom, times the square root of 1/</w:t>
      </w:r>
      <w:r>
        <w:rPr>
          <w:i/>
          <w:iCs/>
        </w:rPr>
        <w:t xml:space="preserve">n</w:t>
      </w:r>
      <w:r>
        <w:rPr>
          <w:vertAlign w:val="subscript"/>
        </w:rPr>
        <w:t xml:space="preserve">1</w:t>
      </w:r>
      <w:r>
        <w:t xml:space="preserve"> </w:t>
      </w:r>
      <w:r>
        <w:t xml:space="preserve">+ 1/</w:t>
      </w:r>
      <w:r>
        <w:rPr>
          <w:i/>
          <w:iCs/>
        </w:rPr>
        <w:t xml:space="preserve">n</w:t>
      </w:r>
      <w:r>
        <w:rPr>
          <w:vertAlign w:val="subscript"/>
        </w:rPr>
        <w:t xml:space="preserve">2</w:t>
      </w:r>
      <w:r>
        <w:t xml:space="preserve">, so it carries</w:t>
      </w:r>
      <w:r>
        <w:t xml:space="preserve"> </w:t>
      </w:r>
      <w:r>
        <w:t xml:space="preserve">the sampling uncertainty of the two means but not that of the pooled standard</w:t>
      </w:r>
      <w:r>
        <w:t xml:space="preserve"> </w:t>
      </w:r>
      <w:r>
        <w:t xml:space="preserve">deviation, and it is therefore not the non-central</w:t>
      </w:r>
      <w:r>
        <w:t xml:space="preserve"> </w:t>
      </w:r>
      <w:r>
        <w:rPr>
          <w:i/>
          <w:iCs/>
        </w:rPr>
        <w:t xml:space="preserve">t</w:t>
      </w:r>
      <w:r>
        <w:t xml:space="preserve"> </w:t>
      </w:r>
      <w:r>
        <w:t xml:space="preserve">interval sometimes used</w:t>
      </w:r>
      <w:r>
        <w:t xml:space="preserve"> </w:t>
      </w:r>
      <w:r>
        <w:t xml:space="preserve">for</w:t>
      </w:r>
      <w:r>
        <w:t xml:space="preserve"> </w:t>
      </w:r>
      <w:r>
        <w:rPr>
          <w:i/>
          <w:iCs/>
        </w:rPr>
        <w:t xml:space="preserve">d</w:t>
      </w:r>
      <w:r>
        <w:t xml:space="preserv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verdict against the schema’s bound of</w:t>
      </w:r>
      <w:r>
        <w:t xml:space="preserve"> </w:t>
      </w:r>
      <w:r>
        <w:t xml:space="preserve">0.5 pooled standard deviations. A 90% interval falling entirely within that bound</w:t>
      </w:r>
      <w:r>
        <w:t xml:space="preserve"> </w:t>
      </w:r>
      <w:r>
        <w:t xml:space="preserve">is exactly the condition under which a TOST at the .05 level declares</w:t>
      </w:r>
      <w:r>
        <w:t xml:space="preserve"> </w:t>
      </w:r>
      <w:r>
        <w:t xml:space="preserve">equivalence, so the two are coherent, and the interval is the more transparent of</w:t>
      </w:r>
      <w:r>
        <w:t xml:space="preserve"> </w:t>
      </w:r>
      <w:r>
        <w:t xml:space="preserve">the pair. Together they make the realised control explicit, in the spirit of the</w:t>
      </w:r>
      <w:r>
        <w:t xml:space="preserve"> </w:t>
      </w:r>
      <w:r>
        <w:t xml:space="preserve">balance checks that study-specific pipelines perform by hand, and the run log</w:t>
      </w:r>
      <w:r>
        <w:t xml:space="preserve"> </w:t>
      </w:r>
      <w:r>
        <w:t xml:space="preserve">makes a run 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and their intervals, a variance-ratio check on the spread, and the</w:t>
      </w:r>
      <w:r>
        <w:t xml:space="preserve"> </w:t>
      </w:r>
      <w:r>
        <w:t xml:space="preserve">equivalence verdicts),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w:t>
      </w:r>
      <w:r>
        <w:t xml:space="preserve">: the materials, the procedure and the record</w:t>
      </w:r>
      <w:r>
        <w:t xml:space="preserve"> </w:t>
      </w:r>
      <w:r>
        <w:t xml:space="preserve">of how they were made travel together.</w:t>
      </w:r>
    </w:p>
    <w:bookmarkEnd w:id="13"/>
    <w:bookmarkStart w:id="14" w:name="hardware-time-locking"/>
    <w:p>
      <w:pPr>
        <w:pStyle w:val="Heading2"/>
      </w:pPr>
      <w:r>
        <w:t xml:space="preserve">Hardware time-locking</w:t>
      </w:r>
    </w:p>
    <w:p>
      <w:pPr>
        <w:pStyle w:val="FirstParagraph"/>
      </w:pPr>
      <w:r>
        <w:t xml:space="preserve">Of the three presentation targets the</w:t>
      </w:r>
      <w:r>
        <w:t xml:space="preserve"> </w:t>
      </w:r>
      <w:r>
        <w:t xml:space="preserve">‘scripting’</w:t>
      </w:r>
      <w:r>
        <w:t xml:space="preserve"> </w:t>
      </w:r>
      <w:r>
        <w:t xml:space="preserve">module emits from the same</w:t>
      </w:r>
      <w:r>
        <w:t xml:space="preserve"> </w:t>
      </w:r>
      <w:r>
        <w:t xml:space="preserve">matched stimuli, two drive laboratory hardware. The browser-based third is</w:t>
      </w:r>
      <w:r>
        <w:t xml:space="preserve"> </w:t>
      </w:r>
      <w:r>
        <w:t xml:space="preserve">described below. In the</w:t>
      </w:r>
      <w:r>
        <w:t xml:space="preserve"> </w:t>
      </w:r>
      <w:r>
        <w:t xml:space="preserve">‘PsychoPy’</w:t>
      </w:r>
      <w:r>
        <w:t xml:space="preserve"> </w:t>
      </w:r>
      <w:r>
        <w:t xml:space="preserve">script a single routine,</w:t>
      </w:r>
      <w:r>
        <w:t xml:space="preserve"> </w:t>
      </w:r>
      <w:r>
        <w:rPr>
          <w:rStyle w:val="VerbatimChar"/>
        </w:rPr>
        <w:t xml:space="preserve">show_frames</w:t>
      </w:r>
      <w:r>
        <w:t xml:space="preserve">, draws</w:t>
      </w:r>
      <w:r>
        <w:t xml:space="preserve"> </w:t>
      </w:r>
      <w:r>
        <w:t xml:space="preserve">every timed event and binds any onset trigger to the flip on which the stimulus</w:t>
      </w:r>
      <w:r>
        <w:t xml:space="preserve"> </w:t>
      </w:r>
      <w:r>
        <w:t xml:space="preserve">first appears:</w:t>
      </w:r>
    </w:p>
    <w:p>
      <w:pPr>
        <w:pStyle w:val="SourceCode"/>
      </w:pPr>
      <w:r>
        <w:rPr>
          <w:rStyle w:val="KeywordTok"/>
        </w:rPr>
        <w:t xml:space="preserve">def</w:t>
      </w:r>
      <w:r>
        <w:rPr>
          <w:rStyle w:val="NormalTok"/>
        </w:rPr>
        <w:t xml:space="preserve"> show_frames(win, stim, frames, port, trigger):</w:t>
      </w:r>
      <w:r>
        <w:br/>
      </w:r>
      <w:r>
        <w:rPr>
          <w:rStyle w:val="NormalTok"/>
        </w:rPr>
        <w:t xml:space="preserve">    </w:t>
      </w:r>
      <w:r>
        <w:rPr>
          <w:rStyle w:val="ControlFlowTok"/>
        </w:rPr>
        <w:t xml:space="preserve">if</w:t>
      </w:r>
      <w:r>
        <w:rPr>
          <w:rStyle w:val="NormalTok"/>
        </w:rPr>
        <w:t xml:space="preserve"> trigger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win.callOnFlip(port.setData, trigger)</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(frames):</w:t>
      </w:r>
      <w:r>
        <w:br/>
      </w:r>
      <w:r>
        <w:rPr>
          <w:rStyle w:val="NormalTok"/>
        </w:rPr>
        <w:t xml:space="preserve">        </w:t>
      </w:r>
      <w:r>
        <w:rPr>
          <w:rStyle w:val="ControlFlowTok"/>
        </w:rPr>
        <w:t xml:space="preserve">if</w:t>
      </w:r>
      <w:r>
        <w:rPr>
          <w:rStyle w:val="NormalTok"/>
        </w:rPr>
        <w:t xml:space="preserve"> stim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trigger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trigger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frames </w:t>
      </w:r>
      <w:r>
        <w:rPr>
          <w:rStyle w:val="OperatorTok"/>
        </w:rPr>
        <w:t xml:space="preserve">&lt;=</w:t>
      </w:r>
      <w:r>
        <w:rPr>
          <w:rStyle w:val="NormalTok"/>
        </w:rPr>
        <w:t xml:space="preserve"> RESET_AFTER_FRAMES:</w:t>
      </w:r>
      <w:r>
        <w:br/>
      </w:r>
      <w:r>
        <w:rPr>
          <w:rStyle w:val="NormalTok"/>
        </w:rPr>
        <w:t xml:space="preserve">        port.setData(</w:t>
      </w:r>
      <w:r>
        <w:rPr>
          <w:rStyle w:val="DecValTok"/>
        </w:rPr>
        <w:t xml:space="preserve">0</w:t>
      </w:r>
      <w:r>
        <w:rPr>
          <w:rStyle w:val="NormalTok"/>
        </w:rPr>
        <w:t xml:space="preserve">)</w:t>
      </w:r>
    </w:p>
    <w:p>
      <w:pPr>
        <w:pStyle w:val="FirstParagraph"/>
      </w:pPr>
      <w:r>
        <w:t xml:space="preserve">The code is held for</w:t>
      </w:r>
      <w:r>
        <w:t xml:space="preserve"> </w:t>
      </w:r>
      <w:r>
        <w:rPr>
          <w:rStyle w:val="VerbatimChar"/>
        </w:rPr>
        <w:t xml:space="preserve">triggers.reset_after_frames</w:t>
      </w:r>
      <w:r>
        <w:t xml:space="preserve"> </w:t>
      </w:r>
      <w:r>
        <w:t xml:space="preserve">frames, two by default in the</w:t>
      </w:r>
      <w:r>
        <w:t xml:space="preserve"> </w:t>
      </w:r>
      <w:r>
        <w:t xml:space="preserve">schema, and the reset is itself bound to a flip. An event that does not last</w:t>
      </w:r>
      <w:r>
        <w:t xml:space="preserve"> </w:t>
      </w:r>
      <w:r>
        <w:t xml:space="preserve">beyond that window clears the port directly as it ends.</w:t>
      </w:r>
    </w:p>
    <w:p>
      <w:pPr>
        <w:pStyle w:val="BodyText"/>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It is generated programmatically, so its tab-sensitive</w:t>
      </w:r>
      <w:r>
        <w:t xml:space="preserve"> </w:t>
      </w:r>
      <w:r>
        <w:t xml:space="preserve">format is always valid, and it is modelled on a working experiment reported by</w:t>
      </w:r>
      <w:r>
        <w:t xml:space="preserve"> </w:t>
      </w:r>
      <w:r>
        <w:t xml:space="preserve">González Alonso et al. (2025)</w:t>
      </w:r>
      <w:r>
        <w:t xml:space="preserve">. In it the word is drawn and shown from an inline script,</w:t>
      </w:r>
      <w:r>
        <w:t xml:space="preserve"> </w:t>
      </w:r>
      <w:r>
        <w:t xml:space="preserve">and the marker is sent as soon as</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that marker follows the verified flip, which is</w:t>
      </w:r>
      <w:r>
        <w:t xml:space="preserve"> </w:t>
      </w:r>
      <w:r>
        <w:t xml:space="preserve">the method the platform recommends. Both laboratory targets are therefore</w:t>
      </w:r>
      <w:r>
        <w:t xml:space="preserve"> </w:t>
      </w:r>
      <w:r>
        <w:t xml:space="preserve">time-locked to stimulus onset, though we recommend a photodiode check in either</w:t>
      </w:r>
      <w:r>
        <w:t xml:space="preserve"> </w:t>
      </w:r>
      <w:r>
        <w:t xml:space="preserve">case. Neither the matching nor the script generation imports</w:t>
      </w:r>
      <w:r>
        <w:t xml:space="preserve"> </w:t>
      </w:r>
      <w:r>
        <w:t xml:space="preserve">‘PsychoPy’</w:t>
      </w:r>
      <w:r>
        <w:t xml:space="preserve"> </w:t>
      </w:r>
      <w:r>
        <w:t xml:space="preserve">or any</w:t>
      </w:r>
      <w:r>
        <w:t xml:space="preserve"> </w:t>
      </w:r>
      <w:r>
        <w:t xml:space="preserve">serial library. Generation only writes text, and the presentation software is</w:t>
      </w:r>
      <w:r>
        <w:t xml:space="preserve"> </w:t>
      </w:r>
      <w:r>
        <w:t xml:space="preserve">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A study-specific script typically supports one kind of trial (a fixation cross, a</w:t>
      </w:r>
      <w:r>
        <w:t xml:space="preserve"> </w:t>
      </w:r>
      <w:r>
        <w:t xml:space="preserve">single word and a response), hard-coded into the experiment.</w:t>
      </w:r>
      <w:r>
        <w:t xml:space="preserve"> </w:t>
      </w:r>
      <w:r>
        <w:t xml:space="preserve">‘lexsync’</w:t>
      </w:r>
      <w:r>
        <w:t xml:space="preserve"> </w:t>
      </w:r>
      <w:r>
        <w:t xml:space="preserve">replaces</w:t>
      </w:r>
      <w:r>
        <w:t xml:space="preserve"> </w:t>
      </w:r>
      <w:r>
        <w:t xml:space="preserve">that 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all three</w:t>
      </w:r>
      <w:r>
        <w:t xml:space="preserve"> </w:t>
      </w:r>
      <w:r>
        <w:t xml:space="preserve">targets present the same events in the same order. Durations are the one place</w:t>
      </w:r>
      <w:r>
        <w:t xml:space="preserve"> </w:t>
      </w:r>
      <w:r>
        <w:t xml:space="preserve">where the targets can come apart. Every event length is declared in refresh</w:t>
      </w:r>
      <w:r>
        <w:t xml:space="preserve"> </w:t>
      </w:r>
      <w:r>
        <w:t xml:space="preserve">frames, and the</w:t>
      </w:r>
      <w:r>
        <w:t xml:space="preserve"> </w:t>
      </w:r>
      <w:r>
        <w:t xml:space="preserve">‘PsychoPy’</w:t>
      </w:r>
      <w:r>
        <w:t xml:space="preserve"> </w:t>
      </w:r>
      <w:r>
        <w:t xml:space="preserve">script counts frames on whatever display is in use,</w:t>
      </w:r>
      <w:r>
        <w:t xml:space="preserve"> </w:t>
      </w:r>
      <w:r>
        <w:t xml:space="preserve">whereas the</w:t>
      </w:r>
      <w:r>
        <w:t xml:space="preserve"> </w:t>
      </w:r>
      <w:r>
        <w:t xml:space="preserve">‘OpenSesame’</w:t>
      </w:r>
      <w:r>
        <w:t xml:space="preserve"> </w:t>
      </w:r>
      <w:r>
        <w:t xml:space="preserve">and</w:t>
      </w:r>
      <w:r>
        <w:t xml:space="preserve"> </w:t>
      </w:r>
      <w:r>
        <w:t xml:space="preserve">‘jsPsych’</w:t>
      </w:r>
      <w:r>
        <w:t xml:space="preserve"> </w:t>
      </w:r>
      <w:r>
        <w:t xml:space="preserve">generators convert that frame count to</w:t>
      </w:r>
      <w:r>
        <w:t xml:space="preserve"> </w:t>
      </w:r>
      <w:r>
        <w:t xml:space="preserve">milliseconds at an assumed 60 Hz. On a display of another refresh rate the two</w:t>
      </w:r>
      <w:r>
        <w:t xml:space="preserve"> </w:t>
      </w:r>
      <w:r>
        <w:t xml:space="preserve">therefore no longer describe the same interval, and the discrepancy is</w:t>
      </w:r>
      <w:r>
        <w:t xml:space="preserve"> </w:t>
      </w:r>
      <w:r>
        <w:t xml:space="preserve">proportionally largest for the briefest events, such as the prime and the mask of</w:t>
      </w:r>
      <w:r>
        <w:t xml:space="preserve"> </w:t>
      </w:r>
      <w:r>
        <w:t xml:space="preserve">the masked-priming paradigm. On the</w:t>
      </w:r>
      <w:r>
        <w:t xml:space="preserve"> </w:t>
      </w:r>
      <w:r>
        <w:t xml:space="preserve">‘OpenSesame’</w:t>
      </w:r>
      <w:r>
        <w:t xml:space="preserve"> </w:t>
      </w:r>
      <w:r>
        <w:t xml:space="preserve">target the onset code is also</w:t>
      </w:r>
      <w:r>
        <w:t xml:space="preserve"> </w:t>
      </w:r>
      <w:r>
        <w:t xml:space="preserve">held for 10 ms before it is reset, and that wait lengthens the event it marks by</w:t>
      </w:r>
      <w:r>
        <w:t xml:space="preserve"> </w:t>
      </w:r>
      <w:r>
        <w:t xml:space="preserve">the same amount. This concerns the presentation targets only. The generated files</w:t>
      </w:r>
      <w:r>
        <w:t xml:space="preserve"> </w:t>
      </w:r>
      <w:r>
        <w:t xml:space="preserve">themselves remain byte-identical between the R and Python engines, which emit the</w:t>
      </w:r>
      <w:r>
        <w:t xml:space="preserve"> </w:t>
      </w:r>
      <w:r>
        <w:t xml:space="preserve">same conversion.</w:t>
      </w:r>
    </w:p>
    <w:p>
      <w:pPr>
        <w:pStyle w:val="BodyText"/>
      </w:pPr>
      <w:r>
        <w:t xml:space="preserve">The</w:t>
      </w:r>
      <w:r>
        <w:t xml:space="preserve"> </w:t>
      </w:r>
      <w:r>
        <w:t xml:space="preserve">‘jsPsych’</w:t>
      </w:r>
      <w:r>
        <w:t xml:space="preserve"> </w:t>
      </w:r>
      <w:r>
        <w:t xml:space="preserve">target is a single shareable HTML file that runs in any modern</w:t>
      </w:r>
      <w:r>
        <w:t xml:space="preserve"> </w:t>
      </w:r>
      <w:r>
        <w:t xml:space="preserve">browser, so anyone can reproduce the exact procedure online from the same</w:t>
      </w:r>
      <w:r>
        <w:t xml:space="preserve"> </w:t>
      </w:r>
      <w:r>
        <w:t xml:space="preserve">materials. The jsPsych library itself loads from a content delivery network.</w:t>
      </w:r>
      <w:r>
        <w:t xml:space="preserve"> </w:t>
      </w:r>
      <w:r>
        <w:t xml:space="preserve">Because a browser cannot drive a parallel port, each onset marker is recorded in</w:t>
      </w:r>
      <w:r>
        <w:t xml:space="preserve"> </w:t>
      </w:r>
      <w:r>
        <w:t xml:space="preserve">the trial’s data rather than written to hardware, and online EEG synchronisation</w:t>
      </w:r>
      <w:r>
        <w:t xml:space="preserve"> </w:t>
      </w:r>
      <w:r>
        <w:t xml:space="preserve">would route it through WebSerial or a photodiode. Stimulus text is always written</w:t>
      </w:r>
      <w:r>
        <w:t xml:space="preserve"> </w:t>
      </w:r>
      <w:r>
        <w:t xml:space="preserve">as data into the conditions file the experiment reads, never interpolated into</w:t>
      </w:r>
      <w:r>
        <w:t xml:space="preserve"> </w:t>
      </w:r>
      <w:r>
        <w:t xml:space="preserve">the generated code, and any value containing a control character or exceeding a</w:t>
      </w:r>
      <w:r>
        <w:t xml:space="preserve"> </w:t>
      </w:r>
      <w:r>
        <w:t xml:space="preserve">length bound is rejected before writing, so a malformed item cannot corrupt a</w:t>
      </w:r>
      <w:r>
        <w:t xml:space="preserve"> </w:t>
      </w:r>
      <w:r>
        <w:t xml:space="preserve">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by one of two methods set in</w:t>
      </w:r>
      <w:r>
        <w:t xml:space="preserve"> </w:t>
      </w:r>
      <w:r>
        <w:rPr>
          <w:rStyle w:val="VerbatimChar"/>
        </w:rPr>
        <w:t xml:space="preserve">items.generation.method</w:t>
      </w:r>
      <w:r>
        <w:t xml:space="preserve">. The default,</w:t>
      </w:r>
      <w:r>
        <w:t xml:space="preserve"> </w:t>
      </w:r>
      <w:r>
        <w:rPr>
          <w:rStyle w:val="VerbatimChar"/>
        </w:rPr>
        <w:t xml:space="preserve">letter_substitution</w:t>
      </w:r>
      <w:r>
        <w:t xml:space="preserve">, derives a length-matched, orthographically legal non-word</w:t>
      </w:r>
      <w:r>
        <w:t xml:space="preserve"> </w:t>
      </w:r>
      <w:r>
        <w:t xml:space="preserve">for each real word by changing the fewest letters such that every resulting</w:t>
      </w:r>
      <w:r>
        <w:t xml:space="preserve"> </w:t>
      </w:r>
      <w:r>
        <w:t xml:space="preserve">letter bigram is attested in the corpus and the form is neither a real word nor a</w:t>
      </w:r>
      <w:r>
        <w:t xml:space="preserve"> </w:t>
      </w:r>
      <w:r>
        <w:t xml:space="preserve">pseudoword already issued for the set, choosing among the legal candidates the</w:t>
      </w:r>
      <w:r>
        <w:t xml:space="preserve"> </w:t>
      </w:r>
      <w:r>
        <w:t xml:space="preserve">most bigram-plausible with a byte-order tie-break. Substituted letters are drawn</w:t>
      </w:r>
      <w:r>
        <w:t xml:space="preserve"> </w:t>
      </w:r>
      <w:r>
        <w:t xml:space="preserve">from a to z and the search stops after two changed positions, so the generator</w:t>
      </w:r>
      <w:r>
        <w:t xml:space="preserve"> </w:t>
      </w:r>
      <w:r>
        <w:t xml:space="preserve">reports a failure rather than drifting further from its base word. The</w:t>
      </w:r>
      <w:r>
        <w:t xml:space="preserve"> </w:t>
      </w:r>
      <w:r>
        <w:t xml:space="preserve">alternative,</w:t>
      </w:r>
      <w:r>
        <w:t xml:space="preserve"> </w:t>
      </w:r>
      <w:r>
        <w:rPr>
          <w:rStyle w:val="VerbatimChar"/>
        </w:rPr>
        <w:t xml:space="preserve">subsyllabic</w:t>
      </w:r>
      <w:r>
        <w:t xml:space="preserve">, splits each word into onset, nucleus and coda</w:t>
      </w:r>
      <w:r>
        <w:t xml:space="preserve"> </w:t>
      </w:r>
      <w:r>
        <w:t xml:space="preserve">constituents and swaps up to two thirds of them, rounded up, for attested</w:t>
      </w:r>
      <w:r>
        <w:t xml:space="preserve"> </w:t>
      </w:r>
      <w:r>
        <w:t xml:space="preserve">alternatives of the same role and length, taking codas first and onsets last, so</w:t>
      </w:r>
      <w:r>
        <w:t xml:space="preserve"> </w:t>
      </w:r>
      <w:r>
        <w:t xml:space="preserve">that the pseudoword keeps the syllabic structure of its base. Where no legal swap</w:t>
      </w:r>
      <w:r>
        <w:t xml:space="preserve"> </w:t>
      </w:r>
      <w:r>
        <w:t xml:space="preserve">is available for a word, that item falls back to letter substitution. Both are</w:t>
      </w:r>
      <w:r>
        <w:t xml:space="preserve"> </w:t>
      </w:r>
      <w:r>
        <w:t xml:space="preserve">deterministic orthographic approximations of</w:t>
      </w:r>
      <w:r>
        <w:t xml:space="preserve"> </w:t>
      </w:r>
      <w:r>
        <w:t xml:space="preserve">‘Wuggy’</w:t>
      </w:r>
      <w:r>
        <w:t xml:space="preserve"> </w:t>
      </w:r>
      <w:r>
        <w:t xml:space="preserve">(Keuleers &amp; Brysbaert, 2010)</w:t>
      </w:r>
      <w:r>
        <w:t xml:space="preserve"> </w:t>
      </w:r>
      <w:r>
        <w:t xml:space="preserve">that</w:t>
      </w:r>
      <w:r>
        <w:t xml:space="preserve"> </w:t>
      </w:r>
      <w:r>
        <w:t xml:space="preserve">match length exactly and return byte-identical output from the R and the Python</w:t>
      </w:r>
      <w:r>
        <w:t xml:space="preserve"> </w:t>
      </w:r>
      <w:r>
        <w:t xml:space="preserve">engine.</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in pinned</w:t>
      </w:r>
      <w:r>
        <w:t xml:space="preserve"> </w:t>
      </w:r>
      <w:r>
        <w:t xml:space="preserve">requirements for Python, and it sets seeds from a single configuration file. The</w:t>
      </w:r>
      <w:r>
        <w:t xml:space="preserve"> </w:t>
      </w:r>
      <w:r>
        <w:t xml:space="preserve">distribution carries a</w:t>
      </w:r>
      <w:r>
        <w:t xml:space="preserve"> </w:t>
      </w:r>
      <w:r>
        <w:t xml:space="preserve">‘CITATION.cff’</w:t>
      </w:r>
      <w:r>
        <w:t xml:space="preserve">, an MIT licence for the code and CC BY-SA</w:t>
      </w:r>
      <w:r>
        <w:t xml:space="preserve"> </w:t>
      </w:r>
      <w:r>
        <w:t xml:space="preserve">terms for the bundled corpus derivatives, with full attribution. The R package</w:t>
      </w:r>
      <w:r>
        <w:t xml:space="preserve"> </w:t>
      </w:r>
      <w:r>
        <w:t xml:space="preserve">passes</w:t>
      </w:r>
      <w:r>
        <w:t xml:space="preserve"> </w:t>
      </w:r>
      <w:r>
        <w:rPr>
          <w:rStyle w:val="VerbatimChar"/>
        </w:rPr>
        <w:t xml:space="preserve">R CMD check --as-cran</w:t>
      </w:r>
      <w:r>
        <w:t xml:space="preserve">; the Python package builds a wheel and a source</w:t>
      </w:r>
      <w:r>
        <w:t xml:space="preserve"> </w:t>
      </w:r>
      <w:r>
        <w:t xml:space="preserve">distribution that pass</w:t>
      </w:r>
      <w:r>
        <w:t xml:space="preserve"> </w:t>
      </w:r>
      <w:r>
        <w:rPr>
          <w:rStyle w:val="VerbatimChar"/>
        </w:rPr>
        <w:t xml:space="preserve">twine check</w:t>
      </w:r>
      <w:r>
        <w:t xml:space="preserve">. Both ship unit test suites, including a</w:t>
      </w:r>
      <w:r>
        <w:t xml:space="preserve"> </w:t>
      </w:r>
      <w:r>
        <w:t xml:space="preserve">mock-engine test that confirms the generated</w:t>
      </w:r>
      <w:r>
        <w:t xml:space="preserve"> </w:t>
      </w:r>
      <w:r>
        <w:t xml:space="preserve">‘PsychoPy’</w:t>
      </w:r>
      <w:r>
        <w:t xml:space="preserve"> </w:t>
      </w:r>
      <w:r>
        <w:t xml:space="preserve">script writes its onset</w:t>
      </w:r>
      <w:r>
        <w:t xml:space="preserve"> </w:t>
      </w:r>
      <w:r>
        <w:t xml:space="preserve">trigger on the word’s first flip and a structural validator for the generated</w:t>
      </w:r>
      <w:r>
        <w:t xml:space="preserve"> </w:t>
      </w:r>
      <w:r>
        <w:rPr>
          <w:rStyle w:val="VerbatimChar"/>
        </w:rPr>
        <w:t xml:space="preserve">.osexp</w:t>
      </w:r>
      <w:r>
        <w:t xml:space="preserve">.</w:t>
      </w:r>
    </w:p>
    <w:bookmarkEnd w:id="16"/>
    <w:bookmarkEnd w:id="17"/>
    <w:bookmarkStart w:id="34"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fifteen demonstrations. Six are corpus-matched word</w:t>
      </w:r>
      <w:r>
        <w:t xml:space="preserve"> </w:t>
      </w:r>
      <w:r>
        <w:t xml:space="preserve">contrasts, three exercise other paradigms, three put the analytic choices argued</w:t>
      </w:r>
      <w:r>
        <w:t xml:space="preserve"> </w:t>
      </w:r>
      <w:r>
        <w:t xml:space="preserve">for above into practice (a continuous design, a resampled one and a second</w:t>
      </w:r>
      <w:r>
        <w:t xml:space="preserve"> </w:t>
      </w:r>
      <w:r>
        <w:t xml:space="preserve">pseudoword generator) and the last three reproduce designs from the published</w:t>
      </w:r>
      <w:r>
        <w:t xml:space="preserve"> </w:t>
      </w:r>
      <w:r>
        <w:t xml:space="preserve">literature (see</w:t>
      </w:r>
      <w:r>
        <w:t xml:space="preserve"> </w:t>
      </w:r>
      <w:r>
        <w:rPr>
          <w:i/>
          <w:iCs/>
        </w:rPr>
        <w:t xml:space="preserve">Reproducing published designs</w:t>
      </w:r>
      <w:r>
        <w:t xml:space="preserve">, below). The first four matched</w:t>
      </w:r>
      <w:r>
        <w:t xml:space="preserve"> </w:t>
      </w:r>
      <w:r>
        <w:t xml:space="preserve">contrasts cross two alphabetic languages: a high- versus low-frequency contrast</w:t>
      </w:r>
      <w:r>
        <w:t xml:space="preserve"> </w:t>
      </w:r>
      <w:r>
        <w:t xml:space="preserve">and a dense- versus sparse-neighbourhood contrast, each in English and in</w:t>
      </w:r>
      <w:r>
        <w:t xml:space="preserve"> </w:t>
      </w:r>
      <w:r>
        <w:t xml:space="preserve">Spanish, drawn from 30,000-word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 further English contrast, matches on an orthographic syllable estimate and a</w:t>
      </w:r>
      <w:r>
        <w:t xml:space="preserve"> </w:t>
      </w:r>
      <w:r>
        <w:t xml:space="preserve">bigram-frequency measure in place of the two neighbourhood measures, exercising</w:t>
      </w:r>
      <w:r>
        <w:t xml:space="preserve"> </w:t>
      </w:r>
      <w:r>
        <w:t xml:space="preserve">the richer dimensions introduced with the matching algorithm above. The next</w:t>
      </w:r>
      <w:r>
        <w:t xml:space="preserve"> </w:t>
      </w:r>
      <w:r>
        <w:t xml:space="preserve">three (lexical decision, priming and self-paced reading) show the trial-event</w:t>
      </w:r>
      <w:r>
        <w:t xml:space="preserve"> </w:t>
      </w:r>
      <w:r>
        <w:t xml:space="preserve">model carrying word, pseudoword, paired and sentence stimuli (see</w:t>
      </w:r>
      <w:r>
        <w:t xml:space="preserve"> </w:t>
      </w:r>
      <w:r>
        <w:rPr>
          <w:i/>
          <w:iCs/>
        </w:rPr>
        <w:t xml:space="preserve">Beyond word</w:t>
      </w:r>
      <w:r>
        <w:rPr>
          <w:i/>
          <w:iCs/>
        </w:rPr>
        <w:t xml:space="preserve"> </w:t>
      </w:r>
      <w:r>
        <w:rPr>
          <w:i/>
          <w:iCs/>
        </w:rPr>
        <w:t xml:space="preserve">lists</w:t>
      </w:r>
      <w:r>
        <w:t xml:space="preserve">, below). Each demonstration was produced by both the R and the Python</w:t>
      </w:r>
      <w:r>
        <w:t xml:space="preserve"> </w:t>
      </w:r>
      <w:r>
        <w:t xml:space="preserve">engine. All tables and figures in this section are computed at render time from</w:t>
      </w:r>
      <w:r>
        <w:t xml:space="preserve"> </w:t>
      </w:r>
      <w:r>
        <w:t xml:space="preserve">the generated output.</w:t>
      </w:r>
      <w:r>
        <w:t xml:space="preserve"> </w:t>
      </w:r>
      <w:hyperlink w:anchor="tbl-summary">
        <w:r>
          <w:rPr>
            <w:rStyle w:val="Hyperlink"/>
          </w:rPr>
          <w:t xml:space="preserve">Table 1</w:t>
        </w:r>
      </w:hyperlink>
      <w:r>
        <w:t xml:space="preserve"> </w:t>
      </w:r>
      <w:r>
        <w:t xml:space="preserve">summarises the five frequency and</w:t>
      </w:r>
      <w:r>
        <w:t xml:space="preserve"> </w:t>
      </w:r>
      <w:r>
        <w:t xml:space="preserve">neighbourhood contrasts, for which a controlled-versus-manipulated report is</w:t>
      </w:r>
      <w:r>
        <w:t xml:space="preserve"> </w:t>
      </w:r>
      <w:r>
        <w:t xml:space="preserve">defined. The remaining demonstrations are 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condition. In every demonstration the manipulated dimension</w:t>
      </w:r>
      <w:r>
        <w:t xml:space="preserve"> </w:t>
      </w:r>
      <w:r>
        <w:t xml:space="preserve">stands far to the right of the 0.5-standard-deviation reference bound (dashed</w:t>
      </w:r>
      <w:r>
        <w:t xml:space="preserve"> </w:t>
      </w:r>
      <w:r>
        <w:t xml:space="preserve">line), while the controlled 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each of these five demonstrations every controlled dimension’s 90% confidence</w:t>
      </w:r>
      <w:r>
        <w:t xml:space="preserve"> </w:t>
      </w:r>
      <w:r>
        <w:t xml:space="preserve">interval lies within the 0.5-</w:t>
      </w:r>
      <w:r>
        <w:rPr>
          <w:i/>
          <w:iCs/>
        </w:rPr>
        <w:t xml:space="preserve">SD</w:t>
      </w:r>
      <w:r>
        <w:t xml:space="preserve"> </w:t>
      </w:r>
      <w:r>
        <w:t xml:space="preserve">bound (</w:t>
      </w:r>
      <w:r>
        <w:rPr>
          <w:i/>
          <w:iCs/>
        </w:rPr>
        <w:t xml:space="preserve">n</w:t>
      </w:r>
      <w:r>
        <w:t xml:space="preserve"> </w:t>
      </w:r>
      <w:r>
        <w:t xml:space="preserve">= 80 per condition), so the realised</w:t>
      </w:r>
      <w:r>
        <w:t xml:space="preserve"> </w:t>
      </w:r>
      <w:r>
        <w:t xml:space="preserve">imbalance is small even at the interval’s far end, not merely non-significant.</w:t>
      </w:r>
      <w:r>
        <w:t xml:space="preserve"> </w:t>
      </w:r>
      <w:r>
        <w:t xml:space="preserve">The TOST agrees, declaring each dimension equivalent at the .05 level, but the</w:t>
      </w:r>
      <w:r>
        <w:t xml:space="preserve"> </w:t>
      </w:r>
      <w:r>
        <w:t xml:space="preserve">interval is the more informative statement because it would widen, and the claim</w:t>
      </w:r>
      <w:r>
        <w:t xml:space="preserve"> </w:t>
      </w:r>
      <w:r>
        <w:t xml:space="preserve">would weaken, were the item count reduced. The neighbourhood contrasts are the</w:t>
      </w:r>
      <w:r>
        <w:t xml:space="preserve"> </w:t>
      </w:r>
      <w:r>
        <w:t xml:space="preserve">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therefore something the matching</w:t>
      </w:r>
      <w:r>
        <w:t xml:space="preserve"> </w:t>
      </w:r>
      <w:r>
        <w:t xml:space="preserve">method can remove rather than an inherent limit on the design, and</w:t>
      </w:r>
      <w:r>
        <w:t xml:space="preserve"> </w:t>
      </w:r>
      <w:r>
        <w:t xml:space="preserve">‘lexsync’</w:t>
      </w:r>
      <w:r>
        <w:t xml:space="preserve"> </w:t>
      </w:r>
      <w:r>
        <w:t xml:space="preserve">reports the realised control transparently, with effect size and interval first</w:t>
      </w:r>
      <w:r>
        <w:t xml:space="preserve"> </w:t>
      </w:r>
      <w:r>
        <w:t xml:space="preserve">and the equivalence test 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7"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comes from the same corpus package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bookmarkEnd w:id="27"/>
    <w:bookmarkStart w:id="29" w:name="cross-engine-parity"/>
    <w:p>
      <w:pPr>
        <w:pStyle w:val="Heading2"/>
      </w:pPr>
      <w:r>
        <w:t xml:space="preserve">Cross-engine parity</w:t>
      </w:r>
    </w:p>
    <w:p>
      <w:pPr>
        <w:pStyle w:val="FirstParagraph"/>
      </w:pPr>
      <w:r>
        <w:t xml:space="preserve">Because the matcher is deterministic the two engines select the same</w:t>
      </w:r>
      <w:r>
        <w:t xml:space="preserve"> </w:t>
      </w:r>
      <w:r>
        <w:t xml:space="preserve">matched (word, condition) pairs rather than merely similar ones, and because</w:t>
      </w:r>
      <w:r>
        <w:t xml:space="preserve"> </w:t>
      </w:r>
      <w:r>
        <w:t xml:space="preserve">the trial order is a keyed-hash function of the design they also place those</w:t>
      </w:r>
      <w:r>
        <w:t xml:space="preserve"> </w:t>
      </w:r>
      <w:r>
        <w:t xml:space="preserve">pairs in the same order. Across the five matched word contrasts</w:t>
      </w:r>
      <w:r>
        <w:t xml:space="preserve"> </w:t>
      </w:r>
      <w:r>
        <w:t xml:space="preserve">all 800 selected</w:t>
      </w:r>
      <w:r>
        <w:t xml:space="preserve"> </w:t>
      </w:r>
      <w:r>
        <w:t xml:space="preserve">(word, condition) pairs were identical between the R and the Python engine, and</w:t>
      </w:r>
      <w:r>
        <w:t xml:space="preserve"> </w:t>
      </w:r>
      <w:r>
        <w:t xml:space="preserve">every statistic they report agrees to the precision shown. That check runs when</w:t>
      </w:r>
      <w:r>
        <w:t xml:space="preserve"> </w:t>
      </w:r>
      <w:r>
        <w:t xml:space="preserve">this manuscript is rendered. The test suite makes a stricter one. For each of the</w:t>
      </w:r>
      <w:r>
        <w:t xml:space="preserve"> </w:t>
      </w:r>
      <w:r>
        <w:t xml:space="preserve">fifteen design configurations shipped with the package it regenerates the Python</w:t>
      </w:r>
      <w:r>
        <w:t xml:space="preserve"> </w:t>
      </w:r>
      <w:r>
        <w:t xml:space="preserve">selection and requires it to agree with the committed R selection on the selected</w:t>
      </w:r>
      <w:r>
        <w:t xml:space="preserve"> </w:t>
      </w:r>
      <w:r>
        <w:t xml:space="preserve">item, its condition and the set the matcher paired it into, and then on every</w:t>
      </w:r>
      <w:r>
        <w:t xml:space="preserve"> </w:t>
      </w:r>
      <w:r>
        <w:t xml:space="preserve">other column the two files share, value for value. Continuous integration goes</w:t>
      </w:r>
      <w:r>
        <w:t xml:space="preserve"> </w:t>
      </w:r>
      <w:r>
        <w:t xml:space="preserve">further and runs each engine into its own directory, comparing the two trees of</w:t>
      </w:r>
      <w:r>
        <w:t xml:space="preserve"> </w:t>
      </w:r>
      <w:r>
        <w:t xml:space="preserve">generated experiments recursively, so all 75 files (for every design, a</w:t>
      </w:r>
      <w:r>
        <w:t xml:space="preserve"> </w:t>
      </w:r>
      <w:r>
        <w:t xml:space="preserve">‘PsychoPy’</w:t>
      </w:r>
      <w:r>
        <w:t xml:space="preserve"> </w:t>
      </w:r>
      <w:r>
        <w:t xml:space="preserve">script and its conditions table, an</w:t>
      </w:r>
      <w:r>
        <w:t xml:space="preserve"> </w:t>
      </w:r>
      <w:r>
        <w:t xml:space="preserve">‘OpenSesame’</w:t>
      </w:r>
      <w:r>
        <w:t xml:space="preserve"> </w:t>
      </w:r>
      <w:r>
        <w:t xml:space="preserve">experiment and its</w:t>
      </w:r>
      <w:r>
        <w:t xml:space="preserve"> </w:t>
      </w:r>
      <w:r>
        <w:t xml:space="preserve">loop table, and a</w:t>
      </w:r>
      <w:r>
        <w:t xml:space="preserve"> </w:t>
      </w:r>
      <w:r>
        <w:t xml:space="preserve">‘jsPsych’</w:t>
      </w:r>
      <w:r>
        <w:t xml:space="preserve"> </w:t>
      </w:r>
      <w:r>
        <w:t xml:space="preserve">page) must agree byte for byte. The same job</w:t>
      </w:r>
      <w:r>
        <w:t xml:space="preserve"> </w:t>
      </w:r>
      <w:r>
        <w:t xml:space="preserve">regenerates the R selections first and fails if they have drifted from the</w:t>
      </w:r>
      <w:r>
        <w:t xml:space="preserve"> </w:t>
      </w:r>
      <w:r>
        <w:t xml:space="preserve">committed ones, so the comparison cannot pass against a stale reference. The</w:t>
      </w:r>
      <w:r>
        <w:t xml:space="preserve"> </w:t>
      </w:r>
      <w:r>
        <w:t xml:space="preserve">covariance-aware and optimal matching methods remain the exceptions, for the</w:t>
      </w:r>
      <w:r>
        <w:t xml:space="preserve"> </w:t>
      </w:r>
      <w:r>
        <w:t xml:space="preserve">reason given above.</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8"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8"/>
          <w:p/>
        </w:tc>
      </w:tr>
    </w:tbl>
    <w:bookmarkEnd w:id="29"/>
    <w:bookmarkStart w:id="30"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30"/>
    <w:bookmarkStart w:id="31" w:name="Xbe247423ea25f6f07aebecaafb3640bff537e68"/>
    <w:p>
      <w:pPr>
        <w:pStyle w:val="Heading2"/>
      </w:pPr>
      <w:r>
        <w:t xml:space="preserve">Selection modes for the intended analysis</w:t>
      </w:r>
    </w:p>
    <w:p>
      <w:pPr>
        <w:pStyle w:val="FirstParagraph"/>
      </w:pPr>
      <w:r>
        <w:t xml:space="preserve">Three further demonstrations put the analytic choices argued for above into</w:t>
      </w:r>
      <w:r>
        <w:t xml:space="preserve"> </w:t>
      </w:r>
      <w:r>
        <w:t xml:space="preserve">practice, all drawn from the same English lexicon as the frequency contrast. The</w:t>
      </w:r>
      <w:r>
        <w:t xml:space="preserve"> </w:t>
      </w:r>
      <w:r>
        <w:t xml:space="preserve">continuous design abandons the high-low split. Its 80 items span</w:t>
      </w:r>
      <w:r>
        <w:t xml:space="preserve"> </w:t>
      </w:r>
      <w:r>
        <w:t xml:space="preserve">3.05 Zipf units of frequency evenly while length, neighbourhood density</w:t>
      </w:r>
      <w:r>
        <w:t xml:space="preserve"> </w:t>
      </w:r>
      <w:r>
        <w:t xml:space="preserve">and OLD20 are held near-constant, and the largest correlation between the</w:t>
      </w:r>
      <w:r>
        <w:t xml:space="preserve"> </w:t>
      </w:r>
      <w:r>
        <w:t xml:space="preserve">predictor and any control dimension is |</w:t>
      </w:r>
      <w:r>
        <w:rPr>
          <w:i/>
          <w:iCs/>
        </w:rPr>
        <w:t xml:space="preserve">r</w:t>
      </w:r>
      <w:r>
        <w:t xml:space="preserve">| = 0.16. The datasheet</w:t>
      </w:r>
      <w:r>
        <w:t xml:space="preserve"> </w:t>
      </w:r>
      <w:r>
        <w:t xml:space="preserve">accordingly proposes a mixed model with frequency entered continuously rather</w:t>
      </w:r>
      <w:r>
        <w:t xml:space="preserve"> </w:t>
      </w:r>
      <w:r>
        <w:t xml:space="preserve">than a between-condition contrast. The resampled design draws the same frequency</w:t>
      </w:r>
      <w:r>
        <w:t xml:space="preserve"> </w:t>
      </w:r>
      <w:r>
        <w:t xml:space="preserve">contrast into 3 disjoint matched sets, 240 items in</w:t>
      </w:r>
      <w:r>
        <w:t xml:space="preserve"> </w:t>
      </w:r>
      <w:r>
        <w:t xml:space="preserve">all, with no word reused across</w:t>
      </w:r>
      <w:r>
        <w:t xml:space="preserve"> </w:t>
      </w:r>
      <w:r>
        <w:t xml:space="preserve">sets, so a study can give a different item sample to each participant group and</w:t>
      </w:r>
      <w:r>
        <w:t xml:space="preserve"> </w:t>
      </w:r>
      <w:r>
        <w:t xml:space="preserve">treat items as the random factor they are</w:t>
      </w:r>
      <w:r>
        <w:t xml:space="preserve"> </w:t>
      </w:r>
      <w:r>
        <w:t xml:space="preserve">(Clark, 1973; Yarkoni, 2022)</w:t>
      </w:r>
      <w:r>
        <w:t xml:space="preserve">. Control on length, neighbourhood density and</w:t>
      </w:r>
      <w:r>
        <w:t xml:space="preserve"> </w:t>
      </w:r>
      <w:r>
        <w:t xml:space="preserve">OLD20 holds across the pooled sets, the largest absolute standardised difference</w:t>
      </w:r>
      <w:r>
        <w:t xml:space="preserve"> </w:t>
      </w:r>
      <w:r>
        <w:t xml:space="preserve">on a controlled dimension being 0.04. The third repeats the</w:t>
      </w:r>
      <w:r>
        <w:t xml:space="preserve"> </w:t>
      </w:r>
      <w:r>
        <w:t xml:space="preserve">lexical-decision design with the</w:t>
      </w:r>
      <w:r>
        <w:t xml:space="preserve"> </w:t>
      </w:r>
      <w:r>
        <w:rPr>
          <w:rStyle w:val="VerbatimChar"/>
        </w:rPr>
        <w:t xml:space="preserve">subsyllabic</w:t>
      </w:r>
      <w:r>
        <w:t xml:space="preserve"> </w:t>
      </w:r>
      <w:r>
        <w:t xml:space="preserve">generator in place of the</w:t>
      </w:r>
      <w:r>
        <w:t xml:space="preserve"> </w:t>
      </w:r>
      <w:r>
        <w:t xml:space="preserve">default, over the same set of</w:t>
      </w:r>
      <w:r>
        <w:t xml:space="preserve"> </w:t>
      </w:r>
      <w:r>
        <w:t xml:space="preserve">60 base words, so the two pseudoword methods can be compared like for</w:t>
      </w:r>
      <w:r>
        <w:t xml:space="preserve"> </w:t>
      </w:r>
      <w:r>
        <w:t xml:space="preserve">like. They have no pseudoword</w:t>
      </w:r>
      <w:r>
        <w:t xml:space="preserve"> </w:t>
      </w:r>
      <w:r>
        <w:t xml:space="preserve">in common. For all three the R and Python engines select</w:t>
      </w:r>
      <w:r>
        <w:t xml:space="preserve"> </w:t>
      </w:r>
      <w:r>
        <w:t xml:space="preserve">identical materials, and each datasheet</w:t>
      </w:r>
      <w:r>
        <w:t xml:space="preserve"> </w:t>
      </w:r>
      <w:r>
        <w:t xml:space="preserve">records the selection as byte-identical across the engines.</w:t>
      </w:r>
    </w:p>
    <w:bookmarkEnd w:id="31"/>
    <w:bookmarkStart w:id="33"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a longitudinal EEG study of artificial language learning,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2"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with in brackets the upper limit of its 90% confidence interval, that is the largest imbalance still consistent with the selected items.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131"/>
              <w:gridCol w:w="3857"/>
              <w:gridCol w:w="308"/>
              <w:gridCol w:w="2622"/>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 (upper 90% limit)</w:t>
                  </w:r>
                </w:p>
              </w:tc>
            </w:tr>
            <w:tr>
              <w:tc>
                <w:tcPr/>
                <w:p>
                  <w:pPr>
                    <w:pStyle w:val="Compact"/>
                    <w:jc w:val="left"/>
                    <w:jc w:val="center"/>
                  </w:pPr>
                  <w:r>
                    <w:t xml:space="preserve">González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 (0.36)</w:t>
                  </w:r>
                </w:p>
              </w:tc>
            </w:tr>
            <w:tr>
              <w:tc>
                <w:tcPr/>
                <w:p>
                  <w:pPr>
                    <w:pStyle w:val="Compact"/>
                    <w:jc w:val="left"/>
                    <w:jc w:val="center"/>
                  </w:pPr>
                  <w:r>
                    <w:t xml:space="preserve">Andrews (1989)</w:t>
                  </w:r>
                </w:p>
              </w:tc>
              <w:tc>
                <w:tcPr/>
                <w:p>
                  <w:pPr>
                    <w:pStyle w:val="Compact"/>
                    <w:jc w:val="left"/>
                    <w:jc w:val="center"/>
                  </w:pPr>
                  <w:r>
                    <w:t xml:space="preserve">Frequency x neighbourhood size: 2x2 factorial, cells matched on length</w:t>
                  </w:r>
                </w:p>
              </w:tc>
              <w:tc>
                <w:tcPr/>
                <w:p>
                  <w:pPr>
                    <w:pStyle w:val="Compact"/>
                    <w:jc w:val="right"/>
                    <w:jc w:val="center"/>
                  </w:pPr>
                  <w:r>
                    <w:t xml:space="preserve">72</w:t>
                  </w:r>
                </w:p>
              </w:tc>
              <w:tc>
                <w:tcPr/>
                <w:p>
                  <w:pPr>
                    <w:pStyle w:val="Compact"/>
                    <w:jc w:val="right"/>
                    <w:jc w:val="center"/>
                  </w:pPr>
                  <w:r>
                    <w:t xml:space="preserve">0.21 (0.77)</w:t>
                  </w:r>
                </w:p>
              </w:tc>
            </w:tr>
            <w:tr>
              <w:tc>
                <w:tcPr/>
                <w:p>
                  <w:pPr>
                    <w:pStyle w:val="Compact"/>
                    <w:jc w:val="left"/>
                    <w:jc w:val="center"/>
                  </w:pPr>
                  <w:r>
                    <w:t xml:space="preserve">Rastle et al.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2"/>
          <w:p/>
        </w:tc>
      </w:tr>
    </w:tbl>
    <w:p>
      <w:pPr>
        <w:pStyle w:val="BodyText"/>
      </w:pPr>
      <w:r>
        <w:t xml:space="preserve">González Alonso et al. (2025)</w:t>
      </w:r>
      <w:r>
        <w:t xml:space="preserve"> </w:t>
      </w:r>
      <w:r>
        <w:t xml:space="preserve">administered a natural-language gender-assignment task in</w:t>
      </w:r>
      <w:r>
        <w:t xml:space="preserve"> </w:t>
      </w:r>
      <w:r>
        <w:t xml:space="preserve">which corpus nouns, half feminine and half masculine, were matched to the study’s</w:t>
      </w:r>
      <w:r>
        <w:t xml:space="preserve"> </w:t>
      </w:r>
      <w:r>
        <w:t xml:space="preserve">nouns on word frequency (within mean ±</w:t>
      </w:r>
      <w:r>
        <w:t xml:space="preserve"> </w:t>
      </w:r>
      <w:r>
        <w:rPr>
          <w:i/>
          <w:iCs/>
        </w:rPr>
        <w:t xml:space="preserve">SD</w:t>
      </w:r>
      <w:r>
        <w:t xml:space="preserve">/9) and number of letters (within</w:t>
      </w:r>
      <w:r>
        <w:t xml:space="preserve"> </w:t>
      </w:r>
      <w:r>
        <w:t xml:space="preserve">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crossed word frequency with</w:t>
      </w:r>
      <w:r>
        <w:t xml:space="preserve"> </w:t>
      </w:r>
      <w:r>
        <w:t xml:space="preserve">orthographic neighbourhood size in a 2 × 2 design, run in lexical decision and in</w:t>
      </w:r>
      <w:r>
        <w:t xml:space="preserve"> </w:t>
      </w:r>
      <w:r>
        <w:t xml:space="preserve">naming,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 |</w:t>
      </w:r>
      <w:r>
        <w:rPr>
          <w:i/>
          <w:iCs/>
        </w:rPr>
        <w:t xml:space="preserve">d</w:t>
      </w:r>
      <w:r>
        <w:t xml:space="preserve">| =</w:t>
      </w:r>
      <w:r>
        <w:t xml:space="preserve"> </w:t>
      </w:r>
      <w:r>
        <w:t xml:space="preserve">0.21, upper 90% limit</w:t>
      </w:r>
      <w:r>
        <w:t xml:space="preserve"> </w:t>
      </w:r>
      <w:r>
        <w:t xml:space="preserve">0.77) while separating the manipulated dimensions</w:t>
      </w:r>
      <w:r>
        <w:t xml:space="preserve"> </w:t>
      </w:r>
      <w:r>
        <w:t xml:space="preserve">widely. With 18 items per cell the interval is wide, and length is</w:t>
      </w:r>
      <w:r>
        <w:t xml:space="preserve"> </w:t>
      </w:r>
      <w:r>
        <w:t xml:space="preserve">not shown equivalent at the 0.5-</w:t>
      </w:r>
      <w:r>
        <w:rPr>
          <w:i/>
          <w:iCs/>
        </w:rPr>
        <w:t xml:space="preserve">SD</w:t>
      </w:r>
      <w:r>
        <w:t xml:space="preserve"> </w:t>
      </w:r>
      <w:r>
        <w:t xml:space="preserve">bound (TOST</w:t>
      </w:r>
      <w:r>
        <w:t xml:space="preserve"> </w:t>
      </w:r>
      <w:r>
        <w:rPr>
          <w:i/>
          <w:iCs/>
        </w:rPr>
        <w:t xml:space="preserve">p</w:t>
      </w:r>
      <w:r>
        <w:t xml:space="preserve"> </w:t>
      </w:r>
      <w:r>
        <w:t xml:space="preserve">=</w:t>
      </w:r>
      <w:r>
        <w:t xml:space="preserve"> </w:t>
      </w:r>
      <w:r>
        <w:t xml:space="preserve">0.192). The realised imbalance is small as a point</w:t>
      </w:r>
      <w:r>
        <w:t xml:space="preserve"> </w:t>
      </w:r>
      <w:r>
        <w:t xml:space="preserve">estimate, but at that cell size the upper limit is what the data support, and the</w:t>
      </w:r>
      <w:r>
        <w:t xml:space="preserve"> </w:t>
      </w:r>
      <w:r>
        <w:t xml:space="preserve">datasheet records it rather than letting the point estimate stand alone.</w:t>
      </w:r>
      <w:r>
        <w:t xml:space="preserve"> </w:t>
      </w:r>
      <w:r>
        <w:t xml:space="preserve">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3"/>
    <w:bookmarkEnd w:id="34"/>
    <w:bookmarkStart w:id="35"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w:t>
      </w:r>
      <w:r>
        <w:t xml:space="preserve"> </w:t>
      </w:r>
      <w:r>
        <w:t xml:space="preserve">separate languages. Its principal contribution is integration. Multidimensional</w:t>
      </w:r>
      <w:r>
        <w:t xml:space="preserve"> </w:t>
      </w:r>
      <w:r>
        <w:t xml:space="preserve">matching 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 multilingual corpus to a</w:t>
      </w:r>
      <w:r>
        <w:t xml:space="preserve"> </w:t>
      </w:r>
      <w:r>
        <w:t xml:space="preserve">hardware-timed, cross-platform experiment has not before been available as a</w:t>
      </w:r>
      <w:r>
        <w:t xml:space="preserve"> </w:t>
      </w:r>
      <w:r>
        <w:t xml:space="preserve">single installable, dual-language tool. Two features are worth emphasising.</w:t>
      </w:r>
      <w:r>
        <w:t xml:space="preserve"> </w:t>
      </w:r>
      <w:r>
        <w:t xml:space="preserve">First, the deterministic matcher selects identical matched (word, condition)</w:t>
      </w:r>
      <w:r>
        <w:t xml:space="preserve"> </w:t>
      </w:r>
      <w:r>
        <w:t xml:space="preserve">sets in the R and Python engines, with the reported match statistics agreeing to</w:t>
      </w:r>
      <w:r>
        <w:t xml:space="preserve"> </w:t>
      </w:r>
      <w:r>
        <w:t xml:space="preserve">the precision shown, and the keyed-hash trial order makes every generated</w:t>
      </w:r>
      <w:r>
        <w:t xml:space="preserve"> </w:t>
      </w:r>
      <w:r>
        <w:t xml:space="preserve">experiment file byte-identical between them; the sole exceptions remain the</w:t>
      </w:r>
      <w:r>
        <w:t xml:space="preserve"> </w:t>
      </w:r>
      <w:r>
        <w:t xml:space="preserve">covariance-aware (Mahalanobis) and optimal matching methods, whose</w:t>
      </w:r>
      <w:r>
        <w:t xml:space="preserve"> </w:t>
      </w:r>
      <w:r>
        <w:t xml:space="preserve">linear-algebra backends differ in their last bits. A laboratory can therefore</w:t>
      </w:r>
      <w:r>
        <w:t xml:space="preserve"> </w:t>
      </w:r>
      <w:r>
        <w:t xml:space="preserve">adopt</w:t>
      </w:r>
      <w:r>
        <w:t xml:space="preserve"> </w:t>
      </w:r>
      <w:r>
        <w:t xml:space="preserve">‘lexsync’</w:t>
      </w:r>
      <w:r>
        <w:t xml:space="preserve"> </w:t>
      </w:r>
      <w:r>
        <w:t xml:space="preserve">in whichever ecosystem it prefers without fear of divergent</w:t>
      </w:r>
      <w:r>
        <w:t xml:space="preserve"> </w:t>
      </w:r>
      <w:r>
        <w:t xml:space="preserve">stimulus selection. Second, both laboratory targets place every onset marker at</w:t>
      </w:r>
      <w:r>
        <w:t xml:space="preserve"> </w:t>
      </w:r>
      <w:r>
        <w:t xml:space="preserve">the stimulus flip (flip-locked in</w:t>
      </w:r>
      <w:r>
        <w:t xml:space="preserve"> </w:t>
      </w:r>
      <w:r>
        <w:t xml:space="preserve">‘PsychoPy’</w:t>
      </w:r>
      <w:r>
        <w:t xml:space="preserve">, and written immediately after the</w:t>
      </w:r>
      <w:r>
        <w:t xml:space="preserve"> </w:t>
      </w:r>
      <w:r>
        <w:t xml:space="preserve">refresh-blocking</w:t>
      </w:r>
      <w:r>
        <w:t xml:space="preserve"> </w:t>
      </w:r>
      <w:r>
        <w:rPr>
          <w:rStyle w:val="VerbatimChar"/>
        </w:rPr>
        <w:t xml:space="preserve">show()</w:t>
      </w:r>
      <w:r>
        <w:t xml:space="preserve"> </w:t>
      </w:r>
      <w:r>
        <w:t xml:space="preserve">in</w:t>
      </w:r>
      <w:r>
        <w:t xml:space="preserve"> </w:t>
      </w:r>
      <w:r>
        <w:t xml:space="preserve">‘OpenSesame’</w:t>
      </w:r>
      <w:r>
        <w:t xml:space="preserve">), rather than sending a trailing block</w:t>
      </w:r>
      <w:r>
        <w:t xml:space="preserve"> </w:t>
      </w:r>
      <w:r>
        <w:t xml:space="preserve">of markers in which only the first is even approximately aligned,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extends beyond orthography</w:t>
      </w:r>
      <w:r>
        <w:t xml:space="preserve"> </w:t>
      </w:r>
      <w:r>
        <w:t xml:space="preserve">to an orthographic syllable estimate and a corpus-derived bigram-frequency</w:t>
      </w:r>
      <w:r>
        <w:t xml:space="preserve"> </w:t>
      </w:r>
      <w:r>
        <w:t xml:space="preserve">(phonotactic-probability) measure, and it could grow further to predictability</w:t>
      </w:r>
      <w:r>
        <w:t xml:space="preserve"> </w:t>
      </w:r>
      <w:r>
        <w:t xml:space="preserve">dimensions such as n-gram or language-model surprisal. Semantic dimensions such</w:t>
      </w:r>
      <w:r>
        <w:t xml:space="preserve"> </w:t>
      </w:r>
      <w:r>
        <w:t xml:space="preserve">as concreteness, age of acquisition and valence can be joined on through the</w:t>
      </w:r>
      <w:r>
        <w:t xml:space="preserve"> </w:t>
      </w:r>
      <w:r>
        <w:t xml:space="preserve">norm-table connector. The norm tables themselves have to be obtained separately,</w:t>
      </w:r>
      <w:r>
        <w:t xml:space="preserve"> </w:t>
      </w:r>
      <w:r>
        <w:t xml:space="preserve">because their licences vary. Sampling matched</w:t>
      </w:r>
      <w:r>
        <w:t xml:space="preserve"> </w:t>
      </w:r>
      <w:r>
        <w:t xml:space="preserve">item sets per participant, rather than per study, would extend the resampling</w:t>
      </w:r>
      <w:r>
        <w:t xml:space="preserve"> </w:t>
      </w:r>
      <w:r>
        <w:t xml:space="preserve">already provided.</w:t>
      </w:r>
    </w:p>
    <w:bookmarkEnd w:id="35"/>
    <w:bookmarkStart w:id="36" w:name="extending-lexsync"/>
    <w:p>
      <w:pPr>
        <w:pStyle w:val="Heading1"/>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all three presentation backends then render it with no further code. To add a</w:t>
      </w:r>
      <w:r>
        <w:t xml:space="preserve"> </w:t>
      </w:r>
      <w:r>
        <w:t xml:space="preserve">lexical dimension, 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w:t>
      </w:r>
      <w:r>
        <w:t xml:space="preserve"> </w:t>
      </w:r>
      <w:r>
        <w:t xml:space="preserve">list it in the dimension table in</w:t>
      </w:r>
      <w:r>
        <w:t xml:space="preserve"> </w:t>
      </w:r>
      <w:r>
        <w:rPr>
          <w:rStyle w:val="VerbatimChar"/>
        </w:rPr>
        <w:t xml:space="preserve">config/schema.yaml</w:t>
      </w:r>
      <w:r>
        <w:t xml:space="preserve">, in both packages. To add</w:t>
      </w:r>
      <w:r>
        <w:t xml:space="preserve"> </w:t>
      </w:r>
      <w:r>
        <w:t xml:space="preserve">a 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w:t>
      </w:r>
      <w:r>
        <w:t xml:space="preserve"> </w:t>
      </w:r>
      <w:r>
        <w:t xml:space="preserve">walks the same 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bookmarkEnd w:id="36"/>
    <w:bookmarkStart w:id="37"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is cited from the package metadata of both engines, from the citation file and</w:t>
      </w:r>
      <w:r>
        <w:t xml:space="preserve"> </w:t>
      </w:r>
      <w:r>
        <w:t xml:space="preserve">from the machine-readable software description, so a reader arrives at the same</w:t>
      </w:r>
      <w:r>
        <w:t xml:space="preserve"> </w:t>
      </w:r>
      <w:r>
        <w:t xml:space="preserve">source whichever record they follow.</w:t>
      </w:r>
    </w:p>
    <w:p>
      <w:r>
        <w:br w:type="page"/>
      </w:r>
    </w:p>
    <w:bookmarkEnd w:id="37"/>
    <w:bookmarkStart w:id="101" w:name="references"/>
    <w:p>
      <w:pPr>
        <w:pStyle w:val="Heading1"/>
      </w:pPr>
      <w:r>
        <w:t xml:space="preserve">References</w:t>
      </w:r>
    </w:p>
    <w:bookmarkStart w:id="100" w:name="refs"/>
    <w:bookmarkStart w:id="39"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8">
        <w:r>
          <w:rPr>
            <w:rStyle w:val="Hyperlink"/>
          </w:rPr>
          <w:t xml:space="preserve">https://doi.org/10.1037/0278-7393.15.5.802</w:t>
        </w:r>
      </w:hyperlink>
    </w:p>
    <w:bookmarkEnd w:id="39"/>
    <w:bookmarkStart w:id="41"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40">
        <w:r>
          <w:rPr>
            <w:rStyle w:val="Hyperlink"/>
          </w:rPr>
          <w:t xml:space="preserve">https://doi.org/10.5070/G6011239</w:t>
        </w:r>
      </w:hyperlink>
    </w:p>
    <w:bookmarkEnd w:id="41"/>
    <w:bookmarkStart w:id="43"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2">
        <w:r>
          <w:rPr>
            <w:rStyle w:val="Hyperlink"/>
          </w:rPr>
          <w:t xml:space="preserve">https://doi.org/10.3758/BRM.41.4.977</w:t>
        </w:r>
      </w:hyperlink>
    </w:p>
    <w:bookmarkEnd w:id="43"/>
    <w:bookmarkStart w:id="45"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4">
        <w:r>
          <w:rPr>
            <w:rStyle w:val="Hyperlink"/>
          </w:rPr>
          <w:t xml:space="preserve">https://doi.org/10.1371/journal.pone.0010729</w:t>
        </w:r>
      </w:hyperlink>
    </w:p>
    <w:bookmarkEnd w:id="45"/>
    <w:bookmarkStart w:id="47"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6">
        <w:r>
          <w:rPr>
            <w:rStyle w:val="Hyperlink"/>
          </w:rPr>
          <w:t xml:space="preserve">https://doi.org/10.1016/S0022-5371(73)80014-3</w:t>
        </w:r>
      </w:hyperlink>
    </w:p>
    <w:bookmarkEnd w:id="47"/>
    <w:bookmarkStart w:id="48"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8"/>
    <w:bookmarkStart w:id="50" w:name="ref-coretta2023multidimensional"/>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9">
        <w:r>
          <w:rPr>
            <w:rStyle w:val="Hyperlink"/>
          </w:rPr>
          <w:t xml:space="preserve">https://doi.org/10.1177/25152459231162567</w:t>
        </w:r>
      </w:hyperlink>
    </w:p>
    <w:bookmarkEnd w:id="50"/>
    <w:bookmarkStart w:id="51"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Psicol</w:t>
      </w:r>
      <w:r>
        <w:rPr>
          <w:i/>
          <w:iCs/>
        </w:rPr>
        <w:t xml:space="preserve">ó</w:t>
      </w:r>
      <w:r>
        <w:rPr>
          <w:i/>
          <w:iCs/>
        </w:rPr>
        <w:t xml:space="preserve">gica</w:t>
      </w:r>
      <w:r>
        <w:t xml:space="preserve">,</w:t>
      </w:r>
      <w:r>
        <w:t xml:space="preserve"> </w:t>
      </w:r>
      <w:r>
        <w:rPr>
          <w:i/>
          <w:iCs/>
        </w:rPr>
        <w:t xml:space="preserve">32</w:t>
      </w:r>
      <w:r>
        <w:t xml:space="preserve">(2), 133–143.</w:t>
      </w:r>
    </w:p>
    <w:bookmarkEnd w:id="51"/>
    <w:bookmarkStart w:id="53"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2">
        <w:r>
          <w:rPr>
            <w:rStyle w:val="Hyperlink"/>
          </w:rPr>
          <w:t xml:space="preserve">https://doi.org/10.3758/s13428-013-0326-1</w:t>
        </w:r>
      </w:hyperlink>
    </w:p>
    <w:bookmarkEnd w:id="53"/>
    <w:bookmarkStart w:id="55"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4">
        <w:r>
          <w:rPr>
            <w:rStyle w:val="Hyperlink"/>
          </w:rPr>
          <w:t xml:space="preserve">https://doi.org/10.1080/14790718.2024.2415993</w:t>
        </w:r>
      </w:hyperlink>
    </w:p>
    <w:bookmarkEnd w:id="55"/>
    <w:bookmarkStart w:id="57" w:name="ref-gu1993comparison"/>
    <w:p>
      <w:pPr>
        <w:pStyle w:val="Bibliography"/>
      </w:pPr>
      <w:r>
        <w:t xml:space="preserve">Gu, X. S., &amp; Rosenbaum, P. R. (1993). Comparison of multivariate matching methods: Structures, distances, and algorithms.</w:t>
      </w:r>
      <w:r>
        <w:t xml:space="preserve"> </w:t>
      </w:r>
      <w:r>
        <w:rPr>
          <w:i/>
          <w:iCs/>
        </w:rPr>
        <w:t xml:space="preserve">Journal of Computational and Graphical Statistics</w:t>
      </w:r>
      <w:r>
        <w:t xml:space="preserve">,</w:t>
      </w:r>
      <w:r>
        <w:t xml:space="preserve"> </w:t>
      </w:r>
      <w:r>
        <w:rPr>
          <w:i/>
          <w:iCs/>
        </w:rPr>
        <w:t xml:space="preserve">2</w:t>
      </w:r>
      <w:r>
        <w:t xml:space="preserve">(4), 405–420.</w:t>
      </w:r>
      <w:r>
        <w:t xml:space="preserve"> </w:t>
      </w:r>
      <w:hyperlink r:id="rId56">
        <w:r>
          <w:rPr>
            <w:rStyle w:val="Hyperlink"/>
          </w:rPr>
          <w:t xml:space="preserve">https://doi.org/10.1080/10618600.1993.10474623</w:t>
        </w:r>
      </w:hyperlink>
    </w:p>
    <w:bookmarkEnd w:id="57"/>
    <w:bookmarkStart w:id="59" w:name="ref-hansen2006optimal"/>
    <w:p>
      <w:pPr>
        <w:pStyle w:val="Bibliography"/>
      </w:pPr>
      <w:r>
        <w:t xml:space="preserve">Hansen, B. B., &amp; Klopfer, S. O. (2006). Optimal full matching and related designs via network flows.</w:t>
      </w:r>
      <w:r>
        <w:t xml:space="preserve"> </w:t>
      </w:r>
      <w:r>
        <w:rPr>
          <w:i/>
          <w:iCs/>
        </w:rPr>
        <w:t xml:space="preserve">Journal of Computational and Graphical Statistics</w:t>
      </w:r>
      <w:r>
        <w:t xml:space="preserve">,</w:t>
      </w:r>
      <w:r>
        <w:t xml:space="preserve"> </w:t>
      </w:r>
      <w:r>
        <w:rPr>
          <w:i/>
          <w:iCs/>
        </w:rPr>
        <w:t xml:space="preserve">15</w:t>
      </w:r>
      <w:r>
        <w:t xml:space="preserve">(3), 609–627.</w:t>
      </w:r>
      <w:r>
        <w:t xml:space="preserve"> </w:t>
      </w:r>
      <w:hyperlink r:id="rId58">
        <w:r>
          <w:rPr>
            <w:rStyle w:val="Hyperlink"/>
          </w:rPr>
          <w:t xml:space="preserve">https://doi.org/10.1198/106186006X137047</w:t>
        </w:r>
      </w:hyperlink>
    </w:p>
    <w:bookmarkEnd w:id="59"/>
    <w:bookmarkStart w:id="61"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60">
        <w:r>
          <w:rPr>
            <w:rStyle w:val="Hyperlink"/>
          </w:rPr>
          <w:t xml:space="preserve">https://doi.org/10.1080/17470218.2013.850521</w:t>
        </w:r>
      </w:hyperlink>
    </w:p>
    <w:bookmarkEnd w:id="61"/>
    <w:bookmarkStart w:id="63"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62">
        <w:r>
          <w:rPr>
            <w:rStyle w:val="Hyperlink"/>
          </w:rPr>
          <w:t xml:space="preserve">https://doi.org/10.3758/s13428-024-02347-x</w:t>
        </w:r>
      </w:hyperlink>
    </w:p>
    <w:bookmarkEnd w:id="63"/>
    <w:bookmarkStart w:id="65"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64">
        <w:r>
          <w:rPr>
            <w:rStyle w:val="Hyperlink"/>
          </w:rPr>
          <w:t xml:space="preserve">https://doi.org/10.3758/BRM.42.3.627</w:t>
        </w:r>
      </w:hyperlink>
    </w:p>
    <w:bookmarkEnd w:id="65"/>
    <w:bookmarkStart w:id="67" w:name="ref-kuperman2015virtual"/>
    <w:p>
      <w:pPr>
        <w:pStyle w:val="Bibliography"/>
      </w:pPr>
      <w:r>
        <w:t xml:space="preserve">Kuperman, V. (2015). Virtual experiments in megastudies: A case study of language and emotion.</w:t>
      </w:r>
      <w:r>
        <w:t xml:space="preserve"> </w:t>
      </w:r>
      <w:r>
        <w:rPr>
          <w:i/>
          <w:iCs/>
        </w:rPr>
        <w:t xml:space="preserve">Quarterly Journal of Experimental Psychology</w:t>
      </w:r>
      <w:r>
        <w:t xml:space="preserve">,</w:t>
      </w:r>
      <w:r>
        <w:t xml:space="preserve"> </w:t>
      </w:r>
      <w:r>
        <w:rPr>
          <w:i/>
          <w:iCs/>
        </w:rPr>
        <w:t xml:space="preserve">68</w:t>
      </w:r>
      <w:r>
        <w:t xml:space="preserve">(8), 1693–1710.</w:t>
      </w:r>
      <w:r>
        <w:t xml:space="preserve"> </w:t>
      </w:r>
      <w:hyperlink r:id="rId66">
        <w:r>
          <w:rPr>
            <w:rStyle w:val="Hyperlink"/>
          </w:rPr>
          <w:t xml:space="preserve">https://doi.org/10.1080/17470218.2014.989865</w:t>
        </w:r>
      </w:hyperlink>
    </w:p>
    <w:bookmarkEnd w:id="67"/>
    <w:bookmarkStart w:id="69" w:name="ref-lakens2017equivalence"/>
    <w:p>
      <w:pPr>
        <w:pStyle w:val="Bibliography"/>
      </w:pPr>
      <w:r>
        <w:t xml:space="preserve">Lakens, D. (2017). Equivalence tests: A practical primer for</w:t>
      </w:r>
      <w:r>
        <w:t xml:space="preserve"> </w:t>
      </w:r>
      <w:r>
        <w:rPr>
          <w:i/>
          <w:iCs/>
        </w:rP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8">
        <w:r>
          <w:rPr>
            <w:rStyle w:val="Hyperlink"/>
          </w:rPr>
          <w:t xml:space="preserve">https://doi.org/10.1177/1948550617697177</w:t>
        </w:r>
      </w:hyperlink>
    </w:p>
    <w:bookmarkEnd w:id="69"/>
    <w:bookmarkStart w:id="71" w:name="ref-libennowell2019danger"/>
    <w:p>
      <w:pPr>
        <w:pStyle w:val="Bibliography"/>
      </w:pPr>
      <w:r>
        <w:t xml:space="preserve">Liben-Nowell, D., Strand, J., Sharp, A., Wexler, T., &amp; Woods, K. (2019). The danger of testing by selecting controlled subsets, with applications to spoken-word recognition.</w:t>
      </w:r>
      <w:r>
        <w:t xml:space="preserve"> </w:t>
      </w:r>
      <w:r>
        <w:rPr>
          <w:i/>
          <w:iCs/>
        </w:rPr>
        <w:t xml:space="preserve">Journal of Cognition</w:t>
      </w:r>
      <w:r>
        <w:t xml:space="preserve">,</w:t>
      </w:r>
      <w:r>
        <w:t xml:space="preserve"> </w:t>
      </w:r>
      <w:r>
        <w:rPr>
          <w:i/>
          <w:iCs/>
        </w:rPr>
        <w:t xml:space="preserve">2</w:t>
      </w:r>
      <w:r>
        <w:t xml:space="preserve">(1), 2.</w:t>
      </w:r>
      <w:r>
        <w:t xml:space="preserve"> </w:t>
      </w:r>
      <w:hyperlink r:id="rId70">
        <w:r>
          <w:rPr>
            <w:rStyle w:val="Hyperlink"/>
          </w:rPr>
          <w:t xml:space="preserve">https://doi.org/10.5334/joc.51</w:t>
        </w:r>
      </w:hyperlink>
    </w:p>
    <w:bookmarkEnd w:id="71"/>
    <w:bookmarkStart w:id="7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72">
        <w:r>
          <w:rPr>
            <w:rStyle w:val="Hyperlink"/>
          </w:rPr>
          <w:t xml:space="preserve">https://doi.org/10.1016/j.mex.2021.101545</w:t>
        </w:r>
      </w:hyperlink>
    </w:p>
    <w:bookmarkEnd w:id="73"/>
    <w:bookmarkStart w:id="7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74">
        <w:r>
          <w:rPr>
            <w:rStyle w:val="Hyperlink"/>
          </w:rPr>
          <w:t xml:space="preserve">https://doi.org/10.3758/s13428-011-0168-7</w:t>
        </w:r>
      </w:hyperlink>
    </w:p>
    <w:bookmarkEnd w:id="75"/>
    <w:bookmarkStart w:id="7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76">
        <w:r>
          <w:rPr>
            <w:rStyle w:val="Hyperlink"/>
          </w:rPr>
          <w:t xml:space="preserve">https://doi.org/10.3758/s13428-018-01193-y</w:t>
        </w:r>
      </w:hyperlink>
    </w:p>
    <w:bookmarkEnd w:id="77"/>
    <w:bookmarkStart w:id="7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78">
        <w:r>
          <w:rPr>
            <w:rStyle w:val="Hyperlink"/>
          </w:rPr>
          <w:t xml:space="preserve">https://doi.org/10.3758/BF03196742</w:t>
        </w:r>
      </w:hyperlink>
    </w:p>
    <w:bookmarkEnd w:id="79"/>
    <w:bookmarkStart w:id="8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 Article 1.</w:t>
      </w:r>
      <w:r>
        <w:t xml:space="preserve"> </w:t>
      </w:r>
      <w:hyperlink r:id="rId80">
        <w:r>
          <w:rPr>
            <w:rStyle w:val="Hyperlink"/>
          </w:rPr>
          <w:t xml:space="preserve">https://doi.org/10.5334/labphon.147</w:t>
        </w:r>
      </w:hyperlink>
    </w:p>
    <w:bookmarkEnd w:id="81"/>
    <w:bookmarkStart w:id="8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82">
        <w:r>
          <w:rPr>
            <w:rStyle w:val="Hyperlink"/>
          </w:rPr>
          <w:t xml:space="preserve">https://doi.org/10.1016/j.wocn.2018.12.001</w:t>
        </w:r>
      </w:hyperlink>
    </w:p>
    <w:bookmarkEnd w:id="83"/>
    <w:bookmarkStart w:id="85" w:name="ref-rubin1980bias"/>
    <w:p>
      <w:pPr>
        <w:pStyle w:val="Bibliography"/>
      </w:pPr>
      <w:r>
        <w:t xml:space="preserve">Rubin, D. B. (1980). Bias reduction using</w:t>
      </w:r>
      <w:r>
        <w:t xml:space="preserve"> </w:t>
      </w:r>
      <w:r>
        <w:t xml:space="preserve">Mahalanobis</w:t>
      </w:r>
      <w:r>
        <w:t xml:space="preserve">-metric matching.</w:t>
      </w:r>
      <w:r>
        <w:t xml:space="preserve"> </w:t>
      </w:r>
      <w:r>
        <w:rPr>
          <w:i/>
          <w:iCs/>
        </w:rPr>
        <w:t xml:space="preserve">Biometrics</w:t>
      </w:r>
      <w:r>
        <w:t xml:space="preserve">,</w:t>
      </w:r>
      <w:r>
        <w:t xml:space="preserve"> </w:t>
      </w:r>
      <w:r>
        <w:rPr>
          <w:i/>
          <w:iCs/>
        </w:rPr>
        <w:t xml:space="preserve">36</w:t>
      </w:r>
      <w:r>
        <w:t xml:space="preserve">(2), 293–298.</w:t>
      </w:r>
      <w:r>
        <w:t xml:space="preserve"> </w:t>
      </w:r>
      <w:hyperlink r:id="rId84">
        <w:r>
          <w:rPr>
            <w:rStyle w:val="Hyperlink"/>
          </w:rPr>
          <w:t xml:space="preserve">https://doi.org/10.2307/2529981</w:t>
        </w:r>
      </w:hyperlink>
    </w:p>
    <w:bookmarkEnd w:id="85"/>
    <w:bookmarkStart w:id="8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86">
        <w:r>
          <w:rPr>
            <w:rStyle w:val="Hyperlink"/>
          </w:rPr>
          <w:t xml:space="preserve">https://doi.org/10.1016/j.bandl.2016.08.001</w:t>
        </w:r>
      </w:hyperlink>
    </w:p>
    <w:bookmarkEnd w:id="87"/>
    <w:bookmarkStart w:id="89" w:name="ref-speer2022wordfreq"/>
    <w:p>
      <w:pPr>
        <w:pStyle w:val="Bibliography"/>
      </w:pPr>
      <w:r>
        <w:t xml:space="preserve">Speer, R. (2022).</w:t>
      </w:r>
      <w:r>
        <w:t xml:space="preserve"> </w:t>
      </w:r>
      <w:r>
        <w:rPr>
          <w:i/>
          <w:iCs/>
        </w:rPr>
        <w:t xml:space="preserve">rspeer/wordfreq</w:t>
      </w:r>
      <w:r>
        <w:rPr>
          <w:i/>
          <w:iCs/>
        </w:rPr>
        <w:t xml:space="preserve">: v3.0</w:t>
      </w:r>
      <w:r>
        <w:t xml:space="preserve"> </w:t>
      </w:r>
      <w:r>
        <w:t xml:space="preserve">(Version 3.0.2) [Computer software]. Zenodo.</w:t>
      </w:r>
      <w:r>
        <w:t xml:space="preserve"> </w:t>
      </w:r>
      <w:hyperlink r:id="rId88">
        <w:r>
          <w:rPr>
            <w:rStyle w:val="Hyperlink"/>
          </w:rPr>
          <w:t xml:space="preserve">https://doi.org/10.5281/zenodo.7199437</w:t>
        </w:r>
      </w:hyperlink>
    </w:p>
    <w:bookmarkEnd w:id="89"/>
    <w:bookmarkStart w:id="91" w:name="ref-stuart2010matching"/>
    <w:p>
      <w:pPr>
        <w:pStyle w:val="Bibliography"/>
      </w:pPr>
      <w:r>
        <w:t xml:space="preserve">Stuart, E. A. (2010). Matching methods for causal inference: A review and a look forward.</w:t>
      </w:r>
      <w:r>
        <w:t xml:space="preserve"> </w:t>
      </w:r>
      <w:r>
        <w:rPr>
          <w:i/>
          <w:iCs/>
        </w:rPr>
        <w:t xml:space="preserve">Statistical Science</w:t>
      </w:r>
      <w:r>
        <w:t xml:space="preserve">,</w:t>
      </w:r>
      <w:r>
        <w:t xml:space="preserve"> </w:t>
      </w:r>
      <w:r>
        <w:rPr>
          <w:i/>
          <w:iCs/>
        </w:rPr>
        <w:t xml:space="preserve">25</w:t>
      </w:r>
      <w:r>
        <w:t xml:space="preserve">(1), 1–21.</w:t>
      </w:r>
      <w:r>
        <w:t xml:space="preserve"> </w:t>
      </w:r>
      <w:hyperlink r:id="rId90">
        <w:r>
          <w:rPr>
            <w:rStyle w:val="Hyperlink"/>
          </w:rPr>
          <w:t xml:space="preserve">https://doi.org/10.1214/09-STS313</w:t>
        </w:r>
      </w:hyperlink>
    </w:p>
    <w:bookmarkEnd w:id="91"/>
    <w:bookmarkStart w:id="93"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92">
        <w:r>
          <w:rPr>
            <w:rStyle w:val="Hyperlink"/>
          </w:rPr>
          <w:t xml:space="preserve">https://doi.org/10.3758/s13428-020-01389-1</w:t>
        </w:r>
      </w:hyperlink>
    </w:p>
    <w:bookmarkEnd w:id="93"/>
    <w:bookmarkStart w:id="95" w:name="ref-wilkinson2016fair"/>
    <w:p>
      <w:pPr>
        <w:pStyle w:val="Bibliography"/>
      </w:pPr>
      <w:r>
        <w:t xml:space="preserve">Wilkinson, M. D., Dumontier, M., Aalbersberg, IJ. J., Appleton, G., Axton, M., Baak, A., Blomberg, N., Boiten, J.-W., da Silva Santos, L. B., Bourne, P. E., Bouwman, J., Brookes, A. J., Clark, T., Crosas, M., Dillo, I., Dumon, O., Edmunds, S., Evelo, C. T., Finkers, R., … Mons, B.</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94">
        <w:r>
          <w:rPr>
            <w:rStyle w:val="Hyperlink"/>
          </w:rPr>
          <w:t xml:space="preserve">https://doi.org/10.1038/sdata.2016.18</w:t>
        </w:r>
      </w:hyperlink>
    </w:p>
    <w:bookmarkEnd w:id="95"/>
    <w:bookmarkStart w:id="97"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96">
        <w:r>
          <w:rPr>
            <w:rStyle w:val="Hyperlink"/>
          </w:rPr>
          <w:t xml:space="preserve">https://doi.org/10.1017/S0140525X20001685</w:t>
        </w:r>
      </w:hyperlink>
    </w:p>
    <w:bookmarkEnd w:id="97"/>
    <w:bookmarkStart w:id="99"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98">
        <w:r>
          <w:rPr>
            <w:rStyle w:val="Hyperlink"/>
          </w:rPr>
          <w:t xml:space="preserve">https://doi.org/10.3758/pbr.15.5.971</w:t>
        </w:r>
      </w:hyperlink>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6" Target="https://doi.org/10.1016/S0022-5371(73)80014-3" TargetMode="External" /><Relationship Type="http://schemas.openxmlformats.org/officeDocument/2006/relationships/hyperlink" Id="rId86" Target="https://doi.org/10.1016/j.bandl.2016.08.001" TargetMode="External" /><Relationship Type="http://schemas.openxmlformats.org/officeDocument/2006/relationships/hyperlink" Id="rId72" Target="https://doi.org/10.1016/j.mex.2021.101545" TargetMode="External" /><Relationship Type="http://schemas.openxmlformats.org/officeDocument/2006/relationships/hyperlink" Id="rId82" Target="https://doi.org/10.1016/j.wocn.2018.12.001" TargetMode="External" /><Relationship Type="http://schemas.openxmlformats.org/officeDocument/2006/relationships/hyperlink" Id="rId96" Target="https://doi.org/10.1017/S0140525X20001685" TargetMode="External" /><Relationship Type="http://schemas.openxmlformats.org/officeDocument/2006/relationships/hyperlink" Id="rId38" Target="https://doi.org/10.1037/0278-7393.15.5.802" TargetMode="External" /><Relationship Type="http://schemas.openxmlformats.org/officeDocument/2006/relationships/hyperlink" Id="rId94" Target="https://doi.org/10.1038/sdata.2016.18" TargetMode="External" /><Relationship Type="http://schemas.openxmlformats.org/officeDocument/2006/relationships/hyperlink" Id="rId56" Target="https://doi.org/10.1080/10618600.1993.10474623" TargetMode="External" /><Relationship Type="http://schemas.openxmlformats.org/officeDocument/2006/relationships/hyperlink" Id="rId54" Target="https://doi.org/10.1080/14790718.2024.2415993" TargetMode="External" /><Relationship Type="http://schemas.openxmlformats.org/officeDocument/2006/relationships/hyperlink" Id="rId60" Target="https://doi.org/10.1080/17470218.2013.850521" TargetMode="External" /><Relationship Type="http://schemas.openxmlformats.org/officeDocument/2006/relationships/hyperlink" Id="rId66" Target="https://doi.org/10.1080/17470218.2014.989865" TargetMode="External" /><Relationship Type="http://schemas.openxmlformats.org/officeDocument/2006/relationships/hyperlink" Id="rId68" Target="https://doi.org/10.1177/1948550617697177" TargetMode="External" /><Relationship Type="http://schemas.openxmlformats.org/officeDocument/2006/relationships/hyperlink" Id="rId49" Target="https://doi.org/10.1177/25152459231162567" TargetMode="External" /><Relationship Type="http://schemas.openxmlformats.org/officeDocument/2006/relationships/hyperlink" Id="rId58" Target="https://doi.org/10.1198/106186006X137047" TargetMode="External" /><Relationship Type="http://schemas.openxmlformats.org/officeDocument/2006/relationships/hyperlink" Id="rId90" Target="https://doi.org/10.1214/09-STS313" TargetMode="External" /><Relationship Type="http://schemas.openxmlformats.org/officeDocument/2006/relationships/hyperlink" Id="rId44" Target="https://doi.org/10.1371/journal.pone.0010729" TargetMode="External" /><Relationship Type="http://schemas.openxmlformats.org/officeDocument/2006/relationships/hyperlink" Id="rId84" Target="https://doi.org/10.2307/2529981" TargetMode="External" /><Relationship Type="http://schemas.openxmlformats.org/officeDocument/2006/relationships/hyperlink" Id="rId78" Target="https://doi.org/10.3758/BF03196742" TargetMode="External" /><Relationship Type="http://schemas.openxmlformats.org/officeDocument/2006/relationships/hyperlink" Id="rId42" Target="https://doi.org/10.3758/BRM.41.4.977" TargetMode="External" /><Relationship Type="http://schemas.openxmlformats.org/officeDocument/2006/relationships/hyperlink" Id="rId64" Target="https://doi.org/10.3758/BRM.42.3.627" TargetMode="External" /><Relationship Type="http://schemas.openxmlformats.org/officeDocument/2006/relationships/hyperlink" Id="rId98" Target="https://doi.org/10.3758/pbr.15.5.971" TargetMode="External" /><Relationship Type="http://schemas.openxmlformats.org/officeDocument/2006/relationships/hyperlink" Id="rId74" Target="https://doi.org/10.3758/s13428-011-0168-7" TargetMode="External" /><Relationship Type="http://schemas.openxmlformats.org/officeDocument/2006/relationships/hyperlink" Id="rId52" Target="https://doi.org/10.3758/s13428-013-0326-1" TargetMode="External" /><Relationship Type="http://schemas.openxmlformats.org/officeDocument/2006/relationships/hyperlink" Id="rId76" Target="https://doi.org/10.3758/s13428-018-01193-y" TargetMode="External" /><Relationship Type="http://schemas.openxmlformats.org/officeDocument/2006/relationships/hyperlink" Id="rId92" Target="https://doi.org/10.3758/s13428-020-01389-1" TargetMode="External" /><Relationship Type="http://schemas.openxmlformats.org/officeDocument/2006/relationships/hyperlink" Id="rId62" Target="https://doi.org/10.3758/s13428-024-02347-x" TargetMode="External" /><Relationship Type="http://schemas.openxmlformats.org/officeDocument/2006/relationships/hyperlink" Id="rId40" Target="https://doi.org/10.5070/G6011239" TargetMode="External" /><Relationship Type="http://schemas.openxmlformats.org/officeDocument/2006/relationships/hyperlink" Id="rId88" Target="https://doi.org/10.5281/zenodo.7199437" TargetMode="External" /><Relationship Type="http://schemas.openxmlformats.org/officeDocument/2006/relationships/hyperlink" Id="rId70" Target="https://doi.org/10.5334/joc.51" TargetMode="External" /><Relationship Type="http://schemas.openxmlformats.org/officeDocument/2006/relationships/hyperlink" Id="rId8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0022-5371(73)80014-3" TargetMode="External" /><Relationship Type="http://schemas.openxmlformats.org/officeDocument/2006/relationships/hyperlink" Id="rId86" Target="https://doi.org/10.1016/j.bandl.2016.08.001" TargetMode="External" /><Relationship Type="http://schemas.openxmlformats.org/officeDocument/2006/relationships/hyperlink" Id="rId72" Target="https://doi.org/10.1016/j.mex.2021.101545" TargetMode="External" /><Relationship Type="http://schemas.openxmlformats.org/officeDocument/2006/relationships/hyperlink" Id="rId82" Target="https://doi.org/10.1016/j.wocn.2018.12.001" TargetMode="External" /><Relationship Type="http://schemas.openxmlformats.org/officeDocument/2006/relationships/hyperlink" Id="rId96" Target="https://doi.org/10.1017/S0140525X20001685" TargetMode="External" /><Relationship Type="http://schemas.openxmlformats.org/officeDocument/2006/relationships/hyperlink" Id="rId38" Target="https://doi.org/10.1037/0278-7393.15.5.802" TargetMode="External" /><Relationship Type="http://schemas.openxmlformats.org/officeDocument/2006/relationships/hyperlink" Id="rId94" Target="https://doi.org/10.1038/sdata.2016.18" TargetMode="External" /><Relationship Type="http://schemas.openxmlformats.org/officeDocument/2006/relationships/hyperlink" Id="rId56" Target="https://doi.org/10.1080/10618600.1993.10474623" TargetMode="External" /><Relationship Type="http://schemas.openxmlformats.org/officeDocument/2006/relationships/hyperlink" Id="rId54" Target="https://doi.org/10.1080/14790718.2024.2415993" TargetMode="External" /><Relationship Type="http://schemas.openxmlformats.org/officeDocument/2006/relationships/hyperlink" Id="rId60" Target="https://doi.org/10.1080/17470218.2013.850521" TargetMode="External" /><Relationship Type="http://schemas.openxmlformats.org/officeDocument/2006/relationships/hyperlink" Id="rId66" Target="https://doi.org/10.1080/17470218.2014.989865" TargetMode="External" /><Relationship Type="http://schemas.openxmlformats.org/officeDocument/2006/relationships/hyperlink" Id="rId68" Target="https://doi.org/10.1177/1948550617697177" TargetMode="External" /><Relationship Type="http://schemas.openxmlformats.org/officeDocument/2006/relationships/hyperlink" Id="rId49" Target="https://doi.org/10.1177/25152459231162567" TargetMode="External" /><Relationship Type="http://schemas.openxmlformats.org/officeDocument/2006/relationships/hyperlink" Id="rId58" Target="https://doi.org/10.1198/106186006X137047" TargetMode="External" /><Relationship Type="http://schemas.openxmlformats.org/officeDocument/2006/relationships/hyperlink" Id="rId90" Target="https://doi.org/10.1214/09-STS313" TargetMode="External" /><Relationship Type="http://schemas.openxmlformats.org/officeDocument/2006/relationships/hyperlink" Id="rId44" Target="https://doi.org/10.1371/journal.pone.0010729" TargetMode="External" /><Relationship Type="http://schemas.openxmlformats.org/officeDocument/2006/relationships/hyperlink" Id="rId84" Target="https://doi.org/10.2307/2529981" TargetMode="External" /><Relationship Type="http://schemas.openxmlformats.org/officeDocument/2006/relationships/hyperlink" Id="rId78" Target="https://doi.org/10.3758/BF03196742" TargetMode="External" /><Relationship Type="http://schemas.openxmlformats.org/officeDocument/2006/relationships/hyperlink" Id="rId42" Target="https://doi.org/10.3758/BRM.41.4.977" TargetMode="External" /><Relationship Type="http://schemas.openxmlformats.org/officeDocument/2006/relationships/hyperlink" Id="rId64" Target="https://doi.org/10.3758/BRM.42.3.627" TargetMode="External" /><Relationship Type="http://schemas.openxmlformats.org/officeDocument/2006/relationships/hyperlink" Id="rId98" Target="https://doi.org/10.3758/pbr.15.5.971" TargetMode="External" /><Relationship Type="http://schemas.openxmlformats.org/officeDocument/2006/relationships/hyperlink" Id="rId74" Target="https://doi.org/10.3758/s13428-011-0168-7" TargetMode="External" /><Relationship Type="http://schemas.openxmlformats.org/officeDocument/2006/relationships/hyperlink" Id="rId52" Target="https://doi.org/10.3758/s13428-013-0326-1" TargetMode="External" /><Relationship Type="http://schemas.openxmlformats.org/officeDocument/2006/relationships/hyperlink" Id="rId76" Target="https://doi.org/10.3758/s13428-018-01193-y" TargetMode="External" /><Relationship Type="http://schemas.openxmlformats.org/officeDocument/2006/relationships/hyperlink" Id="rId92" Target="https://doi.org/10.3758/s13428-020-01389-1" TargetMode="External" /><Relationship Type="http://schemas.openxmlformats.org/officeDocument/2006/relationships/hyperlink" Id="rId62" Target="https://doi.org/10.3758/s13428-024-02347-x" TargetMode="External" /><Relationship Type="http://schemas.openxmlformats.org/officeDocument/2006/relationships/hyperlink" Id="rId40" Target="https://doi.org/10.5070/G6011239" TargetMode="External" /><Relationship Type="http://schemas.openxmlformats.org/officeDocument/2006/relationships/hyperlink" Id="rId88" Target="https://doi.org/10.5281/zenodo.7199437" TargetMode="External" /><Relationship Type="http://schemas.openxmlformats.org/officeDocument/2006/relationships/hyperlink" Id="rId70" Target="https://doi.org/10.5334/joc.51" TargetMode="External" /><Relationship Type="http://schemas.openxmlformats.org/officeDocument/2006/relationships/hyperlink" Id="rId8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2026-07-22T23:31:45Z</dcterms:created>
  <dcterms:modified xsi:type="dcterms:W3CDTF">2026-07-22T23:31:45Z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toolkit that unifies the whole path from corpus to laboratory, released as a ‘CRAN’-ready R package and a structurally identical ‘PyPI’-ready Python package.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default matching methods, the pseudoword generation and the trial order are deterministic, so the two engines produce byte-identical experiments. We demonstrate this on fifteen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It is distributed under open licences and includes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2026-07-23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