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2026-06-13</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time-locking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nine worked examples in English, Spanish and Mandarin Chinese — across</w:t>
      </w:r>
      <w:r>
        <w:t xml:space="preserve"> </w:t>
      </w:r>
      <w:r>
        <w:t xml:space="preserve">word, pseudoword, paired and sentence stimuli — one of which shows that the</w:t>
      </w:r>
      <w:r>
        <w:t xml:space="preserve"> </w:t>
      </w:r>
      <w:r>
        <w:t xml:space="preserve">workflow extends to a logographic writing system.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 how a stimulus set is</w:t>
      </w:r>
      <w:r>
        <w:t xml:space="preserve"> </w:t>
      </w:r>
      <w:r>
        <w:t xml:space="preserve">assembled, how a measure is quantified —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 the language-as-fixed-effect fallacy</w:t>
      </w:r>
      <w:r>
        <w:t xml:space="preserve"> </w:t>
      </w:r>
      <w:r>
        <w:t xml:space="preserve">(Clark, 1973)</w:t>
      </w:r>
      <w:r>
        <w:t xml:space="preserve"> </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2020)</w:t>
      </w:r>
      <w:r>
        <w:t xml:space="preserve">. A tool that makes the construction</w:t>
      </w:r>
      <w:r>
        <w:t xml:space="preserve"> </w:t>
      </w:r>
      <w:r>
        <w:t xml:space="preserve">of a matched, balanced item set explicit, reproducible and shareable is therefore</w:t>
      </w:r>
      <w:r>
        <w:t xml:space="preserve"> </w:t>
      </w:r>
      <w:r>
        <w:t xml:space="preserve">not a convenience but part of the methodological infrastructure that careful</w:t>
      </w:r>
      <w:r>
        <w:t xml:space="preserve"> </w:t>
      </w:r>
      <w:r>
        <w:t xml:space="preserve">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critical stimulus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thus generalises the materials workflow of</w:t>
      </w:r>
      <w:r>
        <w:t xml:space="preserve"> </w:t>
      </w:r>
      <w:r>
        <w:t xml:space="preserve">González Alonso et al. (2025)</w:t>
      </w:r>
      <w:r>
        <w:t xml:space="preserve"> </w:t>
      </w:r>
      <w:r>
        <w:t xml:space="preserve">— itself an artificial-grammar study — into a reusable,</w:t>
      </w:r>
      <w:r>
        <w:t xml:space="preserve"> </w:t>
      </w:r>
      <w:r>
        <w:t xml:space="preserve">FAIR-compliant tool for many psycholinguistic paradigms.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 among them SUBTLEX-CH for Chinese</w:t>
      </w:r>
      <w:r>
        <w:t xml:space="preserve"> </w:t>
      </w:r>
      <w:r>
        <w:t xml:space="preserve">(Cai &amp; Brysbaert, 2010)</w:t>
      </w:r>
      <w:r>
        <w:t xml:space="preserve"> </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 —</w:t>
      </w:r>
      <w:r>
        <w:t xml:space="preserve"> </w:t>
      </w:r>
      <w:r>
        <w:t xml:space="preserve">concreteness, age of acquisition, valence —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 by</w:t>
      </w:r>
      <w:r>
        <w:t xml:space="preserve"> </w:t>
      </w:r>
      <w:r>
        <w:t xml:space="preserve">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 as orthographic neighbourhood density is with word length and</w:t>
      </w:r>
      <w:r>
        <w:t xml:space="preserve"> </w:t>
      </w:r>
      <w:r>
        <w:t xml:space="preserve">frequency —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A design may also</w:t>
      </w:r>
      <w:r>
        <w:t xml:space="preserve"> </w:t>
      </w:r>
      <w:r>
        <w:t xml:space="preserve">request</w:t>
      </w:r>
      <w:r>
        <w:t xml:space="preserve"> </w:t>
      </w:r>
      <w:r>
        <w:rPr>
          <w:i/>
          <w:iCs/>
        </w:rPr>
        <w:t xml:space="preserve">resampling</w:t>
      </w:r>
      <w:r>
        <w:t xml:space="preserve">: several disjoint matched item sets are drawn, no item reused</w:t>
      </w:r>
      <w:r>
        <w:t xml:space="preserve"> </w:t>
      </w:r>
      <w:r>
        <w:t xml:space="preserve">across them, so a study can run a different item sample per participant group or</w:t>
      </w:r>
      <w:r>
        <w:t xml:space="preserve"> </w:t>
      </w:r>
      <w:r>
        <w:t xml:space="preserve">demonstrate an effect across samples — operationalising the long-standing</w:t>
      </w:r>
      <w:r>
        <w:t xml:space="preserve"> </w:t>
      </w:r>
      <w:r>
        <w:t xml:space="preserve">recommendation to treat items as a random factor rather than a fixed set</w:t>
      </w:r>
      <w:r>
        <w:t xml:space="preserve"> </w:t>
      </w:r>
      <w:r>
        <w:t xml:space="preserve">(Clark, 1973; Yarkoni, 2020)</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 and hence</w:t>
      </w:r>
      <w:r>
        <w:t xml:space="preserve"> </w:t>
      </w:r>
      <w:r>
        <w:t xml:space="preserve">the dependence on the number of items —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w:t>
      </w:r>
      <w:r>
        <w:t xml:space="preserve">— a machine-readable</w:t>
      </w:r>
      <w:r>
        <w:t xml:space="preserve"> </w:t>
      </w:r>
      <w:r>
        <w:t xml:space="preserve">JSON record and a human-readable Markdown summary of its provenance: the corpus or</w:t>
      </w:r>
      <w:r>
        <w:t xml:space="preserve"> </w:t>
      </w:r>
      <w:r>
        <w:t xml:space="preserve">item table and its checksum, the dimensions and how they were computed, the</w:t>
      </w:r>
      <w:r>
        <w:t xml:space="preserve"> </w:t>
      </w:r>
      <w:r>
        <w:t xml:space="preserve">selection or matching method and its parameters, the realised control (the effect</w:t>
      </w:r>
      <w:r>
        <w:t xml:space="preserve"> </w:t>
      </w:r>
      <w:r>
        <w:t xml:space="preserve">sizes, intervals and equivalence verdicts above), the counterbalancing recipe, and</w:t>
      </w:r>
      <w:r>
        <w:t xml:space="preserve"> </w:t>
      </w:r>
      <w:r>
        <w:t xml:space="preserve">the seed, software versions and file checksums needed to reproduce the materials</w:t>
      </w:r>
      <w:r>
        <w:t xml:space="preserve"> </w:t>
      </w:r>
      <w:r>
        <w:t xml:space="preserve">exactly.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right after the verified</w:t>
      </w:r>
      <w:r>
        <w:t xml:space="preserve"> </w:t>
      </w:r>
      <w:r>
        <w:t xml:space="preserve">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 a fixation cross, a single word</w:t>
      </w:r>
      <w:r>
        <w:t xml:space="preserve"> </w:t>
      </w:r>
      <w:r>
        <w:t xml:space="preserve">and a response —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simply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 so adding a paradigm is a</w:t>
      </w:r>
      <w:r>
        <w:t xml:space="preserve"> </w:t>
      </w:r>
      <w:r>
        <w:t xml:space="preserve">matter of configuration, not backend code, and the targets stay in step by</w:t>
      </w:r>
      <w:r>
        <w:t xml:space="preserve"> </w:t>
      </w:r>
      <w:r>
        <w:t xml:space="preserve">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 —</w:t>
      </w:r>
      <w:r>
        <w:t xml:space="preserve"> </w:t>
      </w:r>
      <w:r>
        <w:t xml:space="preserve">prime–target pairs, or sentences segmented into regions with a comprehension</w:t>
      </w:r>
      <w:r>
        <w:t xml:space="preserve"> </w:t>
      </w:r>
      <w:r>
        <w:t xml:space="preserve">question —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0"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nine demonstrations. The first six are</w:t>
      </w:r>
      <w:r>
        <w:t xml:space="preserve"> </w:t>
      </w:r>
      <w:r>
        <w:t xml:space="preserve">corpus-matched word contrasts; the last three exercise other paradigms.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also corpus-matched,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 lexical decision, priming and</w:t>
      </w:r>
      <w:r>
        <w:t xml:space="preserve"> </w:t>
      </w:r>
      <w:r>
        <w:t xml:space="preserve">self-paced reading —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 The tables that</w:t>
      </w:r>
      <w:r>
        <w:t xml:space="preserve"> </w:t>
      </w:r>
      <w:r>
        <w:t xml:space="preserve">follow summarise the five frequency and neighbourhood contrasts, for which a</w:t>
      </w:r>
      <w:r>
        <w:t xml:space="preserve"> </w:t>
      </w:r>
      <w:r>
        <w:t xml:space="preserve">controlled-versus-manipulated report is defined; the remaining demonstrations are</w:t>
      </w:r>
      <w:r>
        <w:t xml:space="preserve"> </w:t>
      </w:r>
      <w:r>
        <w:t xml:space="preserve">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 effect size and interval first, equivalence test as a</w:t>
      </w:r>
      <w:r>
        <w:t xml:space="preserve"> </w:t>
      </w:r>
      <w:r>
        <w:t xml:space="preserve">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t xml:space="preserve"> </w:t>
      </w:r>
      <w:r>
        <w:rPr>
          <w:rStyle w:val="VerbatimChar"/>
        </w:rPr>
        <w:t xml:space="preserve">wordfreq</w:t>
      </w:r>
      <w:r>
        <w:t xml:space="preserve">‘s Chinese data</w:t>
      </w:r>
      <w:r>
        <w:t xml:space="preserve"> </w:t>
      </w:r>
      <w:r>
        <w:t xml:space="preserve">(Speer, 2022)</w:t>
      </w:r>
      <w:r>
        <w:t xml:space="preserve"> </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 tens of single-character substitutions each, an</w:t>
      </w:r>
      <w:r>
        <w:t xml:space="preserve"> </w:t>
      </w:r>
      <w:r>
        <w:t xml:space="preserve">order of magnitude more than the alphabetic words above —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w:t>
      </w:r>
      <w:r>
        <w:t xml:space="preserve"> </w:t>
      </w:r>
      <w:r>
        <w:rPr>
          <w:b/>
          <w:bCs/>
        </w:rPr>
        <w:t xml:space="preserve">lexical-decision</w:t>
      </w:r>
      <w:r>
        <w:t xml:space="preserve"> </w:t>
      </w:r>
      <w:r>
        <w:t xml:space="preserve">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w:t>
      </w:r>
      <w:r>
        <w:t xml:space="preserve"> </w:t>
      </w:r>
      <w:r>
        <w:rPr>
          <w:b/>
          <w:bCs/>
        </w:rPr>
        <w:t xml:space="preserve">priming</w:t>
      </w:r>
      <w:r>
        <w:t xml:space="preserve"> </w:t>
      </w:r>
      <w:r>
        <w:t xml:space="preserve">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rPr>
          <w:b/>
          <w:bCs/>
        </w:rPr>
        <w:t xml:space="preserve">self-paced reading</w:t>
      </w:r>
      <w:r>
        <w:t xml:space="preserve"> </w:t>
      </w:r>
      <w:r>
        <w:t xml:space="preserve">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 —</w:t>
      </w:r>
      <w:r>
        <w:t xml:space="preserve"> </w:t>
      </w:r>
      <w:r>
        <w:t xml:space="preserve">including, for lexical decision, the very same deterministically generated</w:t>
      </w:r>
      <w:r>
        <w:t xml:space="preserve"> </w:t>
      </w:r>
      <w:r>
        <w:t xml:space="preserve">pseudowords.</w:t>
      </w:r>
    </w:p>
    <w:bookmarkEnd w:id="29"/>
    <w:bookmarkEnd w:id="30"/>
    <w:bookmarkStart w:id="31"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 corpus access, dimension derivation,</w:t>
      </w:r>
      <w:r>
        <w:t xml:space="preserve"> </w:t>
      </w:r>
      <w:r>
        <w:t xml:space="preserve">matching, counterbalancing and CJK-font script generation all work unchanged —</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Sampling matched</w:t>
      </w:r>
      <w:r>
        <w:t xml:space="preserve"> </w:t>
      </w:r>
      <w:r>
        <w:t xml:space="preserve">item sets per participant, rather than per study, would extend the resampling</w:t>
      </w:r>
      <w:r>
        <w:t xml:space="preserve"> </w:t>
      </w:r>
      <w:r>
        <w:t xml:space="preserve">already provided; a graphical interface is a further possibility.</w:t>
      </w:r>
    </w:p>
    <w:bookmarkEnd w:id="31"/>
    <w:bookmarkStart w:id="33"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2"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w:t>
      </w:r>
      <w:r>
        <w:t xml:space="preserve"> </w:t>
      </w:r>
      <w:r>
        <w:rPr>
          <w:b/>
          <w:bCs/>
        </w:rPr>
        <w:t xml:space="preserve">paradigm</w:t>
      </w:r>
      <w:r>
        <w:t xml:space="preserve">,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both</w:t>
      </w:r>
      <w:r>
        <w:t xml:space="preserve"> </w:t>
      </w:r>
      <w:r>
        <w:t xml:space="preserve">backends then render it with no further code. To add a</w:t>
      </w:r>
      <w:r>
        <w:t xml:space="preserve"> </w:t>
      </w:r>
      <w:r>
        <w:rPr>
          <w:b/>
          <w:bCs/>
        </w:rPr>
        <w:t xml:space="preserve">lexical dimension</w:t>
      </w:r>
      <w:r>
        <w:t xml:space="preserve">,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w:t>
      </w:r>
      <w:r>
        <w:t xml:space="preserve"> </w:t>
      </w:r>
      <w:r>
        <w:t xml:space="preserve">table in</w:t>
      </w:r>
      <w:r>
        <w:t xml:space="preserve"> </w:t>
      </w:r>
      <w:r>
        <w:rPr>
          <w:rStyle w:val="VerbatimChar"/>
        </w:rPr>
        <w:t xml:space="preserve">config/schema.yaml</w:t>
      </w:r>
      <w:r>
        <w:t xml:space="preserve">) in both packages. To add a</w:t>
      </w:r>
      <w:r>
        <w:t xml:space="preserve"> </w:t>
      </w:r>
      <w:r>
        <w:rPr>
          <w:b/>
          <w:bCs/>
        </w:rPr>
        <w:t xml:space="preserve">presentation target</w:t>
      </w:r>
      <w:r>
        <w:t xml:space="preserve">,</w:t>
      </w:r>
      <w:r>
        <w:t xml:space="preserve"> </w:t>
      </w:r>
      <w:r>
        <w:t xml:space="preserve">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 rendered</w:t>
      </w:r>
      <w:r>
        <w:t xml:space="preserve"> </w:t>
      </w:r>
      <w:r>
        <w:t xml:space="preserve">event list. To add a</w:t>
      </w:r>
      <w:r>
        <w:t xml:space="preserve"> </w:t>
      </w:r>
      <w:r>
        <w:rPr>
          <w:b/>
          <w:bCs/>
        </w:rPr>
        <w:t xml:space="preserve">corpus or language</w:t>
      </w:r>
      <w:r>
        <w:t xml:space="preserve">, add an entry to</w:t>
      </w:r>
      <w:r>
        <w:t xml:space="preserve"> </w:t>
      </w:r>
      <w:r>
        <w:rPr>
          <w:rStyle w:val="VerbatimChar"/>
        </w:rPr>
        <w:t xml:space="preserve">corpora/registry.yaml</w:t>
      </w:r>
      <w:r>
        <w:t xml:space="preserve">; no code change is required for SUBTLEX-family or</w:t>
      </w:r>
      <w:r>
        <w:t xml:space="preserve"> </w:t>
      </w:r>
      <w:r>
        <w:t xml:space="preserve">‘wordfreq’</w:t>
      </w:r>
      <w:r>
        <w:t xml:space="preserve"> </w:t>
      </w:r>
      <w:r>
        <w:t xml:space="preserve">sources.</w:t>
      </w:r>
    </w:p>
    <w:p>
      <w:r>
        <w:br w:type="page"/>
      </w:r>
    </w:p>
    <w:bookmarkEnd w:id="32"/>
    <w:bookmarkEnd w:id="33"/>
    <w:bookmarkStart w:id="79" w:name="references"/>
    <w:p>
      <w:pPr>
        <w:pStyle w:val="Heading1"/>
      </w:pPr>
      <w:r>
        <w:t xml:space="preserve">References</w:t>
      </w:r>
    </w:p>
    <w:bookmarkStart w:id="78" w:name="refs"/>
    <w:bookmarkStart w:id="35"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4">
        <w:r>
          <w:rPr>
            <w:rStyle w:val="Hyperlink"/>
          </w:rPr>
          <w:t xml:space="preserve">https://doi.org/10.5070/G6011239</w:t>
        </w:r>
      </w:hyperlink>
    </w:p>
    <w:bookmarkEnd w:id="35"/>
    <w:bookmarkStart w:id="37"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36">
        <w:r>
          <w:rPr>
            <w:rStyle w:val="Hyperlink"/>
          </w:rPr>
          <w:t xml:space="preserve">https://doi.org/10.3758/BRM.41.4.977</w:t>
        </w:r>
      </w:hyperlink>
    </w:p>
    <w:bookmarkEnd w:id="37"/>
    <w:bookmarkStart w:id="39"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38">
        <w:r>
          <w:rPr>
            <w:rStyle w:val="Hyperlink"/>
          </w:rPr>
          <w:t xml:space="preserve">https://doi.org/10.1371/journal.pone.0010729</w:t>
        </w:r>
      </w:hyperlink>
    </w:p>
    <w:bookmarkEnd w:id="39"/>
    <w:bookmarkStart w:id="41"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0">
        <w:r>
          <w:rPr>
            <w:rStyle w:val="Hyperlink"/>
          </w:rPr>
          <w:t xml:space="preserve">https://doi.org/10.1016/S0022-5371(73)80014-3</w:t>
        </w:r>
      </w:hyperlink>
    </w:p>
    <w:bookmarkEnd w:id="41"/>
    <w:bookmarkStart w:id="42"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2"/>
    <w:bookmarkStart w:id="44"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3">
        <w:r>
          <w:rPr>
            <w:rStyle w:val="Hyperlink"/>
          </w:rPr>
          <w:t xml:space="preserve">https://doi.org/10.1177/25152459231162567</w:t>
        </w:r>
      </w:hyperlink>
    </w:p>
    <w:bookmarkEnd w:id="44"/>
    <w:bookmarkStart w:id="45"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5"/>
    <w:bookmarkStart w:id="47"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46">
        <w:r>
          <w:rPr>
            <w:rStyle w:val="Hyperlink"/>
          </w:rPr>
          <w:t xml:space="preserve">https://doi.org/10.1080/14790718.2024.2415993</w:t>
        </w:r>
      </w:hyperlink>
    </w:p>
    <w:bookmarkEnd w:id="47"/>
    <w:bookmarkStart w:id="49"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48">
        <w:r>
          <w:rPr>
            <w:rStyle w:val="Hyperlink"/>
          </w:rPr>
          <w:t xml:space="preserve">https://doi.org/10.1080/17470218.2013.850521</w:t>
        </w:r>
      </w:hyperlink>
    </w:p>
    <w:bookmarkEnd w:id="49"/>
    <w:bookmarkStart w:id="51"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0">
        <w:r>
          <w:rPr>
            <w:rStyle w:val="Hyperlink"/>
          </w:rPr>
          <w:t xml:space="preserve">https://doi.org/10.3758/s13428-024-02347-x</w:t>
        </w:r>
      </w:hyperlink>
    </w:p>
    <w:bookmarkEnd w:id="51"/>
    <w:bookmarkStart w:id="53"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2">
        <w:r>
          <w:rPr>
            <w:rStyle w:val="Hyperlink"/>
          </w:rPr>
          <w:t xml:space="preserve">https://doi.org/10.3758/BRM.42.3.627</w:t>
        </w:r>
      </w:hyperlink>
    </w:p>
    <w:bookmarkEnd w:id="53"/>
    <w:bookmarkStart w:id="55"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54">
        <w:r>
          <w:rPr>
            <w:rStyle w:val="Hyperlink"/>
          </w:rPr>
          <w:t xml:space="preserve">https://doi.org/10.1177/1948550617697177</w:t>
        </w:r>
      </w:hyperlink>
    </w:p>
    <w:bookmarkEnd w:id="55"/>
    <w:bookmarkStart w:id="57"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56">
        <w:r>
          <w:rPr>
            <w:rStyle w:val="Hyperlink"/>
          </w:rPr>
          <w:t xml:space="preserve">https://doi.org/10.1016/j.mex.2021.101545</w:t>
        </w:r>
      </w:hyperlink>
    </w:p>
    <w:bookmarkEnd w:id="57"/>
    <w:bookmarkStart w:id="59"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58">
        <w:r>
          <w:rPr>
            <w:rStyle w:val="Hyperlink"/>
          </w:rPr>
          <w:t xml:space="preserve">https://doi.org/10.3758/s13428-011-0168-7</w:t>
        </w:r>
      </w:hyperlink>
    </w:p>
    <w:bookmarkEnd w:id="59"/>
    <w:bookmarkStart w:id="61"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0">
        <w:r>
          <w:rPr>
            <w:rStyle w:val="Hyperlink"/>
          </w:rPr>
          <w:t xml:space="preserve">https://doi.org/10.3758/s13428-018-01193-y</w:t>
        </w:r>
      </w:hyperlink>
    </w:p>
    <w:bookmarkEnd w:id="61"/>
    <w:bookmarkStart w:id="63"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62">
        <w:r>
          <w:rPr>
            <w:rStyle w:val="Hyperlink"/>
          </w:rPr>
          <w:t xml:space="preserve">https://doi.org/10.5334/labphon.147</w:t>
        </w:r>
      </w:hyperlink>
    </w:p>
    <w:bookmarkEnd w:id="63"/>
    <w:bookmarkStart w:id="65"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64">
        <w:r>
          <w:rPr>
            <w:rStyle w:val="Hyperlink"/>
          </w:rPr>
          <w:t xml:space="preserve">https://doi.org/10.1016/j.wocn.2018.12.001</w:t>
        </w:r>
      </w:hyperlink>
    </w:p>
    <w:bookmarkEnd w:id="65"/>
    <w:bookmarkStart w:id="67"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66">
        <w:r>
          <w:rPr>
            <w:rStyle w:val="Hyperlink"/>
          </w:rPr>
          <w:t xml:space="preserve">https://doi.org/10.1016/j.bandl.2016.08.001</w:t>
        </w:r>
      </w:hyperlink>
    </w:p>
    <w:bookmarkEnd w:id="67"/>
    <w:bookmarkStart w:id="69"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68">
        <w:r>
          <w:rPr>
            <w:rStyle w:val="Hyperlink"/>
          </w:rPr>
          <w:t xml:space="preserve">https://doi.org/10.5281/zenodo.7199437</w:t>
        </w:r>
      </w:hyperlink>
    </w:p>
    <w:bookmarkEnd w:id="69"/>
    <w:bookmarkStart w:id="71"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0">
        <w:r>
          <w:rPr>
            <w:rStyle w:val="Hyperlink"/>
          </w:rPr>
          <w:t xml:space="preserve">https://doi.org/10.3758/s13428-020-01389-1</w:t>
        </w:r>
      </w:hyperlink>
    </w:p>
    <w:bookmarkEnd w:id="71"/>
    <w:bookmarkStart w:id="73"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72">
        <w:r>
          <w:rPr>
            <w:rStyle w:val="Hyperlink"/>
          </w:rPr>
          <w:t xml:space="preserve">https://doi.org/10.1038/sdata.2016.18</w:t>
        </w:r>
      </w:hyperlink>
    </w:p>
    <w:bookmarkEnd w:id="73"/>
    <w:bookmarkStart w:id="75" w:name="ref-yarkoni2020generalizability"/>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74">
        <w:r>
          <w:rPr>
            <w:rStyle w:val="Hyperlink"/>
          </w:rPr>
          <w:t xml:space="preserve">https://doi.org/10.1017/S0140525X20001685</w:t>
        </w:r>
      </w:hyperlink>
    </w:p>
    <w:bookmarkEnd w:id="75"/>
    <w:bookmarkStart w:id="77"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76">
        <w:r>
          <w:rPr>
            <w:rStyle w:val="Hyperlink"/>
          </w:rPr>
          <w:t xml:space="preserve">https://doi.org/10.3758/pbr.15.5.971</w:t>
        </w:r>
      </w:hyperlink>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0" Target="https://doi.org/10.1016/S0022-5371(73)80014-3" TargetMode="External" /><Relationship Type="http://schemas.openxmlformats.org/officeDocument/2006/relationships/hyperlink" Id="rId66" Target="https://doi.org/10.1016/j.bandl.2016.08.001" TargetMode="External" /><Relationship Type="http://schemas.openxmlformats.org/officeDocument/2006/relationships/hyperlink" Id="rId56" Target="https://doi.org/10.1016/j.mex.2021.101545" TargetMode="External" /><Relationship Type="http://schemas.openxmlformats.org/officeDocument/2006/relationships/hyperlink" Id="rId64" Target="https://doi.org/10.1016/j.wocn.2018.12.001" TargetMode="External" /><Relationship Type="http://schemas.openxmlformats.org/officeDocument/2006/relationships/hyperlink" Id="rId74" Target="https://doi.org/10.1017/S0140525X20001685" TargetMode="External" /><Relationship Type="http://schemas.openxmlformats.org/officeDocument/2006/relationships/hyperlink" Id="rId72" Target="https://doi.org/10.1038/sdata.2016.18" TargetMode="External" /><Relationship Type="http://schemas.openxmlformats.org/officeDocument/2006/relationships/hyperlink" Id="rId46" Target="https://doi.org/10.1080/14790718.2024.2415993" TargetMode="External" /><Relationship Type="http://schemas.openxmlformats.org/officeDocument/2006/relationships/hyperlink" Id="rId48" Target="https://doi.org/10.1080/17470218.2013.850521" TargetMode="External" /><Relationship Type="http://schemas.openxmlformats.org/officeDocument/2006/relationships/hyperlink" Id="rId54" Target="https://doi.org/10.1177/1948550617697177" TargetMode="External" /><Relationship Type="http://schemas.openxmlformats.org/officeDocument/2006/relationships/hyperlink" Id="rId43" Target="https://doi.org/10.1177/25152459231162567" TargetMode="External" /><Relationship Type="http://schemas.openxmlformats.org/officeDocument/2006/relationships/hyperlink" Id="rId38" Target="https://doi.org/10.1371/journal.pone.0010729" TargetMode="External" /><Relationship Type="http://schemas.openxmlformats.org/officeDocument/2006/relationships/hyperlink" Id="rId36" Target="https://doi.org/10.3758/BRM.41.4.977" TargetMode="External" /><Relationship Type="http://schemas.openxmlformats.org/officeDocument/2006/relationships/hyperlink" Id="rId52" Target="https://doi.org/10.3758/BRM.42.3.627" TargetMode="External" /><Relationship Type="http://schemas.openxmlformats.org/officeDocument/2006/relationships/hyperlink" Id="rId76" Target="https://doi.org/10.3758/pbr.15.5.971" TargetMode="External" /><Relationship Type="http://schemas.openxmlformats.org/officeDocument/2006/relationships/hyperlink" Id="rId58" Target="https://doi.org/10.3758/s13428-011-0168-7" TargetMode="External" /><Relationship Type="http://schemas.openxmlformats.org/officeDocument/2006/relationships/hyperlink" Id="rId60" Target="https://doi.org/10.3758/s13428-018-01193-y" TargetMode="External" /><Relationship Type="http://schemas.openxmlformats.org/officeDocument/2006/relationships/hyperlink" Id="rId70" Target="https://doi.org/10.3758/s13428-020-01389-1" TargetMode="External" /><Relationship Type="http://schemas.openxmlformats.org/officeDocument/2006/relationships/hyperlink" Id="rId50" Target="https://doi.org/10.3758/s13428-024-02347-x" TargetMode="External" /><Relationship Type="http://schemas.openxmlformats.org/officeDocument/2006/relationships/hyperlink" Id="rId34" Target="https://doi.org/10.5070/G6011239" TargetMode="External" /><Relationship Type="http://schemas.openxmlformats.org/officeDocument/2006/relationships/hyperlink" Id="rId68" Target="https://doi.org/10.5281/zenodo.7199437" TargetMode="External" /><Relationship Type="http://schemas.openxmlformats.org/officeDocument/2006/relationships/hyperlink" Id="rId62"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16/S0022-5371(73)80014-3" TargetMode="External" /><Relationship Type="http://schemas.openxmlformats.org/officeDocument/2006/relationships/hyperlink" Id="rId66" Target="https://doi.org/10.1016/j.bandl.2016.08.001" TargetMode="External" /><Relationship Type="http://schemas.openxmlformats.org/officeDocument/2006/relationships/hyperlink" Id="rId56" Target="https://doi.org/10.1016/j.mex.2021.101545" TargetMode="External" /><Relationship Type="http://schemas.openxmlformats.org/officeDocument/2006/relationships/hyperlink" Id="rId64" Target="https://doi.org/10.1016/j.wocn.2018.12.001" TargetMode="External" /><Relationship Type="http://schemas.openxmlformats.org/officeDocument/2006/relationships/hyperlink" Id="rId74" Target="https://doi.org/10.1017/S0140525X20001685" TargetMode="External" /><Relationship Type="http://schemas.openxmlformats.org/officeDocument/2006/relationships/hyperlink" Id="rId72" Target="https://doi.org/10.1038/sdata.2016.18" TargetMode="External" /><Relationship Type="http://schemas.openxmlformats.org/officeDocument/2006/relationships/hyperlink" Id="rId46" Target="https://doi.org/10.1080/14790718.2024.2415993" TargetMode="External" /><Relationship Type="http://schemas.openxmlformats.org/officeDocument/2006/relationships/hyperlink" Id="rId48" Target="https://doi.org/10.1080/17470218.2013.850521" TargetMode="External" /><Relationship Type="http://schemas.openxmlformats.org/officeDocument/2006/relationships/hyperlink" Id="rId54" Target="https://doi.org/10.1177/1948550617697177" TargetMode="External" /><Relationship Type="http://schemas.openxmlformats.org/officeDocument/2006/relationships/hyperlink" Id="rId43" Target="https://doi.org/10.1177/25152459231162567" TargetMode="External" /><Relationship Type="http://schemas.openxmlformats.org/officeDocument/2006/relationships/hyperlink" Id="rId38" Target="https://doi.org/10.1371/journal.pone.0010729" TargetMode="External" /><Relationship Type="http://schemas.openxmlformats.org/officeDocument/2006/relationships/hyperlink" Id="rId36" Target="https://doi.org/10.3758/BRM.41.4.977" TargetMode="External" /><Relationship Type="http://schemas.openxmlformats.org/officeDocument/2006/relationships/hyperlink" Id="rId52" Target="https://doi.org/10.3758/BRM.42.3.627" TargetMode="External" /><Relationship Type="http://schemas.openxmlformats.org/officeDocument/2006/relationships/hyperlink" Id="rId76" Target="https://doi.org/10.3758/pbr.15.5.971" TargetMode="External" /><Relationship Type="http://schemas.openxmlformats.org/officeDocument/2006/relationships/hyperlink" Id="rId58" Target="https://doi.org/10.3758/s13428-011-0168-7" TargetMode="External" /><Relationship Type="http://schemas.openxmlformats.org/officeDocument/2006/relationships/hyperlink" Id="rId60" Target="https://doi.org/10.3758/s13428-018-01193-y" TargetMode="External" /><Relationship Type="http://schemas.openxmlformats.org/officeDocument/2006/relationships/hyperlink" Id="rId70" Target="https://doi.org/10.3758/s13428-020-01389-1" TargetMode="External" /><Relationship Type="http://schemas.openxmlformats.org/officeDocument/2006/relationships/hyperlink" Id="rId50" Target="https://doi.org/10.3758/s13428-024-02347-x" TargetMode="External" /><Relationship Type="http://schemas.openxmlformats.org/officeDocument/2006/relationships/hyperlink" Id="rId34" Target="https://doi.org/10.5070/G6011239" TargetMode="External" /><Relationship Type="http://schemas.openxmlformats.org/officeDocument/2006/relationships/hyperlink" Id="rId68" Target="https://doi.org/10.5281/zenodo.7199437" TargetMode="External" /><Relationship Type="http://schemas.openxmlformats.org/officeDocument/2006/relationships/hyperlink" Id="rId62"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2026-06-13T21:48:24Z</dcterms:created>
  <dcterms:modified xsi:type="dcterms:W3CDTF">2026-06-13T21:48:24Z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time-locking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nine worked examples in English, Spanish and Mandarin Chinese — across word, pseudoword, paired and sentence stimuli — one of which shows that the workflow extends to a logographic writing system.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2026-06-13</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