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2026-07-17</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default matching methods, the pseudoword generation and the trial order</w:t>
      </w:r>
      <w:r>
        <w:t xml:space="preserve"> </w:t>
      </w:r>
      <w:r>
        <w:t xml:space="preserve">are deterministic, so the two engines produce byte-identical experiments. We</w:t>
      </w:r>
      <w:r>
        <w:t xml:space="preserve"> </w:t>
      </w:r>
      <w:r>
        <w:t xml:space="preserve">demonstrate this on twelve worked examples in English, Spanish and Mandarin</w:t>
      </w:r>
      <w:r>
        <w:t xml:space="preserve"> </w:t>
      </w:r>
      <w:r>
        <w:t xml:space="preserve">Chinese (across word, pseudoword, paired and sentence stimuli), one of which</w:t>
      </w:r>
      <w:r>
        <w:t xml:space="preserve"> </w:t>
      </w:r>
      <w:r>
        <w:t xml:space="preserve">shows that the workflow extends to a logographic writing system, while three</w:t>
      </w:r>
      <w:r>
        <w:t xml:space="preserve"> </w:t>
      </w:r>
      <w:r>
        <w:t xml:space="preserve">reproduce published designs from the literature.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is general-purpose and treats the stimulus set</w:t>
      </w:r>
      <w:r>
        <w:t xml:space="preserve"> </w:t>
      </w:r>
      <w:r>
        <w:t xml:space="preserve">as a reproducible artefact, distributed under open licences with a</w:t>
      </w:r>
      <w:r>
        <w:t xml:space="preserve"> </w:t>
      </w:r>
      <w:r>
        <w:t xml:space="preserve">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one longitudinal artificial-grammar EEG study, for</w:t>
      </w:r>
      <w:r>
        <w:t xml:space="preserve"> </w:t>
      </w:r>
      <w:r>
        <w:t xml:space="preserve">instance</w:t>
      </w:r>
      <w:r>
        <w:t xml:space="preserve"> </w:t>
      </w:r>
      <w:r>
        <w:t xml:space="preserve">(González Alonso et al., 2025)</w:t>
      </w:r>
      <w:r>
        <w:t xml:space="preserve">, EEG markers were sent from an experiment item</w:t>
      </w:r>
      <w:r>
        <w:t xml:space="preserve"> </w:t>
      </w:r>
      <w:r>
        <w:t xml:space="preserve">that followed the word, so that only the first marker was even approximately</w:t>
      </w:r>
      <w:r>
        <w:t xml:space="preserve"> </w:t>
      </w:r>
      <w:r>
        <w:t xml:space="preserve">aligned with stimulus onset. The others were sequence-ordered. This is a common</w:t>
      </w:r>
      <w:r>
        <w:t xml:space="preserve"> </w:t>
      </w:r>
      <w:r>
        <w:t xml:space="preserve">pattern and an avoidable source of jitter.</w:t>
      </w:r>
    </w:p>
    <w:p>
      <w:pPr>
        <w:pStyle w:val="BodyText"/>
      </w:pPr>
      <w:r>
        <w:t xml:space="preserve">We present</w:t>
      </w:r>
      <w:r>
        <w:t xml:space="preserve"> </w:t>
      </w:r>
      <w:r>
        <w:t xml:space="preserve">‘lexsync’</w:t>
      </w:r>
      <w:r>
        <w:t xml:space="preserve">, a toolkit that fills these gaps.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w:t>
      </w:r>
      <w:r>
        <w:t xml:space="preserve"> </w:t>
      </w:r>
      <w:r>
        <w:t xml:space="preserve">the default matching methods and the trial ordering are deterministic, so the</w:t>
      </w:r>
      <w:r>
        <w:t xml:space="preserve"> </w:t>
      </w:r>
      <w:r>
        <w:t xml:space="preserve">R and Python engines select identical materials, order them identically and</w:t>
      </w:r>
      <w:r>
        <w:t xml:space="preserve"> </w:t>
      </w:r>
      <w:r>
        <w:t xml:space="preserve">write byte-identical experiment files.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each presentation backend renders that sequence,</w:t>
      </w:r>
      <w:r>
        <w:t xml:space="preserve"> </w:t>
      </w:r>
      <w:r>
        <w:t xml:space="preserve">so the same machinery produces a factorial word study, a lexical-decision task</w:t>
      </w:r>
      <w:r>
        <w:t xml:space="preserve"> </w:t>
      </w:r>
      <w:r>
        <w:t xml:space="preserve">with generated pseudowords, a primed design or a self-paced reading study from</w:t>
      </w:r>
      <w:r>
        <w:t xml:space="preserve"> </w:t>
      </w:r>
      <w:r>
        <w:t xml:space="preserve">configuration rather than new code.</w:t>
      </w:r>
      <w:r>
        <w:t xml:space="preserve"> </w:t>
      </w:r>
      <w:r>
        <w:t xml:space="preserve">‘lexsync’</w:t>
      </w:r>
      <w:r>
        <w:t xml:space="preserve"> </w:t>
      </w:r>
      <w:r>
        <w:t xml:space="preserve">is thus a reusable, FAIR-compliant</w:t>
      </w:r>
      <w:r>
        <w:t xml:space="preserve"> </w:t>
      </w:r>
      <w:r>
        <w:t xml:space="preserve">tool for many psycholinguistic paradigms and languages rather than a single</w:t>
      </w:r>
      <w:r>
        <w:t xml:space="preserve"> </w:t>
      </w:r>
      <w:r>
        <w:t xml:space="preserve">study’s script.</w:t>
      </w:r>
      <w:r>
        <w:t xml:space="preserve"> </w:t>
      </w:r>
      <w:r>
        <w:t xml:space="preserve">The longitudinal study above is one of twelve worked examples, and one of the</w:t>
      </w:r>
      <w:r>
        <w:t xml:space="preserve"> </w:t>
      </w:r>
      <w:r>
        <w:t xml:space="preserve">three that rebuild a published design.</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‘stringi’</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w:t>
      </w:r>
      <w:r>
        <w:t xml:space="preserve"> </w:t>
      </w:r>
      <w:r>
        <w:t xml:space="preserve">by 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Two further matching methods can be selected when a design needs them. A</w:t>
      </w:r>
      <w:r>
        <w:t xml:space="preserve"> </w:t>
      </w:r>
      <w:r>
        <w:t xml:space="preserve">covariance-aware (Mahalanobis) distance replaces the standardised Euclidean metric</w:t>
      </w:r>
      <w:r>
        <w:t xml:space="preserve"> </w:t>
      </w:r>
      <w:r>
        <w:t xml:space="preserve">with one weighted by the inverse of the control dimensions’ correlation matrix, so</w:t>
      </w:r>
      <w:r>
        <w:t xml:space="preserve"> </w:t>
      </w:r>
      <w:r>
        <w:t xml:space="preserve">it down-weights dimensions that are correlated, such as length and orthographic</w:t>
      </w:r>
      <w:r>
        <w:t xml:space="preserve"> </w:t>
      </w:r>
      <w:r>
        <w:t xml:space="preserve">neighbourhood, rather than counting their shared variance more than once</w:t>
      </w:r>
      <w:r>
        <w:t xml:space="preserve"> </w:t>
      </w:r>
      <w:r>
        <w:t xml:space="preserve">(Rubin, 1980; Stuart, 2010)</w:t>
      </w:r>
      <w:r>
        <w:t xml:space="preserve">. A globally optimal assignment, for a</w:t>
      </w:r>
      <w:r>
        <w:t xml:space="preserve"> </w:t>
      </w:r>
      <w:r>
        <w:t xml:space="preserve">two-condition design, minimises the total distance over the whole pairing instead</w:t>
      </w:r>
      <w:r>
        <w:t xml:space="preserve"> </w:t>
      </w:r>
      <w:r>
        <w:t xml:space="preserve">of taking the locally cheapest pair at each step</w:t>
      </w:r>
      <w:r>
        <w:t xml:space="preserve"> </w:t>
      </w:r>
      <w:r>
        <w:t xml:space="preserve">(Gu &amp; Rosenbaum, 1993; Hansen &amp; Klopfer, 2006)</w:t>
      </w:r>
      <w:r>
        <w:t xml:space="preserve">. Both rely on a linear-algebra routine (a matrix inverse and</w:t>
      </w:r>
      <w:r>
        <w:t xml:space="preserve"> </w:t>
      </w:r>
      <w:r>
        <w:t xml:space="preserve">an assignment solver respectively) whose last bits differ between the R and</w:t>
      </w:r>
      <w:r>
        <w:t xml:space="preserve"> </w:t>
      </w:r>
      <w:r>
        <w:t xml:space="preserve">Python backends, so on these two methods the engines select equivalent but not</w:t>
      </w:r>
      <w:r>
        <w:t xml:space="preserve"> </w:t>
      </w:r>
      <w:r>
        <w:t xml:space="preserve">byte-identical materials; each datasheet records which case applies.</w:t>
      </w:r>
    </w:p>
    <w:p>
      <w:pPr>
        <w:pStyle w:val="BodyText"/>
      </w:pPr>
      <w:r>
        <w:t xml:space="preserve">A design may also be declared</w:t>
      </w:r>
      <w:r>
        <w:t xml:space="preserve"> </w:t>
      </w:r>
      <w:r>
        <w:rPr>
          <w:i/>
          <w:iCs/>
        </w:rPr>
        <w:t xml:space="preserve">continuous</w:t>
      </w:r>
      <w:r>
        <w:t xml:space="preserve"> </w:t>
      </w:r>
      <w:r>
        <w:t xml:space="preserve">rather than dichotomised. Instead of</w:t>
      </w:r>
      <w:r>
        <w:t xml:space="preserve"> </w:t>
      </w:r>
      <w:r>
        <w:t xml:space="preserve">splitting a variable into conditions and matching, lexsync selects a set that</w:t>
      </w:r>
      <w:r>
        <w:t xml:space="preserve"> </w:t>
      </w:r>
      <w:r>
        <w:t xml:space="preserve">spans the variable’s range evenly while holding the control dimensions</w:t>
      </w:r>
      <w:r>
        <w:t xml:space="preserve"> </w:t>
      </w:r>
      <w:r>
        <w:t xml:space="preserve">near-constant, so the variable stays continuous and is analysed by regression or a</w:t>
      </w:r>
      <w:r>
        <w:t xml:space="preserve"> </w:t>
      </w:r>
      <w:r>
        <w:t xml:space="preserve">mixed model rather than a between-condition contrast. This is the recommended</w:t>
      </w:r>
      <w:r>
        <w:t xml:space="preserve"> </w:t>
      </w:r>
      <w:r>
        <w:t xml:space="preserve">alternative to matched dichotomies, which lose power and admit selection</w:t>
      </w:r>
      <w:r>
        <w:t xml:space="preserve"> </w:t>
      </w:r>
      <w:r>
        <w:t xml:space="preserve">artefacts</w:t>
      </w:r>
      <w:r>
        <w:t xml:space="preserve"> </w:t>
      </w:r>
      <w:r>
        <w:t xml:space="preserve">(Kuperman, 2015; Liben-Nowell et al., 2019)</w:t>
      </w:r>
      <w:r>
        <w:t xml:space="preserve">; the datasheet reports</w:t>
      </w:r>
      <w:r>
        <w:t xml:space="preserve"> </w:t>
      </w:r>
      <w:r>
        <w:t xml:space="preserve">the realised span, the predictor-control correlations and a suggested regression</w:t>
      </w:r>
      <w:r>
        <w:t xml:space="preserve"> </w:t>
      </w:r>
      <w:r>
        <w:t xml:space="preserve">model.</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The trial order</w:t>
      </w:r>
      <w:r>
        <w:t xml:space="preserve"> </w:t>
      </w:r>
      <w:r>
        <w:t xml:space="preserve">within each list comes from a seeded, keyed-hash shuffle: each trial is ranked</w:t>
      </w:r>
      <w:r>
        <w:t xml:space="preserve"> </w:t>
      </w:r>
      <w:r>
        <w:t xml:space="preserve">by the SHA-256 digest of the string</w:t>
      </w:r>
      <w:r>
        <w:t xml:space="preserve"> </w:t>
      </w:r>
      <w:r>
        <w:rPr>
          <w:rStyle w:val="VerbatimChar"/>
        </w:rPr>
        <w:t xml:space="preserve">seed|replicate|list|set|condition</w:t>
      </w:r>
      <w:r>
        <w:t xml:space="preserve">, a</w:t>
      </w:r>
      <w:r>
        <w:t xml:space="preserve"> </w:t>
      </w:r>
      <w:r>
        <w:t xml:space="preserve">tuple that identifies it uniquely under either counterbalancing recipe.</w:t>
      </w:r>
      <w:r>
        <w:t xml:space="preserve"> </w:t>
      </w:r>
      <w:r>
        <w:t xml:space="preserve">Distinct inputs to SHA-256 behave as independent uniform draws, so ranking by</w:t>
      </w:r>
      <w:r>
        <w:t xml:space="preserve"> </w:t>
      </w:r>
      <w:r>
        <w:t xml:space="preserve">the digest realises a seeded random permutation, yet the permutation is a pure</w:t>
      </w:r>
      <w:r>
        <w:t xml:space="preserve"> </w:t>
      </w:r>
      <w:r>
        <w:t xml:space="preserve">function of the design. A different seed gives a different order, and the same</w:t>
      </w:r>
      <w:r>
        <w:t xml:space="preserve"> </w:t>
      </w:r>
      <w:r>
        <w:t xml:space="preserve">seed gives the same order, byte for byte, from both engines on any platform.</w:t>
      </w:r>
      <w:r>
        <w:t xml:space="preserve"> </w:t>
      </w:r>
      <w:r>
        <w:t xml:space="preserve">No random-number generator is involved anywhere in the package, so there is no</w:t>
      </w:r>
      <w:r>
        <w:t xml:space="preserve"> </w:t>
      </w:r>
      <w:r>
        <w:t xml:space="preserve">generator state to save or restore. The permutation is uniform, which is what</w:t>
      </w:r>
      <w:r>
        <w:t xml:space="preserve"> </w:t>
      </w:r>
      <w:r>
        <w:t xml:space="preserve">makes it a legitimate randomisation rather than a merely reproducible one: over</w:t>
      </w:r>
      <w:r>
        <w:t xml:space="preserve"> </w:t>
      </w:r>
      <w:r>
        <w:t xml:space="preserve">a range of seeds, each item’s mean serial position sits at the centre of its</w:t>
      </w:r>
      <w:r>
        <w:t xml:space="preserve"> </w:t>
      </w:r>
      <w:r>
        <w:t xml:space="preserve">list and each item reaches every position about equally often, a property the</w:t>
      </w:r>
      <w:r>
        <w:t xml:space="preserve"> </w:t>
      </w:r>
      <w:r>
        <w:t xml:space="preserve">test suite pins.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and their intervals, a variance-ratio check on the spread, and the</w:t>
      </w:r>
      <w:r>
        <w:t xml:space="preserve"> </w:t>
      </w:r>
      <w:r>
        <w:t xml:space="preserve">equivalence verdicts), the counterbalancing</w:t>
      </w:r>
      <w:r>
        <w:t xml:space="preserve"> </w:t>
      </w:r>
      <w:r>
        <w:t xml:space="preserve">recipe, and the seed, software versions and file checksums needed to reproduce the</w:t>
      </w:r>
      <w:r>
        <w:t xml:space="preserve"> </w:t>
      </w:r>
      <w:r>
        <w:t xml:space="preserve">materials exactly. It records, in addition, the size of the candidate pool each</w:t>
      </w:r>
      <w:r>
        <w:t xml:space="preserve"> </w:t>
      </w:r>
      <w:r>
        <w:t xml:space="preserve">condition was selected from, so that item selection is auditable rather than</w:t>
      </w:r>
      <w:r>
        <w:t xml:space="preserve"> </w:t>
      </w:r>
      <w:r>
        <w:t xml:space="preserve">opaque, and a suggested crossed mixed-model formula that treats items as a random</w:t>
      </w:r>
      <w:r>
        <w:t xml:space="preserve"> </w:t>
      </w:r>
      <w:r>
        <w:t xml:space="preserve">factor</w:t>
      </w:r>
      <w:r>
        <w:t xml:space="preserve"> </w:t>
      </w:r>
      <w:r>
        <w:t xml:space="preserve">(Clark, 1973)</w:t>
      </w:r>
      <w:r>
        <w:t xml:space="preserve">, with which it fills the pre-registration analysis</w:t>
      </w:r>
      <w:r>
        <w:t xml:space="preserve"> </w:t>
      </w:r>
      <w:r>
        <w:t xml:space="preserve">plan.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Of the three presentation targets the</w:t>
      </w:r>
      <w:r>
        <w:t xml:space="preserve"> </w:t>
      </w:r>
      <w:r>
        <w:t xml:space="preserve">‘scripting’</w:t>
      </w:r>
      <w:r>
        <w:t xml:space="preserve"> </w:t>
      </w:r>
      <w:r>
        <w:t xml:space="preserve">module emits from the same</w:t>
      </w:r>
      <w:r>
        <w:t xml:space="preserve"> </w:t>
      </w:r>
      <w:r>
        <w:t xml:space="preserve">matched stimuli, two drive laboratory hardware. The browser-based third is</w:t>
      </w:r>
      <w:r>
        <w:t xml:space="preserve"> </w:t>
      </w:r>
      <w:r>
        <w:t xml:space="preserve">described below. The</w:t>
      </w:r>
      <w:r>
        <w:t xml:space="preserve"> </w:t>
      </w:r>
      <w:r>
        <w:t xml:space="preserve">‘PsychoPy’</w:t>
      </w:r>
      <w:r>
        <w:t xml:space="preserve"> </w:t>
      </w:r>
      <w:r>
        <w:t xml:space="preserve">script binds each onset trigger to the</w:t>
      </w:r>
      <w:r>
        <w:t xml:space="preserve"> </w:t>
      </w:r>
      <w:r>
        <w:t xml:space="preserve">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as soon as</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that marker follows the verified flip, which is</w:t>
      </w:r>
      <w:r>
        <w:t xml:space="preserve"> </w:t>
      </w:r>
      <w:r>
        <w:t xml:space="preserve">the method the platform recommends. Both laboratory targets are therefore</w:t>
      </w:r>
      <w:r>
        <w:t xml:space="preserve"> </w:t>
      </w:r>
      <w:r>
        <w:t xml:space="preserve">time-locked to stimulus onset, though we recommend a photodiode check in either</w:t>
      </w:r>
      <w:r>
        <w:t xml:space="preserve"> </w:t>
      </w:r>
      <w:r>
        <w:t xml:space="preserve">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shareable HTML file</w:t>
      </w:r>
      <w:r>
        <w:t xml:space="preserve"> </w:t>
      </w:r>
      <w:r>
        <w:t xml:space="preserve">(the jsPsych library itself loads from a content delivery network)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by one of two methods set in</w:t>
      </w:r>
      <w:r>
        <w:t xml:space="preserve"> </w:t>
      </w:r>
      <w:r>
        <w:rPr>
          <w:rStyle w:val="VerbatimChar"/>
        </w:rPr>
        <w:t xml:space="preserve">items.generation.method</w:t>
      </w:r>
      <w:r>
        <w:t xml:space="preserve">. The default,</w:t>
      </w:r>
      <w:r>
        <w:t xml:space="preserve"> </w:t>
      </w:r>
      <w:r>
        <w:rPr>
          <w:rStyle w:val="VerbatimChar"/>
        </w:rPr>
        <w:t xml:space="preserve">letter_substitution</w:t>
      </w:r>
      <w:r>
        <w:t xml:space="preserve">, derives a length-matched, orthographically legal non-word</w:t>
      </w:r>
      <w:r>
        <w:t xml:space="preserve"> </w:t>
      </w:r>
      <w:r>
        <w:t xml:space="preserve">for each real word by changing the fewest letters such that every resulting</w:t>
      </w:r>
      <w:r>
        <w:t xml:space="preserve"> </w:t>
      </w:r>
      <w:r>
        <w:t xml:space="preserve">letter bigram is attested in the corpus and the form is not itself a word,</w:t>
      </w:r>
      <w:r>
        <w:t xml:space="preserve"> </w:t>
      </w:r>
      <w:r>
        <w:t xml:space="preserve">choosing among the legal candidates the most bigram-plausible with a byte-order</w:t>
      </w:r>
      <w:r>
        <w:t xml:space="preserve"> </w:t>
      </w:r>
      <w:r>
        <w:t xml:space="preserve">tie-break. The alternative,</w:t>
      </w:r>
      <w:r>
        <w:t xml:space="preserve"> </w:t>
      </w:r>
      <w:r>
        <w:rPr>
          <w:rStyle w:val="VerbatimChar"/>
        </w:rPr>
        <w:t xml:space="preserve">subsyllabic</w:t>
      </w:r>
      <w:r>
        <w:t xml:space="preserve">, splits each word into onset, nucleus</w:t>
      </w:r>
      <w:r>
        <w:t xml:space="preserve"> </w:t>
      </w:r>
      <w:r>
        <w:t xml:space="preserve">and coda constituents and swaps whole constituents for attested alternatives of</w:t>
      </w:r>
      <w:r>
        <w:t xml:space="preserve"> </w:t>
      </w:r>
      <w:r>
        <w:t xml:space="preserve">the same role and length, so that the pseudoword keeps the syllabic structure of</w:t>
      </w:r>
      <w:r>
        <w:t xml:space="preserve"> </w:t>
      </w:r>
      <w:r>
        <w:t xml:space="preserve">its base. Both are deterministic orthographic approximations of</w:t>
      </w:r>
      <w:r>
        <w:t xml:space="preserve"> </w:t>
      </w:r>
      <w:r>
        <w:t xml:space="preserve">‘Wuggy’</w:t>
      </w:r>
      <w:r>
        <w:t xml:space="preserve"> </w:t>
      </w:r>
      <w:r>
        <w:t xml:space="preserve">(Keuleers &amp; Brysbaert, 2010)</w:t>
      </w:r>
      <w:r>
        <w:t xml:space="preserve"> </w:t>
      </w:r>
      <w:r>
        <w:t xml:space="preserve">that add two guarantees of their own: length is matched</w:t>
      </w:r>
      <w:r>
        <w:t xml:space="preserve"> </w:t>
      </w:r>
      <w:r>
        <w:t xml:space="preserve">exactly, and the R and Python engines return byte-identical output.</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The first four</w:t>
      </w:r>
      <w:r>
        <w:t xml:space="preserve"> </w:t>
      </w:r>
      <w:r>
        <w:t xml:space="preserve">matched contrasts cross two alphabetic languages: a high- versus low-frequency</w:t>
      </w:r>
      <w:r>
        <w:t xml:space="preserve"> </w:t>
      </w:r>
      <w:r>
        <w:t xml:space="preserve">contrast and a dense- versus sparse-neighbourhood contrast, each in English and</w:t>
      </w:r>
      <w:r>
        <w:t xml:space="preserve"> </w:t>
      </w:r>
      <w:r>
        <w:t xml:space="preserve">in Spanish, 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 further English contrast,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w:t>
      </w:r>
      <w:r>
        <w:t xml:space="preserve"> </w:t>
      </w:r>
      <w:hyperlink w:anchor="tbl-summary">
        <w:r>
          <w:rPr>
            <w:rStyle w:val="Hyperlink"/>
          </w:rPr>
          <w:t xml:space="preserve">Table 1</w:t>
        </w:r>
      </w:hyperlink>
      <w:r>
        <w:t xml:space="preserve"> </w:t>
      </w:r>
      <w:r>
        <w:t xml:space="preserve">summarises the five frequency and neighbourhood contrasts, for which a</w:t>
      </w:r>
      <w:r>
        <w:t xml:space="preserve"> </w:t>
      </w:r>
      <w:r>
        <w:t xml:space="preserve">controlled-versus-manipulated report is defined. The remaining demonstrations</w:t>
      </w:r>
      <w:r>
        <w:t xml:space="preserve"> </w:t>
      </w:r>
      <w:r>
        <w:t xml:space="preserve">are 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r>
        <w:t xml:space="preserve">The manipulated dimension is strongly separated in every demonstration, while the</w:t>
      </w:r>
      <w:r>
        <w:t xml:space="preserve"> </w:t>
      </w:r>
      <w:r>
        <w:t xml:space="preserve">control dimensions show standardised mean differences well below the</w:t>
      </w:r>
      <w:r>
        <w:t xml:space="preserve"> </w:t>
      </w:r>
      <w:r>
        <w:t xml:space="preserve">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and because</w:t>
      </w:r>
      <w:r>
        <w:t xml:space="preserve"> </w:t>
      </w:r>
      <w:r>
        <w:t xml:space="preserve">the trial order is a keyed-hash function of the design they also place those</w:t>
      </w:r>
      <w:r>
        <w:t xml:space="preserve"> </w:t>
      </w:r>
      <w:r>
        <w:t xml:space="preserve">pairs in the same order. Across the five matched word contrasts</w:t>
      </w:r>
      <w:r>
        <w:t xml:space="preserve"> </w:t>
      </w:r>
      <w:r>
        <w:t xml:space="preserve">all 800 selected</w:t>
      </w:r>
      <w:r>
        <w:t xml:space="preserve"> </w:t>
      </w:r>
      <w:r>
        <w:t xml:space="preserve">(word, condition) pairs were identical between the R and the Python engine,</w:t>
      </w:r>
      <w:r>
        <w:t xml:space="preserve"> </w:t>
      </w:r>
      <w:r>
        <w:t xml:space="preserve">every statistic they report agrees to the precision shown, and every generated</w:t>
      </w:r>
      <w:r>
        <w:t xml:space="preserve"> </w:t>
      </w:r>
      <w:r>
        <w:t xml:space="preserve">experiment file is byte-identical between the engines.</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González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and the keyed-hash trial order</w:t>
      </w:r>
      <w:r>
        <w:t xml:space="preserve"> </w:t>
      </w:r>
      <w:r>
        <w:t xml:space="preserve">makes every generated experiment file byte-identical between them; the sole</w:t>
      </w:r>
      <w:r>
        <w:t xml:space="preserve"> </w:t>
      </w:r>
      <w:r>
        <w:t xml:space="preserve">exceptions remain the covariance-aware (Mahalanobis) and optimal matching</w:t>
      </w:r>
      <w:r>
        <w:t xml:space="preserve"> </w:t>
      </w:r>
      <w:r>
        <w:t xml:space="preserve">methods, whose linear-algebra backends differ in their last bits. A laboratory</w:t>
      </w:r>
      <w:r>
        <w:t xml:space="preserve"> </w:t>
      </w:r>
      <w:r>
        <w:t xml:space="preserve">can 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laboratory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all three presentation backends then render it with no further code. To add a</w:t>
      </w:r>
      <w:r>
        <w:t xml:space="preserve"> </w:t>
      </w:r>
      <w:r>
        <w:t xml:space="preserve">lexical dimension, 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w:t>
      </w:r>
      <w:r>
        <w:t xml:space="preserve"> </w:t>
      </w:r>
      <w:r>
        <w:t xml:space="preserve">list it in the dimension table in</w:t>
      </w:r>
      <w:r>
        <w:t xml:space="preserve"> </w:t>
      </w:r>
      <w:r>
        <w:rPr>
          <w:rStyle w:val="VerbatimChar"/>
        </w:rPr>
        <w:t xml:space="preserve">config/schema.yaml</w:t>
      </w:r>
      <w:r>
        <w:t xml:space="preserve">, in both packages. To add</w:t>
      </w:r>
      <w:r>
        <w:t xml:space="preserve"> </w:t>
      </w:r>
      <w:r>
        <w:t xml:space="preserve">a 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w:t>
      </w:r>
      <w:r>
        <w:t xml:space="preserve"> </w:t>
      </w:r>
      <w:r>
        <w:t xml:space="preserve">walks the same 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99" w:name="references"/>
    <w:p>
      <w:pPr>
        <w:pStyle w:val="Heading1"/>
      </w:pPr>
      <w:r>
        <w:t xml:space="preserve">References</w:t>
      </w:r>
    </w:p>
    <w:bookmarkStart w:id="98"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gu1993comparison"/>
    <w:p>
      <w:pPr>
        <w:pStyle w:val="Bibliography"/>
      </w:pPr>
      <w:r>
        <w:t xml:space="preserve">Gu, X. S., &amp; Rosenbaum, P. R. (1993). Comparison of multivariate matching methods: Structures, distances, and algorithms.</w:t>
      </w:r>
      <w:r>
        <w:t xml:space="preserve"> </w:t>
      </w:r>
      <w:r>
        <w:rPr>
          <w:i/>
          <w:iCs/>
        </w:rPr>
        <w:t xml:space="preserve">Journal of Computational and Graphical Statistics</w:t>
      </w:r>
      <w:r>
        <w:t xml:space="preserve">,</w:t>
      </w:r>
      <w:r>
        <w:t xml:space="preserve"> </w:t>
      </w:r>
      <w:r>
        <w:rPr>
          <w:i/>
          <w:iCs/>
        </w:rPr>
        <w:t xml:space="preserve">2</w:t>
      </w:r>
      <w:r>
        <w:t xml:space="preserve">(4), 405–420.</w:t>
      </w:r>
      <w:r>
        <w:t xml:space="preserve"> </w:t>
      </w:r>
      <w:hyperlink r:id="rId54">
        <w:r>
          <w:rPr>
            <w:rStyle w:val="Hyperlink"/>
          </w:rPr>
          <w:t xml:space="preserve">https://doi.org/10.1080/10618600.1993.10474623</w:t>
        </w:r>
      </w:hyperlink>
    </w:p>
    <w:bookmarkEnd w:id="55"/>
    <w:bookmarkStart w:id="57" w:name="ref-hansen2006optimal"/>
    <w:p>
      <w:pPr>
        <w:pStyle w:val="Bibliography"/>
      </w:pPr>
      <w:r>
        <w:t xml:space="preserve">Hansen, B. B., &amp; Klopfer, S. O. (2006). Optimal full matching and related designs via network flows.</w:t>
      </w:r>
      <w:r>
        <w:t xml:space="preserve"> </w:t>
      </w:r>
      <w:r>
        <w:rPr>
          <w:i/>
          <w:iCs/>
        </w:rPr>
        <w:t xml:space="preserve">Journal of Computational and Graphical Statistics</w:t>
      </w:r>
      <w:r>
        <w:t xml:space="preserve">,</w:t>
      </w:r>
      <w:r>
        <w:t xml:space="preserve"> </w:t>
      </w:r>
      <w:r>
        <w:rPr>
          <w:i/>
          <w:iCs/>
        </w:rPr>
        <w:t xml:space="preserve">15</w:t>
      </w:r>
      <w:r>
        <w:t xml:space="preserve">(3), 609–627.</w:t>
      </w:r>
      <w:r>
        <w:t xml:space="preserve"> </w:t>
      </w:r>
      <w:hyperlink r:id="rId56">
        <w:r>
          <w:rPr>
            <w:rStyle w:val="Hyperlink"/>
          </w:rPr>
          <w:t xml:space="preserve">https://doi.org/10.1198/106186006X137047</w:t>
        </w:r>
      </w:hyperlink>
    </w:p>
    <w:bookmarkEnd w:id="57"/>
    <w:bookmarkStart w:id="59"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8">
        <w:r>
          <w:rPr>
            <w:rStyle w:val="Hyperlink"/>
          </w:rPr>
          <w:t xml:space="preserve">https://doi.org/10.1080/17470218.2013.850521</w:t>
        </w:r>
      </w:hyperlink>
    </w:p>
    <w:bookmarkEnd w:id="59"/>
    <w:bookmarkStart w:id="61"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60">
        <w:r>
          <w:rPr>
            <w:rStyle w:val="Hyperlink"/>
          </w:rPr>
          <w:t xml:space="preserve">https://doi.org/10.3758/s13428-024-02347-x</w:t>
        </w:r>
      </w:hyperlink>
    </w:p>
    <w:bookmarkEnd w:id="61"/>
    <w:bookmarkStart w:id="63"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62">
        <w:r>
          <w:rPr>
            <w:rStyle w:val="Hyperlink"/>
          </w:rPr>
          <w:t xml:space="preserve">https://doi.org/10.3758/BRM.42.3.627</w:t>
        </w:r>
      </w:hyperlink>
    </w:p>
    <w:bookmarkEnd w:id="63"/>
    <w:bookmarkStart w:id="65" w:name="ref-kuperman2015virtual"/>
    <w:p>
      <w:pPr>
        <w:pStyle w:val="Bibliography"/>
      </w:pPr>
      <w:r>
        <w:t xml:space="preserve">Kuperman, V. (2015). Virtual experiments in megastudies: A case study of language and emotion.</w:t>
      </w:r>
      <w:r>
        <w:t xml:space="preserve"> </w:t>
      </w:r>
      <w:r>
        <w:rPr>
          <w:i/>
          <w:iCs/>
        </w:rPr>
        <w:t xml:space="preserve">Quarterly Journal of Experimental Psychology</w:t>
      </w:r>
      <w:r>
        <w:t xml:space="preserve">,</w:t>
      </w:r>
      <w:r>
        <w:t xml:space="preserve"> </w:t>
      </w:r>
      <w:r>
        <w:rPr>
          <w:i/>
          <w:iCs/>
        </w:rPr>
        <w:t xml:space="preserve">68</w:t>
      </w:r>
      <w:r>
        <w:t xml:space="preserve">(8), 1693–1710.</w:t>
      </w:r>
      <w:r>
        <w:t xml:space="preserve"> </w:t>
      </w:r>
      <w:hyperlink r:id="rId64">
        <w:r>
          <w:rPr>
            <w:rStyle w:val="Hyperlink"/>
          </w:rPr>
          <w:t xml:space="preserve">https://doi.org/10.1080/17470218.2014.989865</w:t>
        </w:r>
      </w:hyperlink>
    </w:p>
    <w:bookmarkEnd w:id="65"/>
    <w:bookmarkStart w:id="67"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6">
        <w:r>
          <w:rPr>
            <w:rStyle w:val="Hyperlink"/>
          </w:rPr>
          <w:t xml:space="preserve">https://doi.org/10.1177/1948550617697177</w:t>
        </w:r>
      </w:hyperlink>
    </w:p>
    <w:bookmarkEnd w:id="67"/>
    <w:bookmarkStart w:id="69" w:name="ref-libennowell2019danger"/>
    <w:p>
      <w:pPr>
        <w:pStyle w:val="Bibliography"/>
      </w:pPr>
      <w:r>
        <w:t xml:space="preserve">Liben-Nowell, D., Strand, J., Sharp, A., Wexler, T., &amp; Woods, K. (2019). The danger of testing by selecting controlled subsets, with applications to spoken-word recognition.</w:t>
      </w:r>
      <w:r>
        <w:t xml:space="preserve"> </w:t>
      </w:r>
      <w:r>
        <w:rPr>
          <w:i/>
          <w:iCs/>
        </w:rPr>
        <w:t xml:space="preserve">Journal of Cognition</w:t>
      </w:r>
      <w:r>
        <w:t xml:space="preserve">,</w:t>
      </w:r>
      <w:r>
        <w:t xml:space="preserve"> </w:t>
      </w:r>
      <w:r>
        <w:rPr>
          <w:i/>
          <w:iCs/>
        </w:rPr>
        <w:t xml:space="preserve">2</w:t>
      </w:r>
      <w:r>
        <w:t xml:space="preserve">(1), 2.</w:t>
      </w:r>
      <w:r>
        <w:t xml:space="preserve"> </w:t>
      </w:r>
      <w:hyperlink r:id="rId68">
        <w:r>
          <w:rPr>
            <w:rStyle w:val="Hyperlink"/>
          </w:rPr>
          <w:t xml:space="preserve">https://doi.org/10.5334/joc.51</w:t>
        </w:r>
      </w:hyperlink>
    </w:p>
    <w:bookmarkEnd w:id="69"/>
    <w:bookmarkStart w:id="71"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70">
        <w:r>
          <w:rPr>
            <w:rStyle w:val="Hyperlink"/>
          </w:rPr>
          <w:t xml:space="preserve">https://doi.org/10.1016/j.mex.2021.101545</w:t>
        </w:r>
      </w:hyperlink>
    </w:p>
    <w:bookmarkEnd w:id="71"/>
    <w:bookmarkStart w:id="73"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72">
        <w:r>
          <w:rPr>
            <w:rStyle w:val="Hyperlink"/>
          </w:rPr>
          <w:t xml:space="preserve">https://doi.org/10.3758/s13428-011-0168-7</w:t>
        </w:r>
      </w:hyperlink>
    </w:p>
    <w:bookmarkEnd w:id="73"/>
    <w:bookmarkStart w:id="75"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74">
        <w:r>
          <w:rPr>
            <w:rStyle w:val="Hyperlink"/>
          </w:rPr>
          <w:t xml:space="preserve">https://doi.org/10.3758/s13428-018-01193-y</w:t>
        </w:r>
      </w:hyperlink>
    </w:p>
    <w:bookmarkEnd w:id="75"/>
    <w:bookmarkStart w:id="77"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76">
        <w:r>
          <w:rPr>
            <w:rStyle w:val="Hyperlink"/>
          </w:rPr>
          <w:t xml:space="preserve">https://doi.org/10.3758/BF03196742</w:t>
        </w:r>
      </w:hyperlink>
    </w:p>
    <w:bookmarkEnd w:id="77"/>
    <w:bookmarkStart w:id="79"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8">
        <w:r>
          <w:rPr>
            <w:rStyle w:val="Hyperlink"/>
          </w:rPr>
          <w:t xml:space="preserve">https://doi.org/10.5334/labphon.147</w:t>
        </w:r>
      </w:hyperlink>
    </w:p>
    <w:bookmarkEnd w:id="79"/>
    <w:bookmarkStart w:id="81"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80">
        <w:r>
          <w:rPr>
            <w:rStyle w:val="Hyperlink"/>
          </w:rPr>
          <w:t xml:space="preserve">https://doi.org/10.1016/j.wocn.2018.12.001</w:t>
        </w:r>
      </w:hyperlink>
    </w:p>
    <w:bookmarkEnd w:id="81"/>
    <w:bookmarkStart w:id="83" w:name="ref-rubin1980bias"/>
    <w:p>
      <w:pPr>
        <w:pStyle w:val="Bibliography"/>
      </w:pPr>
      <w:r>
        <w:t xml:space="preserve">Rubin, D. B. (1980). Bias reduction using</w:t>
      </w:r>
      <w:r>
        <w:t xml:space="preserve"> </w:t>
      </w:r>
      <w:r>
        <w:t xml:space="preserve">Mahalanobis</w:t>
      </w:r>
      <w:r>
        <w:t xml:space="preserve">-metric matching.</w:t>
      </w:r>
      <w:r>
        <w:t xml:space="preserve"> </w:t>
      </w:r>
      <w:r>
        <w:rPr>
          <w:i/>
          <w:iCs/>
        </w:rPr>
        <w:t xml:space="preserve">Biometrics</w:t>
      </w:r>
      <w:r>
        <w:t xml:space="preserve">,</w:t>
      </w:r>
      <w:r>
        <w:t xml:space="preserve"> </w:t>
      </w:r>
      <w:r>
        <w:rPr>
          <w:i/>
          <w:iCs/>
        </w:rPr>
        <w:t xml:space="preserve">36</w:t>
      </w:r>
      <w:r>
        <w:t xml:space="preserve">(2), 293–298.</w:t>
      </w:r>
      <w:r>
        <w:t xml:space="preserve"> </w:t>
      </w:r>
      <w:hyperlink r:id="rId82">
        <w:r>
          <w:rPr>
            <w:rStyle w:val="Hyperlink"/>
          </w:rPr>
          <w:t xml:space="preserve">https://doi.org/10.2307/2529981</w:t>
        </w:r>
      </w:hyperlink>
    </w:p>
    <w:bookmarkEnd w:id="83"/>
    <w:bookmarkStart w:id="8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84">
        <w:r>
          <w:rPr>
            <w:rStyle w:val="Hyperlink"/>
          </w:rPr>
          <w:t xml:space="preserve">https://doi.org/10.1016/j.bandl.2016.08.001</w:t>
        </w:r>
      </w:hyperlink>
    </w:p>
    <w:bookmarkEnd w:id="85"/>
    <w:bookmarkStart w:id="8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86">
        <w:r>
          <w:rPr>
            <w:rStyle w:val="Hyperlink"/>
          </w:rPr>
          <w:t xml:space="preserve">https://doi.org/10.5281/zenodo.7199437</w:t>
        </w:r>
      </w:hyperlink>
    </w:p>
    <w:bookmarkEnd w:id="87"/>
    <w:bookmarkStart w:id="89" w:name="ref-stuart2010matching"/>
    <w:p>
      <w:pPr>
        <w:pStyle w:val="Bibliography"/>
      </w:pPr>
      <w:r>
        <w:t xml:space="preserve">Stuart, E. A. (2010). Matching methods for causal inference: A review and a look forward.</w:t>
      </w:r>
      <w:r>
        <w:t xml:space="preserve"> </w:t>
      </w:r>
      <w:r>
        <w:rPr>
          <w:i/>
          <w:iCs/>
        </w:rPr>
        <w:t xml:space="preserve">Statistical Science</w:t>
      </w:r>
      <w:r>
        <w:t xml:space="preserve">,</w:t>
      </w:r>
      <w:r>
        <w:t xml:space="preserve"> </w:t>
      </w:r>
      <w:r>
        <w:rPr>
          <w:i/>
          <w:iCs/>
        </w:rPr>
        <w:t xml:space="preserve">25</w:t>
      </w:r>
      <w:r>
        <w:t xml:space="preserve">(1), 1–21.</w:t>
      </w:r>
      <w:r>
        <w:t xml:space="preserve"> </w:t>
      </w:r>
      <w:hyperlink r:id="rId88">
        <w:r>
          <w:rPr>
            <w:rStyle w:val="Hyperlink"/>
          </w:rPr>
          <w:t xml:space="preserve">https://doi.org/10.1214/09-STS313</w:t>
        </w:r>
      </w:hyperlink>
    </w:p>
    <w:bookmarkEnd w:id="89"/>
    <w:bookmarkStart w:id="9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90">
        <w:r>
          <w:rPr>
            <w:rStyle w:val="Hyperlink"/>
          </w:rPr>
          <w:t xml:space="preserve">https://doi.org/10.3758/s13428-020-01389-1</w:t>
        </w:r>
      </w:hyperlink>
    </w:p>
    <w:bookmarkEnd w:id="91"/>
    <w:bookmarkStart w:id="9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92">
        <w:r>
          <w:rPr>
            <w:rStyle w:val="Hyperlink"/>
          </w:rPr>
          <w:t xml:space="preserve">https://doi.org/10.1038/sdata.2016.18</w:t>
        </w:r>
      </w:hyperlink>
    </w:p>
    <w:bookmarkEnd w:id="93"/>
    <w:bookmarkStart w:id="95"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94">
        <w:r>
          <w:rPr>
            <w:rStyle w:val="Hyperlink"/>
          </w:rPr>
          <w:t xml:space="preserve">https://doi.org/10.1017/S0140525X20001685</w:t>
        </w:r>
      </w:hyperlink>
    </w:p>
    <w:bookmarkEnd w:id="95"/>
    <w:bookmarkStart w:id="97"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96">
        <w:r>
          <w:rPr>
            <w:rStyle w:val="Hyperlink"/>
          </w:rPr>
          <w:t xml:space="preserve">https://doi.org/10.3758/pbr.15.5.971</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84" Target="https://doi.org/10.1016/j.bandl.2016.08.001" TargetMode="External" /><Relationship Type="http://schemas.openxmlformats.org/officeDocument/2006/relationships/hyperlink" Id="rId70" Target="https://doi.org/10.1016/j.mex.2021.101545" TargetMode="External" /><Relationship Type="http://schemas.openxmlformats.org/officeDocument/2006/relationships/hyperlink" Id="rId80" Target="https://doi.org/10.1016/j.wocn.2018.12.001" TargetMode="External" /><Relationship Type="http://schemas.openxmlformats.org/officeDocument/2006/relationships/hyperlink" Id="rId94"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92" Target="https://doi.org/10.1038/sdata.2016.18" TargetMode="External" /><Relationship Type="http://schemas.openxmlformats.org/officeDocument/2006/relationships/hyperlink" Id="rId54" Target="https://doi.org/10.1080/10618600.1993.10474623" TargetMode="External" /><Relationship Type="http://schemas.openxmlformats.org/officeDocument/2006/relationships/hyperlink" Id="rId52" Target="https://doi.org/10.1080/14790718.2024.2415993" TargetMode="External" /><Relationship Type="http://schemas.openxmlformats.org/officeDocument/2006/relationships/hyperlink" Id="rId58" Target="https://doi.org/10.1080/17470218.2013.850521" TargetMode="External" /><Relationship Type="http://schemas.openxmlformats.org/officeDocument/2006/relationships/hyperlink" Id="rId64" Target="https://doi.org/10.1080/17470218.2014.989865" TargetMode="External" /><Relationship Type="http://schemas.openxmlformats.org/officeDocument/2006/relationships/hyperlink" Id="rId66"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56" Target="https://doi.org/10.1198/106186006X137047" TargetMode="External" /><Relationship Type="http://schemas.openxmlformats.org/officeDocument/2006/relationships/hyperlink" Id="rId88" Target="https://doi.org/10.1214/09-STS313" TargetMode="External" /><Relationship Type="http://schemas.openxmlformats.org/officeDocument/2006/relationships/hyperlink" Id="rId42" Target="https://doi.org/10.1371/journal.pone.0010729" TargetMode="External" /><Relationship Type="http://schemas.openxmlformats.org/officeDocument/2006/relationships/hyperlink" Id="rId82" Target="https://doi.org/10.2307/2529981" TargetMode="External" /><Relationship Type="http://schemas.openxmlformats.org/officeDocument/2006/relationships/hyperlink" Id="rId76"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62" Target="https://doi.org/10.3758/BRM.42.3.627" TargetMode="External" /><Relationship Type="http://schemas.openxmlformats.org/officeDocument/2006/relationships/hyperlink" Id="rId96" Target="https://doi.org/10.3758/pbr.15.5.971" TargetMode="External" /><Relationship Type="http://schemas.openxmlformats.org/officeDocument/2006/relationships/hyperlink" Id="rId72"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74" Target="https://doi.org/10.3758/s13428-018-01193-y" TargetMode="External" /><Relationship Type="http://schemas.openxmlformats.org/officeDocument/2006/relationships/hyperlink" Id="rId90" Target="https://doi.org/10.3758/s13428-020-01389-1" TargetMode="External" /><Relationship Type="http://schemas.openxmlformats.org/officeDocument/2006/relationships/hyperlink" Id="rId60"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86" Target="https://doi.org/10.5281/zenodo.7199437" TargetMode="External" /><Relationship Type="http://schemas.openxmlformats.org/officeDocument/2006/relationships/hyperlink" Id="rId68" Target="https://doi.org/10.5334/joc.51" TargetMode="External" /><Relationship Type="http://schemas.openxmlformats.org/officeDocument/2006/relationships/hyperlink" Id="rId78"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84" Target="https://doi.org/10.1016/j.bandl.2016.08.001" TargetMode="External" /><Relationship Type="http://schemas.openxmlformats.org/officeDocument/2006/relationships/hyperlink" Id="rId70" Target="https://doi.org/10.1016/j.mex.2021.101545" TargetMode="External" /><Relationship Type="http://schemas.openxmlformats.org/officeDocument/2006/relationships/hyperlink" Id="rId80" Target="https://doi.org/10.1016/j.wocn.2018.12.001" TargetMode="External" /><Relationship Type="http://schemas.openxmlformats.org/officeDocument/2006/relationships/hyperlink" Id="rId94"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92" Target="https://doi.org/10.1038/sdata.2016.18" TargetMode="External" /><Relationship Type="http://schemas.openxmlformats.org/officeDocument/2006/relationships/hyperlink" Id="rId54" Target="https://doi.org/10.1080/10618600.1993.10474623" TargetMode="External" /><Relationship Type="http://schemas.openxmlformats.org/officeDocument/2006/relationships/hyperlink" Id="rId52" Target="https://doi.org/10.1080/14790718.2024.2415993" TargetMode="External" /><Relationship Type="http://schemas.openxmlformats.org/officeDocument/2006/relationships/hyperlink" Id="rId58" Target="https://doi.org/10.1080/17470218.2013.850521" TargetMode="External" /><Relationship Type="http://schemas.openxmlformats.org/officeDocument/2006/relationships/hyperlink" Id="rId64" Target="https://doi.org/10.1080/17470218.2014.989865" TargetMode="External" /><Relationship Type="http://schemas.openxmlformats.org/officeDocument/2006/relationships/hyperlink" Id="rId66"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56" Target="https://doi.org/10.1198/106186006X137047" TargetMode="External" /><Relationship Type="http://schemas.openxmlformats.org/officeDocument/2006/relationships/hyperlink" Id="rId88" Target="https://doi.org/10.1214/09-STS313" TargetMode="External" /><Relationship Type="http://schemas.openxmlformats.org/officeDocument/2006/relationships/hyperlink" Id="rId42" Target="https://doi.org/10.1371/journal.pone.0010729" TargetMode="External" /><Relationship Type="http://schemas.openxmlformats.org/officeDocument/2006/relationships/hyperlink" Id="rId82" Target="https://doi.org/10.2307/2529981" TargetMode="External" /><Relationship Type="http://schemas.openxmlformats.org/officeDocument/2006/relationships/hyperlink" Id="rId76"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62" Target="https://doi.org/10.3758/BRM.42.3.627" TargetMode="External" /><Relationship Type="http://schemas.openxmlformats.org/officeDocument/2006/relationships/hyperlink" Id="rId96" Target="https://doi.org/10.3758/pbr.15.5.971" TargetMode="External" /><Relationship Type="http://schemas.openxmlformats.org/officeDocument/2006/relationships/hyperlink" Id="rId72"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74" Target="https://doi.org/10.3758/s13428-018-01193-y" TargetMode="External" /><Relationship Type="http://schemas.openxmlformats.org/officeDocument/2006/relationships/hyperlink" Id="rId90" Target="https://doi.org/10.3758/s13428-020-01389-1" TargetMode="External" /><Relationship Type="http://schemas.openxmlformats.org/officeDocument/2006/relationships/hyperlink" Id="rId60"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86" Target="https://doi.org/10.5281/zenodo.7199437" TargetMode="External" /><Relationship Type="http://schemas.openxmlformats.org/officeDocument/2006/relationships/hyperlink" Id="rId68" Target="https://doi.org/10.5334/joc.51" TargetMode="External" /><Relationship Type="http://schemas.openxmlformats.org/officeDocument/2006/relationships/hyperlink" Id="rId78"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2026-07-16T23:54:10Z</dcterms:created>
  <dcterms:modified xsi:type="dcterms:W3CDTF">2026-07-16T23:54:10Z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default matching methods, the pseudoword generation and the trial order are deterministic, so the two engines produce byte-identical experiments.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is general-purpose and treats the stimulus set as a reproducible artefact,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2026-07-17</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