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2026-06-07</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with hardware</w:t>
      </w:r>
      <w:r>
        <w:t xml:space="preserve"> </w:t>
      </w:r>
      <w:r>
        <w:t xml:space="preserve">triggers injected at stimulus onset for electroencephalography. The matching</w:t>
      </w:r>
      <w:r>
        <w:t xml:space="preserve"> </w:t>
      </w:r>
      <w:r>
        <w:t xml:space="preserve">is deterministic, so the two engines return identical stimuli; we demonstrate</w:t>
      </w:r>
      <w:r>
        <w:t xml:space="preserve"> </w:t>
      </w:r>
      <w:r>
        <w:t xml:space="preserve">this on four worked examples in English and Spanish.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w:t>
      </w:r>
      <w:r>
        <w:t xml:space="preserve">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word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return identical stimuli.</w:t>
      </w:r>
      <w:r>
        <w:t xml:space="preserve"> </w:t>
      </w:r>
      <w:r>
        <w:t xml:space="preserve">‘lexsync’</w:t>
      </w:r>
      <w:r>
        <w:t xml:space="preserve"> </w:t>
      </w:r>
      <w:r>
        <w:t xml:space="preserve">generalises the materials workflow of</w:t>
      </w:r>
      <w:r>
        <w:t xml:space="preserve"> </w:t>
      </w:r>
      <w:r>
        <w:t xml:space="preserve">González Alonso et al. (2025)</w:t>
      </w:r>
      <w:r>
        <w:t xml:space="preserve"> </w:t>
      </w:r>
      <w:r>
        <w:t xml:space="preserve">into a</w:t>
      </w:r>
      <w:r>
        <w:t xml:space="preserve"> </w:t>
      </w:r>
      <w:r>
        <w:t xml:space="preserve">reusable, FAIR-compliant tool.</w:t>
      </w:r>
    </w:p>
    <w:bookmarkEnd w:id="9"/>
    <w:bookmarkStart w:id="16"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and</w:t>
      </w:r>
      <w:r>
        <w:t xml:space="preserve"> </w:t>
      </w:r>
      <w:r>
        <w:t xml:space="preserve">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w:t>
      </w:r>
      <w:r>
        <w:t xml:space="preserve"> </w:t>
      </w:r>
      <w:r>
        <w:t xml:space="preserve">orchestrator,</w:t>
      </w:r>
      <w:r>
        <w:t xml:space="preserve"> </w:t>
      </w:r>
      <w:r>
        <w:rPr>
          <w:rStyle w:val="VerbatimChar"/>
        </w:rPr>
        <w:t xml:space="preserve">run_pipeline</w:t>
      </w:r>
      <w:r>
        <w:t xml:space="preserve">, drives them in an explicit loop over designs and</w:t>
      </w:r>
      <w:r>
        <w:t xml:space="preserve"> </w:t>
      </w:r>
      <w:r>
        <w:t xml:space="preserve">languages, so that adding a language or a design is a matter of supplying a</w:t>
      </w:r>
      <w:r>
        <w:t xml:space="preserve"> </w:t>
      </w:r>
      <w:r>
        <w:t xml:space="preserve">configuration file and a lexicon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and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and Spanish lexica with</w:t>
      </w:r>
      <w:r>
        <w:t xml:space="preserve"> </w:t>
      </w:r>
      <w:r>
        <w:t xml:space="preserve">‘wordfreq’</w:t>
      </w:r>
      <w:r>
        <w:t xml:space="preserve">, which aggregates subtitle and web</w:t>
      </w:r>
      <w:r>
        <w:t xml:space="preserve"> </w:t>
      </w:r>
      <w:r>
        <w:t xml:space="preserve">corpora including the SUBTLEX lists; the registry documents the curated corpora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rStyle w:val="VerbatimChar"/>
        </w:rPr>
        <w:t xml:space="preserve">mean ± k·SD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identical stimuli from identical</w:t>
      </w:r>
      <w:r>
        <w:t xml:space="preserve"> </w:t>
      </w:r>
      <w:r>
        <w:t xml:space="preserve">input — a parity we verify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 per-condition descriptive statistics for every</w:t>
      </w:r>
      <w:r>
        <w:t xml:space="preserve"> </w:t>
      </w:r>
      <w:r>
        <w:t xml:space="preserve">dimension, standardised mean differences against the anchor and a two one-sided</w:t>
      </w:r>
      <w:r>
        <w:t xml:space="preserve"> </w:t>
      </w:r>
      <w:r>
        <w:t xml:space="preserve">tests (TOST) equivalence test</w:t>
      </w:r>
      <w:r>
        <w:t xml:space="preserve"> </w:t>
      </w:r>
      <w:r>
        <w:t xml:space="preserve">(Lakens 2017)</w:t>
      </w:r>
      <w:r>
        <w:t xml:space="preserve"> </w:t>
      </w:r>
      <w:r>
        <w:t xml:space="preserve">— and an automated,</w:t>
      </w:r>
      <w:r>
        <w:t xml:space="preserve"> </w:t>
      </w:r>
      <w:r>
        <w:t xml:space="preserve">comprehensive run log recording each stage, its parameters, the seed, package and</w:t>
      </w:r>
      <w:r>
        <w:t xml:space="preserve"> </w:t>
      </w:r>
      <w:r>
        <w:t xml:space="preserve">corpus provenance and a fingerprint of every file written. The report makes the</w:t>
      </w:r>
      <w:r>
        <w:t xml:space="preserve"> </w:t>
      </w:r>
      <w:r>
        <w:t xml:space="preserve">realised control explicit, in the spirit of the original workflow’s balance</w:t>
      </w:r>
      <w:r>
        <w:t xml:space="preserve"> </w:t>
      </w:r>
      <w:r>
        <w:t xml:space="preserve">checks, and the run log makes a run 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it sends the marker from an inline script placed</w:t>
      </w:r>
      <w:r>
        <w:t xml:space="preserve"> </w:t>
      </w:r>
      <w:r>
        <w:t xml:space="preserve">immediately after the word, supporting both a parallel-port and a serial backend</w:t>
      </w:r>
      <w:r>
        <w:t xml:space="preserve"> </w:t>
      </w:r>
      <w:r>
        <w:t xml:space="preserve">with a test-mode fallback. The two backends differ in an instructive way: the</w:t>
      </w:r>
      <w:r>
        <w:t xml:space="preserve"> </w:t>
      </w:r>
      <w:r>
        <w:t xml:space="preserve">‘PsychoPy’</w:t>
      </w:r>
      <w:r>
        <w:t xml:space="preserve"> </w:t>
      </w:r>
      <w:r>
        <w:t xml:space="preserve">path is genuinely flip-locked, whereas</w:t>
      </w:r>
      <w:r>
        <w:t xml:space="preserve"> </w:t>
      </w:r>
      <w:r>
        <w:t xml:space="preserve">‘OpenSesame’</w:t>
      </w:r>
      <w:r>
        <w:t xml:space="preserve"> </w:t>
      </w:r>
      <w:r>
        <w:t xml:space="preserve">sends the marker</w:t>
      </w:r>
      <w:r>
        <w:t xml:space="preserve"> </w:t>
      </w:r>
      <w:r>
        <w:t xml:space="preserve">from the following item and is therefore sequence-ordered. We recommend a</w:t>
      </w:r>
      <w:r>
        <w:t xml:space="preserve"> </w:t>
      </w:r>
      <w:r>
        <w:t xml:space="preserve">photodiode check in either case, but the</w:t>
      </w:r>
      <w:r>
        <w:t xml:space="preserve"> </w:t>
      </w:r>
      <w:r>
        <w:t xml:space="preserve">‘PsychoPy’</w:t>
      </w:r>
      <w:r>
        <w:t xml:space="preserve"> </w:t>
      </w:r>
      <w:r>
        <w:t xml:space="preserve">path removes the dominant</w:t>
      </w:r>
      <w:r>
        <w:t xml:space="preserve"> </w:t>
      </w:r>
      <w:r>
        <w:t xml:space="preserve">source of onset jitter.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reproducibility-and-fair-compliance"/>
    <w:p>
      <w:pPr>
        <w:pStyle w:val="Heading2"/>
      </w:pPr>
      <w:r>
        <w:t xml:space="preserve">Reproducibility and FAIR compliance</w:t>
      </w:r>
    </w:p>
    <w:p>
      <w:pPr>
        <w:pStyle w:val="FirstParagraph"/>
      </w:pPr>
      <w:r>
        <w:t xml:space="preserve">‘lexsync’</w:t>
      </w:r>
      <w:r>
        <w:t xml:space="preserve"> </w:t>
      </w:r>
      <w:r>
        <w:t xml:space="preserve">ships a</w:t>
      </w:r>
      <w:r>
        <w:t xml:space="preserve"> </w:t>
      </w:r>
      <w:r>
        <w:rPr>
          <w:rStyle w:val="VerbatimChar"/>
        </w:rPr>
        <w:t xml:space="preserve">renv</w:t>
      </w:r>
      <w:r>
        <w:t xml:space="preserve"> </w:t>
      </w:r>
      <w:r>
        <w:t xml:space="preserve">lockfile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5"/>
    <w:bookmarkEnd w:id="16"/>
    <w:bookmarkStart w:id="24"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four demonstrations: a high- versus low-frequency</w:t>
      </w:r>
      <w:r>
        <w:t xml:space="preserve"> </w:t>
      </w:r>
      <w:r>
        <w:t xml:space="preserve">contrast and a dense- versus sparse-neighbourhood contrast, each in English and</w:t>
      </w:r>
      <w:r>
        <w:t xml:space="preserve"> </w:t>
      </w:r>
      <w:r>
        <w:t xml:space="preserve">in Spanish, drawn from ten-thousand-word lexica. The frequency contrast matches</w:t>
      </w:r>
      <w:r>
        <w:t xml:space="preserve"> </w:t>
      </w:r>
      <w:r>
        <w:t xml:space="preserve">items on length, neighbourhood density and OLD20; the neighbourhood contrast</w:t>
      </w:r>
      <w:r>
        <w:t xml:space="preserve"> </w:t>
      </w:r>
      <w:r>
        <w:t xml:space="preserve">matches on length and frequency. Each demonstration was produced by both the R</w:t>
      </w:r>
      <w:r>
        <w:t xml:space="preserve"> </w:t>
      </w:r>
      <w:r>
        <w:t xml:space="preserve">and the Python engine. All tables and figures in this section are computed at</w:t>
      </w:r>
      <w:r>
        <w:t xml:space="preserve"> </w:t>
      </w:r>
      <w:r>
        <w:t xml:space="preserve">render time from the generated output.</w:t>
      </w:r>
    </w:p>
    <w:tbl>
      <w:tblPr>
        <w:tblStyle w:val="Table"/>
        <w:tblW w:type="pct" w:w="5000"/>
        <w:tblLayout w:type="fixed"/>
        <w:tblLook w:firstRow="0" w:lastRow="0" w:firstColumn="0" w:lastColumn="0" w:noHBand="0" w:noVBand="0" w:val="0000"/>
      </w:tblPr>
      <w:tblGrid>
        <w:gridCol w:w="7920"/>
      </w:tblGrid>
      <w:tr>
        <w:tc>
          <w:tcPr/>
          <w:bookmarkStart w:id="17" w:name="tbl-summary"/>
          <w:p>
            <w:pPr>
              <w:jc w:val="center"/>
            </w:pPr>
            <w:pPr>
              <w:jc w:val="left"/>
              <w:spacing w:before="200"/>
              <w:pStyle w:val="ImageCaption"/>
            </w:pPr>
            <w:r>
              <w:t xml:space="preserve">Table 1: The four demonstrations, with the manipulated dimension and its standardised effect size against the anchor condition.</w:t>
            </w:r>
          </w:p>
          <w:tbl>
            <w:tblPr>
              <w:tblStyle w:val="Table"/>
              <w:tblW w:type="pct" w:w="5000"/>
              <w:tblLayout w:type="fixed"/>
              <w:tblLook w:firstRow="1" w:lastRow="0" w:firstColumn="0" w:lastColumn="0" w:noHBand="0" w:noVBand="0" w:val="0020"/>
            </w:tblPr>
            <w:tblGrid>
              <w:gridCol w:w="1827"/>
              <w:gridCol w:w="2436"/>
              <w:gridCol w:w="1675"/>
              <w:gridCol w:w="1980"/>
            </w:tblGrid>
            <w:tr>
              <w:trPr>
                <w:tblHeader w:val="on"/>
              </w:trPr>
              <w:tc>
                <w:tcPr/>
                <w:p>
                  <w:pPr>
                    <w:pStyle w:val="Compact"/>
                  </w:pPr>
                </w:p>
              </w:tc>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left"/>
                    <w:jc w:val="center"/>
                  </w:pPr>
                  <w:r>
                    <w:t xml:space="preserve">|d| manipulated</w:t>
                  </w:r>
                </w:p>
              </w:tc>
            </w:tr>
            <w:tr>
              <w:tc>
                <w:tcPr/>
                <w:p>
                  <w:pPr>
                    <w:pStyle w:val="Compact"/>
                    <w:jc w:val="left"/>
                    <w:jc w:val="center"/>
                  </w:pPr>
                  <w:r>
                    <w:t xml:space="preserve">en_freqcontrast_english</w:t>
                  </w:r>
                </w:p>
              </w:tc>
              <w:tc>
                <w:tcPr/>
                <w:p>
                  <w:pPr>
                    <w:pStyle w:val="Compact"/>
                    <w:jc w:val="left"/>
                    <w:jc w:val="center"/>
                  </w:pPr>
                  <w:r>
                    <w:t xml:space="preserve">English: frequency contrast</w:t>
                  </w:r>
                </w:p>
              </w:tc>
              <w:tc>
                <w:tcPr/>
                <w:p>
                  <w:pPr>
                    <w:pStyle w:val="Compact"/>
                    <w:jc w:val="left"/>
                    <w:jc w:val="center"/>
                  </w:pPr>
                  <w:r>
                    <w:t xml:space="preserve">frequency</w:t>
                  </w:r>
                </w:p>
              </w:tc>
              <w:tc>
                <w:tcPr/>
                <w:p>
                  <w:pPr>
                    <w:pStyle w:val="Compact"/>
                    <w:jc w:val="left"/>
                    <w:jc w:val="center"/>
                  </w:pPr>
                  <w:r>
                    <w:t xml:space="preserve">4.67</w:t>
                  </w:r>
                </w:p>
              </w:tc>
            </w:tr>
            <w:tr>
              <w:tc>
                <w:tcPr/>
                <w:p>
                  <w:pPr>
                    <w:pStyle w:val="Compact"/>
                    <w:jc w:val="left"/>
                    <w:jc w:val="center"/>
                  </w:pPr>
                  <w:r>
                    <w:t xml:space="preserve">en_ndensity_english</w:t>
                  </w:r>
                </w:p>
              </w:tc>
              <w:tc>
                <w:tcPr/>
                <w:p>
                  <w:pPr>
                    <w:pStyle w:val="Compact"/>
                    <w:jc w:val="left"/>
                    <w:jc w:val="center"/>
                  </w:pPr>
                  <w:r>
                    <w:t xml:space="preserve">English: neighbourhood contrast</w:t>
                  </w:r>
                </w:p>
              </w:tc>
              <w:tc>
                <w:tcPr/>
                <w:p>
                  <w:pPr>
                    <w:pStyle w:val="Compact"/>
                    <w:jc w:val="left"/>
                    <w:jc w:val="center"/>
                  </w:pPr>
                  <w:r>
                    <w:t xml:space="preserve">n_density</w:t>
                  </w:r>
                </w:p>
              </w:tc>
              <w:tc>
                <w:tcPr/>
                <w:p>
                  <w:pPr>
                    <w:pStyle w:val="Compact"/>
                  </w:pPr>
                </w:p>
              </w:tc>
            </w:tr>
            <w:tr>
              <w:tc>
                <w:tcPr/>
                <w:p>
                  <w:pPr>
                    <w:pStyle w:val="Compact"/>
                    <w:jc w:val="left"/>
                    <w:jc w:val="center"/>
                  </w:pPr>
                  <w:r>
                    <w:t xml:space="preserve">es_freqcontrast_spanish</w:t>
                  </w:r>
                </w:p>
              </w:tc>
              <w:tc>
                <w:tcPr/>
                <w:p>
                  <w:pPr>
                    <w:pStyle w:val="Compact"/>
                    <w:jc w:val="left"/>
                    <w:jc w:val="center"/>
                  </w:pPr>
                  <w:r>
                    <w:t xml:space="preserve">Spanish: frequency contrast</w:t>
                  </w:r>
                </w:p>
              </w:tc>
              <w:tc>
                <w:tcPr/>
                <w:p>
                  <w:pPr>
                    <w:pStyle w:val="Compact"/>
                    <w:jc w:val="left"/>
                    <w:jc w:val="center"/>
                  </w:pPr>
                  <w:r>
                    <w:t xml:space="preserve">frequency</w:t>
                  </w:r>
                </w:p>
              </w:tc>
              <w:tc>
                <w:tcPr/>
                <w:p>
                  <w:pPr>
                    <w:pStyle w:val="Compact"/>
                    <w:jc w:val="left"/>
                    <w:jc w:val="center"/>
                  </w:pPr>
                  <w:r>
                    <w:t xml:space="preserve">4.93</w:t>
                  </w:r>
                </w:p>
              </w:tc>
            </w:tr>
            <w:tr>
              <w:tc>
                <w:tcPr/>
                <w:p>
                  <w:pPr>
                    <w:pStyle w:val="Compact"/>
                    <w:jc w:val="left"/>
                    <w:jc w:val="center"/>
                  </w:pPr>
                  <w:r>
                    <w:t xml:space="preserve">es_ndensity_spanish</w:t>
                  </w:r>
                </w:p>
              </w:tc>
              <w:tc>
                <w:tcPr/>
                <w:p>
                  <w:pPr>
                    <w:pStyle w:val="Compact"/>
                    <w:jc w:val="left"/>
                    <w:jc w:val="center"/>
                  </w:pPr>
                  <w:r>
                    <w:t xml:space="preserve">Spanish: neighbourhood contrast</w:t>
                  </w:r>
                </w:p>
              </w:tc>
              <w:tc>
                <w:tcPr/>
                <w:p>
                  <w:pPr>
                    <w:pStyle w:val="Compact"/>
                    <w:jc w:val="left"/>
                    <w:jc w:val="center"/>
                  </w:pPr>
                  <w:r>
                    <w:t xml:space="preserve">n_density</w:t>
                  </w:r>
                </w:p>
              </w:tc>
              <w:tc>
                <w:tcPr/>
                <w:p>
                  <w:pPr>
                    <w:pStyle w:val="Compact"/>
                  </w:pPr>
                </w:p>
              </w:tc>
            </w:tr>
          </w:tbl>
          <w:bookmarkEnd w:id="17"/>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are closely equated.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equivalence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1" w:name="fig-balance"/>
          <w:p>
            <w:pPr>
              <w:pStyle w:val="Compact"/>
              <w:jc w:val="center"/>
            </w:pPr>
            <w:r>
              <w:drawing>
                <wp:inline>
                  <wp:extent cx="5334000" cy="3333750"/>
                  <wp:effectExtent b="0" l="0" r="0" t="0"/>
                  <wp:docPr descr="" title="" id="19" name="Picture"/>
                  <a:graphic>
                    <a:graphicData uri="http://schemas.openxmlformats.org/drawingml/2006/picture">
                      <pic:pic>
                        <pic:nvPicPr>
                          <pic:cNvPr descr="manuscript_files/figure-docx/fig-balance-1.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Absolute standardised mean difference of each dimension against the anchor condition, by demonstration. The dashed line marks the 0.5-SD equivalence bound. Manipulated dimensions are large; controlled dimensions are near zero.</w:t>
            </w:r>
          </w:p>
          <w:bookmarkEnd w:id="21"/>
        </w:tc>
      </w:tr>
    </w:tbl>
    <w:p>
      <w:pPr>
        <w:pStyle w:val="BodyText"/>
      </w:pPr>
      <w:r>
        <w:t xml:space="preserve">The per-condition descriptive statistics for the English frequency contrast are</w:t>
      </w:r>
      <w:r>
        <w:t xml:space="preserve"> </w:t>
      </w:r>
      <w:r>
        <w:t xml:space="preserve">shown in</w:t>
      </w:r>
      <w:r>
        <w:t xml:space="preserve"> </w:t>
      </w:r>
      <w:hyperlink w:anchor="tbl-descriptives">
        <w:r>
          <w:rPr>
            <w:rStyle w:val="Hyperlink"/>
          </w:rPr>
          <w:t xml:space="preserve">Table 2</w:t>
        </w:r>
      </w:hyperlink>
      <w:r>
        <w:t xml:space="preserve">: frequency is separated by roughly one and a half Zipf</w:t>
      </w:r>
      <w:r>
        <w:t xml:space="preserve"> </w:t>
      </w:r>
      <w:r>
        <w:t xml:space="preserve">units, while length, neighbourhood density and OLD20 are almost identical across</w:t>
      </w:r>
      <w:r>
        <w:t xml:space="preserve"> </w:t>
      </w:r>
      <w:r>
        <w:t xml:space="preserve">conditions.</w:t>
      </w:r>
    </w:p>
    <w:tbl>
      <w:tblPr>
        <w:tblStyle w:val="Table"/>
        <w:tblW w:type="pct" w:w="5000"/>
        <w:tblLayout w:type="fixed"/>
        <w:tblLook w:firstRow="0" w:lastRow="0" w:firstColumn="0" w:lastColumn="0" w:noHBand="0" w:noVBand="0" w:val="0000"/>
      </w:tblPr>
      <w:tblGrid>
        <w:gridCol w:w="7920"/>
      </w:tblGrid>
      <w:tr>
        <w:tc>
          <w:tcPr/>
          <w:bookmarkStart w:id="22" w:name="tbl-descriptives"/>
          <w:p>
            <w:pPr>
              <w:jc w:val="center"/>
            </w:pPr>
            <w:pPr>
              <w:jc w:val="left"/>
              <w:spacing w:before="200"/>
              <w:pStyle w:val="ImageCaption"/>
            </w:pPr>
            <w:r>
              <w:t xml:space="preserve">Table 2: Descriptive statistics per condition for the English frequency contrast (R engine).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group</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high_frequency</w:t>
                  </w:r>
                </w:p>
              </w:tc>
              <w:tc>
                <w:tcPr/>
                <w:p>
                  <w:pPr>
                    <w:pStyle w:val="Compact"/>
                    <w:jc w:val="left"/>
                    <w:jc w:val="center"/>
                  </w:pPr>
                  <w:r>
                    <w:t xml:space="preserve">length</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high_frequency</w:t>
                  </w:r>
                </w:p>
              </w:tc>
              <w:tc>
                <w:tcPr/>
                <w:p>
                  <w:pPr>
                    <w:pStyle w:val="Compact"/>
                    <w:jc w:val="left"/>
                    <w:jc w:val="center"/>
                  </w:pPr>
                  <w:r>
                    <w:t xml:space="preserve">frequency</w:t>
                  </w:r>
                </w:p>
              </w:tc>
              <w:tc>
                <w:tcPr/>
                <w:p>
                  <w:pPr>
                    <w:pStyle w:val="Compact"/>
                    <w:jc w:val="right"/>
                    <w:jc w:val="center"/>
                  </w:pPr>
                  <w:r>
                    <w:t xml:space="preserve">30</w:t>
                  </w:r>
                </w:p>
              </w:tc>
              <w:tc>
                <w:tcPr/>
                <w:p>
                  <w:pPr>
                    <w:pStyle w:val="Compact"/>
                    <w:jc w:val="right"/>
                    <w:jc w:val="center"/>
                  </w:pPr>
                  <w:r>
                    <w:t xml:space="preserve">5.592</w:t>
                  </w:r>
                </w:p>
              </w:tc>
              <w:tc>
                <w:tcPr/>
                <w:p>
                  <w:pPr>
                    <w:pStyle w:val="Compact"/>
                    <w:jc w:val="right"/>
                    <w:jc w:val="center"/>
                  </w:pPr>
                  <w:r>
                    <w:t xml:space="preserve">0.408</w:t>
                  </w:r>
                </w:p>
              </w:tc>
              <w:tc>
                <w:tcPr/>
                <w:p>
                  <w:pPr>
                    <w:pStyle w:val="Compact"/>
                    <w:jc w:val="right"/>
                    <w:jc w:val="center"/>
                  </w:pPr>
                  <w:r>
                    <w:t xml:space="preserve">5.2</w:t>
                  </w:r>
                </w:p>
              </w:tc>
              <w:tc>
                <w:tcPr/>
                <w:p>
                  <w:pPr>
                    <w:pStyle w:val="Compact"/>
                    <w:jc w:val="right"/>
                    <w:jc w:val="center"/>
                  </w:pPr>
                  <w:r>
                    <w:t xml:space="preserve">5.460</w:t>
                  </w:r>
                </w:p>
              </w:tc>
              <w:tc>
                <w:tcPr/>
                <w:p>
                  <w:pPr>
                    <w:pStyle w:val="Compact"/>
                    <w:jc w:val="right"/>
                    <w:jc w:val="center"/>
                  </w:pPr>
                  <w:r>
                    <w:t xml:space="preserve">6.98</w:t>
                  </w:r>
                </w:p>
              </w:tc>
            </w:tr>
            <w:tr>
              <w:tc>
                <w:tcPr/>
                <w:p>
                  <w:pPr>
                    <w:pStyle w:val="Compact"/>
                    <w:jc w:val="left"/>
                    <w:jc w:val="center"/>
                  </w:pPr>
                  <w:r>
                    <w:t xml:space="preserve">high_frequency</w:t>
                  </w:r>
                </w:p>
              </w:tc>
              <w:tc>
                <w:tcPr/>
                <w:p>
                  <w:pPr>
                    <w:pStyle w:val="Compact"/>
                    <w:jc w:val="left"/>
                    <w:jc w:val="center"/>
                  </w:pPr>
                  <w:r>
                    <w:t xml:space="preserve">n_density</w:t>
                  </w:r>
                </w:p>
              </w:tc>
              <w:tc>
                <w:tcPr/>
                <w:p>
                  <w:pPr>
                    <w:pStyle w:val="Compact"/>
                    <w:jc w:val="right"/>
                    <w:jc w:val="center"/>
                  </w:pPr>
                  <w:r>
                    <w:t xml:space="preserve">30</w:t>
                  </w:r>
                </w:p>
              </w:tc>
              <w:tc>
                <w:tcPr/>
                <w:p>
                  <w:pPr>
                    <w:pStyle w:val="Compact"/>
                    <w:jc w:val="right"/>
                    <w:jc w:val="center"/>
                  </w:pPr>
                  <w:r>
                    <w:t xml:space="preserve">3.933</w:t>
                  </w:r>
                </w:p>
              </w:tc>
              <w:tc>
                <w:tcPr/>
                <w:p>
                  <w:pPr>
                    <w:pStyle w:val="Compact"/>
                    <w:jc w:val="right"/>
                    <w:jc w:val="center"/>
                  </w:pPr>
                  <w:r>
                    <w:t xml:space="preserve">4.913</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19.00</w:t>
                  </w:r>
                </w:p>
              </w:tc>
            </w:tr>
            <w:tr>
              <w:tc>
                <w:tcPr/>
                <w:p>
                  <w:pPr>
                    <w:pStyle w:val="Compact"/>
                    <w:jc w:val="left"/>
                    <w:jc w:val="center"/>
                  </w:pPr>
                  <w:r>
                    <w:t xml:space="preserve">high_frequency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1.873</w:t>
                  </w:r>
                </w:p>
              </w:tc>
              <w:tc>
                <w:tcPr/>
                <w:p>
                  <w:pPr>
                    <w:pStyle w:val="Compact"/>
                    <w:jc w:val="right"/>
                    <w:jc w:val="center"/>
                  </w:pPr>
                  <w:r>
                    <w:t xml:space="preserve">0.507</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2.95</w:t>
                  </w:r>
                </w:p>
              </w:tc>
            </w:tr>
            <w:tr>
              <w:tc>
                <w:tcPr/>
                <w:p>
                  <w:pPr>
                    <w:pStyle w:val="Compact"/>
                    <w:jc w:val="left"/>
                    <w:jc w:val="center"/>
                  </w:pPr>
                  <w:r>
                    <w:t xml:space="preserve">low_frequency</w:t>
                  </w:r>
                </w:p>
              </w:tc>
              <w:tc>
                <w:tcPr/>
                <w:p>
                  <w:pPr>
                    <w:pStyle w:val="Compact"/>
                    <w:jc w:val="left"/>
                    <w:jc w:val="center"/>
                  </w:pPr>
                  <w:r>
                    <w:t xml:space="preserve">length</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low_frequency</w:t>
                  </w:r>
                </w:p>
              </w:tc>
              <w:tc>
                <w:tcPr/>
                <w:p>
                  <w:pPr>
                    <w:pStyle w:val="Compact"/>
                    <w:jc w:val="left"/>
                    <w:jc w:val="center"/>
                  </w:pPr>
                  <w:r>
                    <w:t xml:space="preserve">frequency</w:t>
                  </w:r>
                </w:p>
              </w:tc>
              <w:tc>
                <w:tcPr/>
                <w:p>
                  <w:pPr>
                    <w:pStyle w:val="Compact"/>
                    <w:jc w:val="right"/>
                    <w:jc w:val="center"/>
                  </w:pPr>
                  <w:r>
                    <w:t xml:space="preserve">30</w:t>
                  </w:r>
                </w:p>
              </w:tc>
              <w:tc>
                <w:tcPr/>
                <w:p>
                  <w:pPr>
                    <w:pStyle w:val="Compact"/>
                    <w:jc w:val="right"/>
                    <w:jc w:val="center"/>
                  </w:pPr>
                  <w:r>
                    <w:t xml:space="preserve">4.115</w:t>
                  </w:r>
                </w:p>
              </w:tc>
              <w:tc>
                <w:tcPr/>
                <w:p>
                  <w:pPr>
                    <w:pStyle w:val="Compact"/>
                    <w:jc w:val="right"/>
                    <w:jc w:val="center"/>
                  </w:pPr>
                  <w:r>
                    <w:t xml:space="preserve">0.183</w:t>
                  </w:r>
                </w:p>
              </w:tc>
              <w:tc>
                <w:tcPr/>
                <w:p>
                  <w:pPr>
                    <w:pStyle w:val="Compact"/>
                    <w:jc w:val="right"/>
                    <w:jc w:val="center"/>
                  </w:pPr>
                  <w:r>
                    <w:t xml:space="preserve">3.8</w:t>
                  </w:r>
                </w:p>
              </w:tc>
              <w:tc>
                <w:tcPr/>
                <w:p>
                  <w:pPr>
                    <w:pStyle w:val="Compact"/>
                    <w:jc w:val="right"/>
                    <w:jc w:val="center"/>
                  </w:pPr>
                  <w:r>
                    <w:t xml:space="preserve">4.125</w:t>
                  </w:r>
                </w:p>
              </w:tc>
              <w:tc>
                <w:tcPr/>
                <w:p>
                  <w:pPr>
                    <w:pStyle w:val="Compact"/>
                    <w:jc w:val="right"/>
                    <w:jc w:val="center"/>
                  </w:pPr>
                  <w:r>
                    <w:t xml:space="preserve">4.40</w:t>
                  </w:r>
                </w:p>
              </w:tc>
            </w:tr>
            <w:tr>
              <w:tc>
                <w:tcPr/>
                <w:p>
                  <w:pPr>
                    <w:pStyle w:val="Compact"/>
                    <w:jc w:val="left"/>
                    <w:jc w:val="center"/>
                  </w:pPr>
                  <w:r>
                    <w:t xml:space="preserve">low_frequency</w:t>
                  </w:r>
                </w:p>
              </w:tc>
              <w:tc>
                <w:tcPr/>
                <w:p>
                  <w:pPr>
                    <w:pStyle w:val="Compact"/>
                    <w:jc w:val="left"/>
                    <w:jc w:val="center"/>
                  </w:pPr>
                  <w:r>
                    <w:t xml:space="preserve">n_density</w:t>
                  </w:r>
                </w:p>
              </w:tc>
              <w:tc>
                <w:tcPr/>
                <w:p>
                  <w:pPr>
                    <w:pStyle w:val="Compact"/>
                    <w:jc w:val="right"/>
                    <w:jc w:val="center"/>
                  </w:pPr>
                  <w:r>
                    <w:t xml:space="preserve">30</w:t>
                  </w:r>
                </w:p>
              </w:tc>
              <w:tc>
                <w:tcPr/>
                <w:p>
                  <w:pPr>
                    <w:pStyle w:val="Compact"/>
                    <w:jc w:val="right"/>
                    <w:jc w:val="center"/>
                  </w:pPr>
                  <w:r>
                    <w:t xml:space="preserve">3.667</w:t>
                  </w:r>
                </w:p>
              </w:tc>
              <w:tc>
                <w:tcPr/>
                <w:p>
                  <w:pPr>
                    <w:pStyle w:val="Compact"/>
                    <w:jc w:val="right"/>
                    <w:jc w:val="center"/>
                  </w:pPr>
                  <w:r>
                    <w:t xml:space="preserve">4.205</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13.00</w:t>
                  </w:r>
                </w:p>
              </w:tc>
            </w:tr>
            <w:tr>
              <w:tc>
                <w:tcPr/>
                <w:p>
                  <w:pPr>
                    <w:pStyle w:val="Compact"/>
                    <w:jc w:val="left"/>
                    <w:jc w:val="center"/>
                  </w:pPr>
                  <w:r>
                    <w:t xml:space="preserve">low_frequency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1.870</w:t>
                  </w:r>
                </w:p>
              </w:tc>
              <w:tc>
                <w:tcPr/>
                <w:p>
                  <w:pPr>
                    <w:pStyle w:val="Compact"/>
                    <w:jc w:val="right"/>
                    <w:jc w:val="center"/>
                  </w:pPr>
                  <w:r>
                    <w:t xml:space="preserve">0.500</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2.85</w:t>
                  </w:r>
                </w:p>
              </w:tc>
            </w:tr>
          </w:tbl>
          <w:bookmarkEnd w:id="22"/>
          <w:p/>
        </w:tc>
      </w:tr>
    </w:tbl>
    <w:p>
      <w:pPr>
        <w:pStyle w:val="BodyText"/>
      </w:pPr>
      <w:r>
        <w:t xml:space="preserve">Finally,</w:t>
      </w:r>
      <w:r>
        <w:t xml:space="preserve"> </w:t>
      </w:r>
      <w:hyperlink w:anchor="tbl-parity">
        <w:r>
          <w:rPr>
            <w:rStyle w:val="Hyperlink"/>
          </w:rPr>
          <w:t xml:space="preserve">Table 3</w:t>
        </w:r>
      </w:hyperlink>
      <w:r>
        <w:t xml:space="preserve"> </w:t>
      </w:r>
      <w:r>
        <w:t xml:space="preserve">reports the cross-engine parity: for each demonstration we</w:t>
      </w:r>
      <w:r>
        <w:t xml:space="preserve"> </w:t>
      </w:r>
      <w:r>
        <w:t xml:space="preserve">compare the set of (word, condition) pairs selected by the R engine with those</w:t>
      </w:r>
      <w:r>
        <w:t xml:space="preserve"> </w:t>
      </w:r>
      <w:r>
        <w:t xml:space="preserve">selected by the Python engine. The overlap is complete in every case, confirming</w:t>
      </w:r>
      <w:r>
        <w:t xml:space="preserve"> </w:t>
      </w:r>
      <w:r>
        <w:t xml:space="preserve">that the two independent implementations realise the same deterministic</w:t>
      </w:r>
      <w:r>
        <w:t xml:space="preserve"> </w:t>
      </w:r>
      <w:r>
        <w:t xml:space="preserve">procedure.</w:t>
      </w:r>
    </w:p>
    <w:tbl>
      <w:tblPr>
        <w:tblStyle w:val="Table"/>
        <w:tblW w:type="pct" w:w="5000"/>
        <w:tblLayout w:type="fixed"/>
        <w:tblLook w:firstRow="0" w:lastRow="0" w:firstColumn="0" w:lastColumn="0" w:noHBand="0" w:noVBand="0" w:val="0000"/>
      </w:tblPr>
      <w:tblGrid>
        <w:gridCol w:w="7920"/>
      </w:tblGrid>
      <w:tr>
        <w:tc>
          <w:tcPr/>
          <w:bookmarkStart w:id="23" w:name="tbl-parity"/>
          <w:p>
            <w:pPr>
              <w:jc w:val="center"/>
            </w:pPr>
            <w:pPr>
              <w:jc w:val="left"/>
              <w:spacing w:before="200"/>
              <w:pStyle w:val="ImageCaption"/>
            </w:pPr>
            <w:r>
              <w:t xml:space="preserve">Table 3: Cross-engine parity: Jaccard overlap between the stimuli selected by the R and Python engines.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Demonstration</w:t>
                  </w:r>
                </w:p>
              </w:tc>
              <w:tc>
                <w:tcPr/>
                <w:p>
                  <w:pPr>
                    <w:pStyle w:val="Compact"/>
                    <w:jc w:val="right"/>
                    <w:jc w:val="center"/>
                  </w:pPr>
                  <w:r>
                    <w:t xml:space="preserve">Jaccard overlap</w:t>
                  </w:r>
                </w:p>
              </w:tc>
            </w:tr>
            <w:tr>
              <w:tc>
                <w:tcPr/>
                <w:p>
                  <w:pPr>
                    <w:pStyle w:val="Compact"/>
                    <w:jc w:val="left"/>
                    <w:jc w:val="center"/>
                  </w:pPr>
                  <w:r>
                    <w:t xml:space="preserve">English: frequency contrast</w:t>
                  </w:r>
                </w:p>
              </w:tc>
              <w:tc>
                <w:tcPr/>
                <w:p>
                  <w:pPr>
                    <w:pStyle w:val="Compact"/>
                    <w:jc w:val="right"/>
                    <w:jc w:val="center"/>
                  </w:pPr>
                  <w:r>
                    <w:t xml:space="preserve">1</w:t>
                  </w:r>
                </w:p>
              </w:tc>
            </w:tr>
            <w:tr>
              <w:tc>
                <w:tcPr/>
                <w:p>
                  <w:pPr>
                    <w:pStyle w:val="Compact"/>
                    <w:jc w:val="left"/>
                    <w:jc w:val="center"/>
                  </w:pPr>
                  <w:r>
                    <w:t xml:space="preserve">English: neighbourhood contrast</w:t>
                  </w:r>
                </w:p>
              </w:tc>
              <w:tc>
                <w:tcPr/>
                <w:p>
                  <w:pPr>
                    <w:pStyle w:val="Compact"/>
                    <w:jc w:val="right"/>
                    <w:jc w:val="center"/>
                  </w:pPr>
                  <w:r>
                    <w:t xml:space="preserve">1</w:t>
                  </w:r>
                </w:p>
              </w:tc>
            </w:tr>
            <w:tr>
              <w:tc>
                <w:tcPr/>
                <w:p>
                  <w:pPr>
                    <w:pStyle w:val="Compact"/>
                    <w:jc w:val="left"/>
                    <w:jc w:val="center"/>
                  </w:pPr>
                  <w:r>
                    <w:t xml:space="preserve">Spanish: frequency contrast</w:t>
                  </w:r>
                </w:p>
              </w:tc>
              <w:tc>
                <w:tcPr/>
                <w:p>
                  <w:pPr>
                    <w:pStyle w:val="Compact"/>
                    <w:jc w:val="right"/>
                    <w:jc w:val="center"/>
                  </w:pPr>
                  <w:r>
                    <w:t xml:space="preserve">1</w:t>
                  </w:r>
                </w:p>
              </w:tc>
            </w:tr>
            <w:tr>
              <w:tc>
                <w:tcPr/>
                <w:p>
                  <w:pPr>
                    <w:pStyle w:val="Compact"/>
                    <w:jc w:val="left"/>
                    <w:jc w:val="center"/>
                  </w:pPr>
                  <w:r>
                    <w:t xml:space="preserve">Spanish: neighbourhood contrast</w:t>
                  </w:r>
                </w:p>
              </w:tc>
              <w:tc>
                <w:tcPr/>
                <w:p>
                  <w:pPr>
                    <w:pStyle w:val="Compact"/>
                    <w:jc w:val="right"/>
                    <w:jc w:val="center"/>
                  </w:pPr>
                  <w:r>
                    <w:t xml:space="preserve">1</w:t>
                  </w:r>
                </w:p>
              </w:tc>
            </w:tr>
          </w:tbl>
          <w:bookmarkEnd w:id="23"/>
          <w:p/>
        </w:tc>
      </w:tr>
    </w:tbl>
    <w:bookmarkEnd w:id="24"/>
    <w:bookmarkStart w:id="25"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gives bit-for-bit agreement</w:t>
      </w:r>
      <w:r>
        <w:t xml:space="preserve"> </w:t>
      </w:r>
      <w:r>
        <w:t xml:space="preserve">between the R and Python engines, which means a laboratory can adopt</w:t>
      </w:r>
      <w:r>
        <w:t xml:space="preserve"> </w:t>
      </w:r>
      <w:r>
        <w:t xml:space="preserve">‘lexsync’</w:t>
      </w:r>
      <w:r>
        <w:t xml:space="preserve"> </w:t>
      </w:r>
      <w:r>
        <w:t xml:space="preserve">in</w:t>
      </w:r>
      <w:r>
        <w:t xml:space="preserve"> </w:t>
      </w:r>
      <w:r>
        <w:t xml:space="preserve">whichever ecosystem it prefers without fear of divergent stimuli. Second, the</w:t>
      </w:r>
      <w:r>
        <w:t xml:space="preserve"> </w:t>
      </w:r>
      <w:r>
        <w:t xml:space="preserve">‘PsychoPy’</w:t>
      </w:r>
      <w:r>
        <w:t xml:space="preserve"> </w:t>
      </w:r>
      <w:r>
        <w:t xml:space="preserve">export upgrades the sequence-ordered triggers of the original workflow</w:t>
      </w:r>
      <w:r>
        <w:t xml:space="preserve"> </w:t>
      </w:r>
      <w:r>
        <w:t xml:space="preserve">to genuine flip-locking, a concrete methodological improvement for ERP research.</w:t>
      </w:r>
    </w:p>
    <w:p>
      <w:pPr>
        <w:pStyle w:val="BodyText"/>
      </w:pPr>
      <w:r>
        <w:t xml:space="preserve">Several limitations should be stated plainly. The orthographic-neighbourhood</w:t>
      </w:r>
      <w:r>
        <w:t xml:space="preserve"> </w:t>
      </w:r>
      <w:r>
        <w:t xml:space="preserve">measures are defined for alphabetic scripts and require adaptation for</w:t>
      </w:r>
      <w:r>
        <w:t xml:space="preserve"> </w:t>
      </w:r>
      <w:r>
        <w:t xml:space="preserve">logographic languages. The</w:t>
      </w:r>
      <w:r>
        <w:t xml:space="preserve"> </w:t>
      </w:r>
      <w:r>
        <w:t xml:space="preserve">‘OpenSesame’</w:t>
      </w:r>
      <w:r>
        <w:t xml:space="preserve"> </w:t>
      </w:r>
      <w:r>
        <w:t xml:space="preserve">export is sequence-ordered rather than</w:t>
      </w:r>
      <w:r>
        <w:t xml:space="preserve"> </w:t>
      </w:r>
      <w:r>
        <w:t xml:space="preserve">flip-locked, reflecting the platform’s design; a photodiode check remains</w:t>
      </w:r>
      <w:r>
        <w:t xml:space="preserve"> </w:t>
      </w:r>
      <w:r>
        <w:t xml:space="preserve">advisable for any onset-critical study. The demonstrations use ten-thousand-word</w:t>
      </w:r>
      <w:r>
        <w:t xml:space="preserve"> </w:t>
      </w:r>
      <w:r>
        <w:t xml:space="preserve">lexica, which are adequate for illustration but smaller than a researcher would</w:t>
      </w:r>
      <w:r>
        <w:t xml:space="preserve"> </w:t>
      </w:r>
      <w:r>
        <w:t xml:space="preserve">use for a definitive neighbourhood calculation; larger corpora are fetched on</w:t>
      </w:r>
      <w:r>
        <w:t xml:space="preserve"> </w:t>
      </w:r>
      <w:r>
        <w:t xml:space="preserve">demand through the registry. Future work includes additional presentation targets,</w:t>
      </w:r>
      <w:r>
        <w:t xml:space="preserve"> </w:t>
      </w:r>
      <w:r>
        <w:t xml:space="preserve">a graphical interface and richer lexical dimensions such as concreteness and</w:t>
      </w:r>
      <w:r>
        <w:t xml:space="preserve"> </w:t>
      </w:r>
      <w:r>
        <w:t xml:space="preserve">age of acquisition, each of which slots into the existing module structure.</w:t>
      </w:r>
    </w:p>
    <w:bookmarkEnd w:id="25"/>
    <w:bookmarkStart w:id="27"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26"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lexical dimension,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 table in</w:t>
      </w:r>
      <w:r>
        <w:t xml:space="preserve"> </w:t>
      </w:r>
      <w:r>
        <w:rPr>
          <w:rStyle w:val="VerbatimChar"/>
        </w:rPr>
        <w:t xml:space="preserve">config/schema.yaml</w:t>
      </w:r>
      <w:r>
        <w:t xml:space="preserve">) in both packages. To add a</w:t>
      </w:r>
      <w:r>
        <w:t xml:space="preserve"> </w:t>
      </w:r>
      <w:r>
        <w:t xml:space="preserve">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To add a</w:t>
      </w:r>
      <w:r>
        <w:t xml:space="preserve"> </w:t>
      </w:r>
      <w:r>
        <w:t xml:space="preserve">corpus or a language, add an entry to</w:t>
      </w:r>
      <w:r>
        <w:t xml:space="preserve"> </w:t>
      </w:r>
      <w:r>
        <w:rPr>
          <w:rStyle w:val="VerbatimChar"/>
        </w:rPr>
        <w:t xml:space="preserve">corpora/registry.yaml</w:t>
      </w:r>
      <w:r>
        <w:t xml:space="preserve">; no code change is</w:t>
      </w:r>
      <w:r>
        <w:t xml:space="preserve"> </w:t>
      </w:r>
      <w:r>
        <w:t xml:space="preserve">required for SUBTLEX-family or</w:t>
      </w:r>
      <w:r>
        <w:t xml:space="preserve"> </w:t>
      </w:r>
      <w:r>
        <w:t xml:space="preserve">‘wordfreq’</w:t>
      </w:r>
      <w:r>
        <w:t xml:space="preserve"> </w:t>
      </w:r>
      <w:r>
        <w:t xml:space="preserve">sources.</w:t>
      </w:r>
    </w:p>
    <w:bookmarkEnd w:id="26"/>
    <w:bookmarkEnd w:id="27"/>
    <w:bookmarkStart w:id="55" w:name="references"/>
    <w:p>
      <w:pPr>
        <w:pStyle w:val="Heading1"/>
      </w:pPr>
      <w:r>
        <w:t xml:space="preserve">References</w:t>
      </w:r>
    </w:p>
    <w:bookmarkStart w:id="54" w:name="refs"/>
    <w:bookmarkStart w:id="29" w:name="ref-brysbaert2009subtlexus"/>
    <w:p>
      <w:pPr>
        <w:pStyle w:val="Bibliography"/>
      </w:pPr>
      <w:r>
        <w:t xml:space="preserve">Brysbaert, Marc, and Boris New. 2009.</w:t>
      </w:r>
      <w:r>
        <w:t xml:space="preserve"> </w:t>
      </w:r>
      <w:r>
        <w:t xml:space="preserve">“Moving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 </w:t>
      </w:r>
      <w:r>
        <w:t xml:space="preserve">41 (4): 977–90.</w:t>
      </w:r>
      <w:r>
        <w:t xml:space="preserve"> </w:t>
      </w:r>
      <w:hyperlink r:id="rId28">
        <w:r>
          <w:rPr>
            <w:rStyle w:val="Hyperlink"/>
          </w:rPr>
          <w:t xml:space="preserve">https://doi.org/10.3758/BRM.41.4.977</w:t>
        </w:r>
      </w:hyperlink>
      <w:r>
        <w:t xml:space="preserve">.</w:t>
      </w:r>
    </w:p>
    <w:bookmarkEnd w:id="29"/>
    <w:bookmarkStart w:id="30" w:name="ref-coltheart1977access"/>
    <w:p>
      <w:pPr>
        <w:pStyle w:val="Bibliography"/>
      </w:pPr>
      <w:r>
        <w:t xml:space="preserve">Coltheart, Max, Eileen Davelaar, Jon Torfi Jonasson, and Derek Besner. 1977.</w:t>
      </w:r>
      <w:r>
        <w:t xml:space="preserve"> </w:t>
      </w:r>
      <w:r>
        <w:t xml:space="preserve">“Access to the Internal Lexicon.”</w:t>
      </w:r>
      <w:r>
        <w:t xml:space="preserve"> </w:t>
      </w:r>
      <w:r>
        <w:t xml:space="preserve">In</w:t>
      </w:r>
      <w:r>
        <w:t xml:space="preserve"> </w:t>
      </w:r>
      <w:r>
        <w:rPr>
          <w:i/>
          <w:iCs/>
        </w:rPr>
        <w:t xml:space="preserve">Attention and Performance</w:t>
      </w:r>
      <w:r>
        <w:rPr>
          <w:i/>
          <w:iCs/>
        </w:rPr>
        <w:t xml:space="preserve"> </w:t>
      </w:r>
      <w:r>
        <w:rPr>
          <w:i/>
          <w:iCs/>
        </w:rPr>
        <w:t xml:space="preserve">VI</w:t>
      </w:r>
      <w:r>
        <w:t xml:space="preserve">, edited by Stanislav Dornic. Erlbaum.</w:t>
      </w:r>
    </w:p>
    <w:bookmarkEnd w:id="30"/>
    <w:bookmarkStart w:id="31" w:name="ref-cuetos2011subtlexesp"/>
    <w:p>
      <w:pPr>
        <w:pStyle w:val="Bibliography"/>
      </w:pPr>
      <w:r>
        <w:t xml:space="preserve">Cuetos, Fernando, María González-Nosti, Analía Barbón, and Marc Brysbaert. 2011.</w:t>
      </w:r>
      <w:r>
        <w:t xml:space="preserve"> </w:t>
      </w:r>
      <w:r>
        <w:t xml:space="preserve">“</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 </w:t>
      </w:r>
      <w:r>
        <w:t xml:space="preserve">32 (2): 133–43.</w:t>
      </w:r>
    </w:p>
    <w:bookmarkEnd w:id="31"/>
    <w:bookmarkStart w:id="33" w:name="ref-gonzalezalonso2025l3"/>
    <w:p>
      <w:pPr>
        <w:pStyle w:val="Bibliography"/>
      </w:pPr>
      <w:r>
        <w:t xml:space="preserve">González Alonso, Jorge, Pablo Bernabeu, Gabriella Silva, et al. 2025.</w:t>
      </w:r>
      <w:r>
        <w:t xml:space="preserve"> </w:t>
      </w:r>
      <w:r>
        <w:t xml:space="preserve">“Starting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 </w:t>
      </w:r>
      <w:r>
        <w:t xml:space="preserve">22 (1): 119–42.</w:t>
      </w:r>
      <w:r>
        <w:t xml:space="preserve"> </w:t>
      </w:r>
      <w:hyperlink r:id="rId32">
        <w:r>
          <w:rPr>
            <w:rStyle w:val="Hyperlink"/>
          </w:rPr>
          <w:t xml:space="preserve">https://doi.org/10.1080/14790718.2024.2415993</w:t>
        </w:r>
      </w:hyperlink>
      <w:r>
        <w:t xml:space="preserve">.</w:t>
      </w:r>
    </w:p>
    <w:bookmarkEnd w:id="33"/>
    <w:bookmarkStart w:id="35" w:name="ref-vanheuven2014subtlexuk"/>
    <w:p>
      <w:pPr>
        <w:pStyle w:val="Bibliography"/>
      </w:pPr>
      <w:r>
        <w:t xml:space="preserve">Heuven, Walter J. B. van, Pawel Mandera, Emmanuel Keuleers, and Marc Brysbaert. 2014.</w:t>
      </w:r>
      <w:r>
        <w:t xml:space="preserve"> </w:t>
      </w:r>
      <w:r>
        <w:t xml:space="preserve">“</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 </w:t>
      </w:r>
      <w:r>
        <w:t xml:space="preserve">67 (6): 1176–90.</w:t>
      </w:r>
      <w:r>
        <w:t xml:space="preserve"> </w:t>
      </w:r>
      <w:hyperlink r:id="rId34">
        <w:r>
          <w:rPr>
            <w:rStyle w:val="Hyperlink"/>
          </w:rPr>
          <w:t xml:space="preserve">https://doi.org/10.1080/17470218.2013.850521</w:t>
        </w:r>
      </w:hyperlink>
      <w:r>
        <w:t xml:space="preserve">.</w:t>
      </w:r>
    </w:p>
    <w:bookmarkEnd w:id="35"/>
    <w:bookmarkStart w:id="37" w:name="ref-itkonen2024lastu"/>
    <w:p>
      <w:pPr>
        <w:pStyle w:val="Bibliography"/>
      </w:pPr>
      <w:r>
        <w:t xml:space="preserve">Itkonen, Sami, Tuomo Häikiö, Seppo Vainio, and Minna Lehtonen. 2024.</w:t>
      </w:r>
      <w:r>
        <w:t xml:space="preserve"> </w:t>
      </w:r>
      <w:r>
        <w:t xml:space="preserve">“</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 </w:t>
      </w:r>
      <w:r>
        <w:t xml:space="preserve">56 (6): 6165–78.</w:t>
      </w:r>
      <w:r>
        <w:t xml:space="preserve"> </w:t>
      </w:r>
      <w:hyperlink r:id="rId36">
        <w:r>
          <w:rPr>
            <w:rStyle w:val="Hyperlink"/>
          </w:rPr>
          <w:t xml:space="preserve">https://doi.org/10.3758/s13428-024-02347-x</w:t>
        </w:r>
      </w:hyperlink>
      <w:r>
        <w:t xml:space="preserve">.</w:t>
      </w:r>
    </w:p>
    <w:bookmarkEnd w:id="37"/>
    <w:bookmarkStart w:id="39" w:name="ref-lakens2017equivalence"/>
    <w:p>
      <w:pPr>
        <w:pStyle w:val="Bibliography"/>
      </w:pPr>
      <w:r>
        <w:t xml:space="preserve">Lakens, Daniël. 2017.</w:t>
      </w:r>
      <w:r>
        <w:t xml:space="preserve"> </w:t>
      </w:r>
      <w:r>
        <w:t xml:space="preserve">“Equivalence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 </w:t>
      </w:r>
      <w:r>
        <w:t xml:space="preserve">8 (4): 355–62.</w:t>
      </w:r>
      <w:r>
        <w:t xml:space="preserve"> </w:t>
      </w:r>
      <w:hyperlink r:id="rId38">
        <w:r>
          <w:rPr>
            <w:rStyle w:val="Hyperlink"/>
          </w:rPr>
          <w:t xml:space="preserve">https://doi.org/10.1177/1948550617697177</w:t>
        </w:r>
      </w:hyperlink>
      <w:r>
        <w:t xml:space="preserve">.</w:t>
      </w:r>
    </w:p>
    <w:bookmarkEnd w:id="39"/>
    <w:bookmarkStart w:id="41" w:name="ref-lintz2021libra"/>
    <w:p>
      <w:pPr>
        <w:pStyle w:val="Bibliography"/>
      </w:pPr>
      <w:r>
        <w:t xml:space="preserve">Lintz, Evan N., Phui Cheng Lim, and Matthew R. Johnson. 2021.</w:t>
      </w:r>
      <w:r>
        <w:t xml:space="preserve"> </w:t>
      </w:r>
      <w:r>
        <w:t xml:space="preserve">“A New Tool for Equating Lexical Stimuli Across Experimental Conditions.”</w:t>
      </w:r>
      <w:r>
        <w:t xml:space="preserve"> </w:t>
      </w:r>
      <w:r>
        <w:rPr>
          <w:i/>
          <w:iCs/>
        </w:rPr>
        <w:t xml:space="preserve">MethodsX</w:t>
      </w:r>
      <w:r>
        <w:t xml:space="preserve"> </w:t>
      </w:r>
      <w:r>
        <w:t xml:space="preserve">8: 101545.</w:t>
      </w:r>
      <w:r>
        <w:t xml:space="preserve"> </w:t>
      </w:r>
      <w:hyperlink r:id="rId40">
        <w:r>
          <w:rPr>
            <w:rStyle w:val="Hyperlink"/>
          </w:rPr>
          <w:t xml:space="preserve">https://doi.org/10.1016/j.mex.2021.101545</w:t>
        </w:r>
      </w:hyperlink>
      <w:r>
        <w:t xml:space="preserve">.</w:t>
      </w:r>
    </w:p>
    <w:bookmarkEnd w:id="41"/>
    <w:bookmarkStart w:id="43" w:name="ref-mathot2012opensesame"/>
    <w:p>
      <w:pPr>
        <w:pStyle w:val="Bibliography"/>
      </w:pPr>
      <w:r>
        <w:t xml:space="preserve">Mathôt, Sebastiaan, Daniel Schreij, and Jan Theeuwes. 2012.</w:t>
      </w:r>
      <w:r>
        <w:t xml:space="preserve"> </w:t>
      </w:r>
      <w:r>
        <w:t xml:space="preserve">“</w:t>
      </w:r>
      <w:r>
        <w:t xml:space="preserve">OpenSesame</w:t>
      </w:r>
      <w:r>
        <w:t xml:space="preserve">: An Open-Source, Graphical Experiment Builder for the Social Sciences.”</w:t>
      </w:r>
      <w:r>
        <w:t xml:space="preserve"> </w:t>
      </w:r>
      <w:r>
        <w:rPr>
          <w:i/>
          <w:iCs/>
        </w:rPr>
        <w:t xml:space="preserve">Behavior Research Methods</w:t>
      </w:r>
      <w:r>
        <w:t xml:space="preserve"> </w:t>
      </w:r>
      <w:r>
        <w:t xml:space="preserve">44 (2): 314–24.</w:t>
      </w:r>
      <w:r>
        <w:t xml:space="preserve"> </w:t>
      </w:r>
      <w:hyperlink r:id="rId42">
        <w:r>
          <w:rPr>
            <w:rStyle w:val="Hyperlink"/>
          </w:rPr>
          <w:t xml:space="preserve">https://doi.org/10.3758/s13428-011-0168-7</w:t>
        </w:r>
      </w:hyperlink>
      <w:r>
        <w:t xml:space="preserve">.</w:t>
      </w:r>
    </w:p>
    <w:bookmarkEnd w:id="43"/>
    <w:bookmarkStart w:id="45" w:name="ref-peirce2019psychopy2"/>
    <w:p>
      <w:pPr>
        <w:pStyle w:val="Bibliography"/>
      </w:pPr>
      <w:r>
        <w:t xml:space="preserve">Peirce, Jonathan, Jeremy R. Gray, Sol Simpson, et al. 2019.</w:t>
      </w:r>
      <w:r>
        <w:t xml:space="preserve"> </w:t>
      </w:r>
      <w:r>
        <w:t xml:space="preserve">“</w:t>
      </w:r>
      <w:r>
        <w:t xml:space="preserve">PsychoPy2</w:t>
      </w:r>
      <w:r>
        <w:t xml:space="preserve">: Experiments in Behavior Made Easy.”</w:t>
      </w:r>
      <w:r>
        <w:t xml:space="preserve"> </w:t>
      </w:r>
      <w:r>
        <w:rPr>
          <w:i/>
          <w:iCs/>
        </w:rPr>
        <w:t xml:space="preserve">Behavior Research Methods</w:t>
      </w:r>
      <w:r>
        <w:t xml:space="preserve"> </w:t>
      </w:r>
      <w:r>
        <w:t xml:space="preserve">51 (1): 195–203.</w:t>
      </w:r>
      <w:r>
        <w:t xml:space="preserve"> </w:t>
      </w:r>
      <w:hyperlink r:id="rId44">
        <w:r>
          <w:rPr>
            <w:rStyle w:val="Hyperlink"/>
          </w:rPr>
          <w:t xml:space="preserve">https://doi.org/10.3758/s13428-018-01193-y</w:t>
        </w:r>
      </w:hyperlink>
      <w:r>
        <w:t xml:space="preserve">.</w:t>
      </w:r>
    </w:p>
    <w:bookmarkEnd w:id="45"/>
    <w:bookmarkStart w:id="47" w:name="ref-speer2022wordfreq"/>
    <w:p>
      <w:pPr>
        <w:pStyle w:val="Bibliography"/>
      </w:pPr>
      <w:r>
        <w:t xml:space="preserve">Speer, Robyn. 2022.</w:t>
      </w:r>
      <w:r>
        <w:t xml:space="preserve"> </w:t>
      </w:r>
      <w:r>
        <w:rPr>
          <w:i/>
          <w:iCs/>
        </w:rPr>
        <w:t xml:space="preserve">rspeer/wordfreq</w:t>
      </w:r>
      <w:r>
        <w:rPr>
          <w:i/>
          <w:iCs/>
        </w:rPr>
        <w:t xml:space="preserve">: V3.0</w:t>
      </w:r>
      <w:r>
        <w:t xml:space="preserve">. Zenodo.</w:t>
      </w:r>
      <w:r>
        <w:t xml:space="preserve"> </w:t>
      </w:r>
      <w:hyperlink r:id="rId46">
        <w:r>
          <w:rPr>
            <w:rStyle w:val="Hyperlink"/>
          </w:rPr>
          <w:t xml:space="preserve">https://doi.org/10.5281/zenodo.7199437</w:t>
        </w:r>
      </w:hyperlink>
      <w:r>
        <w:t xml:space="preserve">.</w:t>
      </w:r>
    </w:p>
    <w:bookmarkEnd w:id="47"/>
    <w:bookmarkStart w:id="49" w:name="ref-taylor2020lexops"/>
    <w:p>
      <w:pPr>
        <w:pStyle w:val="Bibliography"/>
      </w:pPr>
      <w:r>
        <w:t xml:space="preserve">Taylor, Jack E., Alistair Beith, and Sara C. Sereno. 2020.</w:t>
      </w:r>
      <w:r>
        <w:t xml:space="preserve"> </w:t>
      </w:r>
      <w:r>
        <w:t xml:space="preserve">“</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 </w:t>
      </w:r>
      <w:r>
        <w:t xml:space="preserve">52 (6): 2372–82.</w:t>
      </w:r>
      <w:r>
        <w:t xml:space="preserve"> </w:t>
      </w:r>
      <w:hyperlink r:id="rId48">
        <w:r>
          <w:rPr>
            <w:rStyle w:val="Hyperlink"/>
          </w:rPr>
          <w:t xml:space="preserve">https://doi.org/10.3758/s13428-020-01389-1</w:t>
        </w:r>
      </w:hyperlink>
      <w:r>
        <w:t xml:space="preserve">.</w:t>
      </w:r>
    </w:p>
    <w:bookmarkEnd w:id="49"/>
    <w:bookmarkStart w:id="51" w:name="ref-wilkinson2016fair"/>
    <w:p>
      <w:pPr>
        <w:pStyle w:val="Bibliography"/>
      </w:pPr>
      <w:r>
        <w:t xml:space="preserve">Wilkinson, Mark D., Michel Dumontier, IJsbrand Jan Aalbersberg, et al.</w:t>
      </w:r>
      <w:r>
        <w:t xml:space="preserve"> 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0">
        <w:r>
          <w:rPr>
            <w:rStyle w:val="Hyperlink"/>
          </w:rPr>
          <w:t xml:space="preserve">https://doi.org/10.1038/sdata.2016.18</w:t>
        </w:r>
      </w:hyperlink>
      <w:r>
        <w:t xml:space="preserve">.</w:t>
      </w:r>
    </w:p>
    <w:bookmarkEnd w:id="51"/>
    <w:bookmarkStart w:id="53" w:name="ref-yarkoni2008old20"/>
    <w:p>
      <w:pPr>
        <w:pStyle w:val="Bibliography"/>
      </w:pPr>
      <w:r>
        <w:t xml:space="preserve">Yarkoni, Tal, David Balota, and Melvin Yap. 2008.</w:t>
      </w:r>
      <w:r>
        <w:t xml:space="preserve"> </w:t>
      </w:r>
      <w:r>
        <w:t xml:space="preserve">“Moving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 </w:t>
      </w:r>
      <w:r>
        <w:t xml:space="preserve">15 (5): 971–79.</w:t>
      </w:r>
      <w:r>
        <w:t xml:space="preserve"> </w:t>
      </w:r>
      <w:hyperlink r:id="rId52">
        <w:r>
          <w:rPr>
            <w:rStyle w:val="Hyperlink"/>
          </w:rPr>
          <w:t xml:space="preserve">https://doi.org/10.3758/pbr.15.5.971</w:t>
        </w:r>
      </w:hyperlink>
      <w:r>
        <w:t xml:space="preserve">.</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0" Target="https://doi.org/10.1016/j.mex.2021.101545" TargetMode="External" /><Relationship Type="http://schemas.openxmlformats.org/officeDocument/2006/relationships/hyperlink" Id="rId50" Target="https://doi.org/10.1038/sdata.2016.18" TargetMode="External" /><Relationship Type="http://schemas.openxmlformats.org/officeDocument/2006/relationships/hyperlink" Id="rId32" Target="https://doi.org/10.1080/14790718.2024.2415993" TargetMode="External" /><Relationship Type="http://schemas.openxmlformats.org/officeDocument/2006/relationships/hyperlink" Id="rId34" Target="https://doi.org/10.1080/17470218.2013.850521" TargetMode="External" /><Relationship Type="http://schemas.openxmlformats.org/officeDocument/2006/relationships/hyperlink" Id="rId38" Target="https://doi.org/10.1177/1948550617697177" TargetMode="External" /><Relationship Type="http://schemas.openxmlformats.org/officeDocument/2006/relationships/hyperlink" Id="rId28" Target="https://doi.org/10.3758/BRM.41.4.977" TargetMode="External" /><Relationship Type="http://schemas.openxmlformats.org/officeDocument/2006/relationships/hyperlink" Id="rId52" Target="https://doi.org/10.3758/pbr.15.5.971" TargetMode="External" /><Relationship Type="http://schemas.openxmlformats.org/officeDocument/2006/relationships/hyperlink" Id="rId42" Target="https://doi.org/10.3758/s13428-011-0168-7" TargetMode="External" /><Relationship Type="http://schemas.openxmlformats.org/officeDocument/2006/relationships/hyperlink" Id="rId44" Target="https://doi.org/10.3758/s13428-018-01193-y" TargetMode="External" /><Relationship Type="http://schemas.openxmlformats.org/officeDocument/2006/relationships/hyperlink" Id="rId48" Target="https://doi.org/10.3758/s13428-020-01389-1" TargetMode="External" /><Relationship Type="http://schemas.openxmlformats.org/officeDocument/2006/relationships/hyperlink" Id="rId36" Target="https://doi.org/10.3758/s13428-024-02347-x" TargetMode="External" /><Relationship Type="http://schemas.openxmlformats.org/officeDocument/2006/relationships/hyperlink" Id="rId46" Target="https://doi.org/10.5281/zenodo.719943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16/j.mex.2021.101545" TargetMode="External" /><Relationship Type="http://schemas.openxmlformats.org/officeDocument/2006/relationships/hyperlink" Id="rId50" Target="https://doi.org/10.1038/sdata.2016.18" TargetMode="External" /><Relationship Type="http://schemas.openxmlformats.org/officeDocument/2006/relationships/hyperlink" Id="rId32" Target="https://doi.org/10.1080/14790718.2024.2415993" TargetMode="External" /><Relationship Type="http://schemas.openxmlformats.org/officeDocument/2006/relationships/hyperlink" Id="rId34" Target="https://doi.org/10.1080/17470218.2013.850521" TargetMode="External" /><Relationship Type="http://schemas.openxmlformats.org/officeDocument/2006/relationships/hyperlink" Id="rId38" Target="https://doi.org/10.1177/1948550617697177" TargetMode="External" /><Relationship Type="http://schemas.openxmlformats.org/officeDocument/2006/relationships/hyperlink" Id="rId28" Target="https://doi.org/10.3758/BRM.41.4.977" TargetMode="External" /><Relationship Type="http://schemas.openxmlformats.org/officeDocument/2006/relationships/hyperlink" Id="rId52" Target="https://doi.org/10.3758/pbr.15.5.971" TargetMode="External" /><Relationship Type="http://schemas.openxmlformats.org/officeDocument/2006/relationships/hyperlink" Id="rId42" Target="https://doi.org/10.3758/s13428-011-0168-7" TargetMode="External" /><Relationship Type="http://schemas.openxmlformats.org/officeDocument/2006/relationships/hyperlink" Id="rId44" Target="https://doi.org/10.3758/s13428-018-01193-y" TargetMode="External" /><Relationship Type="http://schemas.openxmlformats.org/officeDocument/2006/relationships/hyperlink" Id="rId48" Target="https://doi.org/10.3758/s13428-020-01389-1" TargetMode="External" /><Relationship Type="http://schemas.openxmlformats.org/officeDocument/2006/relationships/hyperlink" Id="rId36" Target="https://doi.org/10.3758/s13428-024-02347-x" TargetMode="External" /><Relationship Type="http://schemas.openxmlformats.org/officeDocument/2006/relationships/hyperlink" Id="rId46" Target="https://doi.org/10.5281/zenodo.7199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2026-06-07T12:44:21Z</dcterms:created>
  <dcterms:modified xsi:type="dcterms:W3CDTF">2026-06-07T12:44:21Z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with hardware triggers injected at stimulus onset for electroencephalography. The matching is deterministic, so the two engines return identical stimuli; we demonstrate this on four worked examples in English and Spanish.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date">
    <vt:lpwstr>2026-06-07</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