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lexsync: a cross-platform pipeline for multidimensional lexical optimisation and hardware-timed experiment generation</w:t>
      </w:r>
    </w:p>
    <w:p>
      <w:pPr>
        <w:pStyle w:val="Author"/>
      </w:pPr>
      <w:r>
        <w:t xml:space="preserve">Pablo Bernabeu</w:t>
      </w:r>
    </w:p>
    <w:p>
      <w:pPr>
        <w:pStyle w:val="Date"/>
      </w:pPr>
      <w:r>
        <w:t xml:space="preserve">2026-06-07</w:t>
      </w:r>
    </w:p>
    <w:p>
      <w:pPr>
        <w:pStyle w:val="AbstractTitle"/>
      </w:pPr>
      <w:r>
        <w:t xml:space="preserve">Abstract</w:t>
      </w:r>
    </w:p>
    <w:p>
      <w:pPr>
        <w:pStyle w:val="Abstract"/>
      </w:pPr>
      <w:r>
        <w:t xml:space="preserve">Psycholinguistic stimulus preparation is fragmented across tools that match</w:t>
      </w:r>
      <w:r>
        <w:t xml:space="preserve"> </w:t>
      </w:r>
      <w:r>
        <w:t xml:space="preserve">words, tools that present them and the separate R and Python ecosystems in</w:t>
      </w:r>
      <w:r>
        <w:t xml:space="preserve"> </w:t>
      </w:r>
      <w:r>
        <w:t xml:space="preserve">which those tools live. We present</w:t>
      </w:r>
      <w:r>
        <w:t xml:space="preserve"> </w:t>
      </w:r>
      <w:r>
        <w:t xml:space="preserve">‘lexsync’</w:t>
      </w:r>
      <w:r>
        <w:t xml:space="preserve">, a research-grade toolkit,</w:t>
      </w:r>
      <w:r>
        <w:t xml:space="preserve"> </w:t>
      </w:r>
      <w:r>
        <w:t xml:space="preserve">released as a</w:t>
      </w:r>
      <w:r>
        <w:t xml:space="preserve"> </w:t>
      </w:r>
      <w:r>
        <w:t xml:space="preserve">‘CRAN’</w:t>
      </w:r>
      <w:r>
        <w:t xml:space="preserve">-ready R package and a structurally identical</w:t>
      </w:r>
      <w:r>
        <w:t xml:space="preserve"> </w:t>
      </w:r>
      <w:r>
        <w:t xml:space="preserve">‘PyPI’</w:t>
      </w:r>
      <w:r>
        <w:t xml:space="preserve">-ready Python package, that unifies the whole path from corpus to</w:t>
      </w:r>
      <w:r>
        <w:t xml:space="preserve"> </w:t>
      </w:r>
      <w:r>
        <w:t xml:space="preserve">laboratory. From a word-frequency corpus in any of dozens of languages</w:t>
      </w:r>
      <w:r>
        <w:t xml:space="preserve"> </w:t>
      </w:r>
      <w:r>
        <w:t xml:space="preserve">‘lexsync’</w:t>
      </w:r>
      <w:r>
        <w:t xml:space="preserve"> </w:t>
      </w:r>
      <w:r>
        <w:t xml:space="preserve">selects stimuli that are matched in parallel across several lexical</w:t>
      </w:r>
      <w:r>
        <w:t xml:space="preserve"> </w:t>
      </w:r>
      <w:r>
        <w:t xml:space="preserve">dimensions (length, frequency, orthographic neighbourhood density and OLD20),</w:t>
      </w:r>
      <w:r>
        <w:t xml:space="preserve"> </w:t>
      </w:r>
      <w:r>
        <w:t xml:space="preserve">counterbalances them, reports the realised match quality and then generates</w:t>
      </w:r>
      <w:r>
        <w:t xml:space="preserve"> </w:t>
      </w:r>
      <w:r>
        <w:t xml:space="preserve">ready-to-run</w:t>
      </w:r>
      <w:r>
        <w:t xml:space="preserve"> </w:t>
      </w:r>
      <w:r>
        <w:t xml:space="preserve">‘PsychoPy’</w:t>
      </w:r>
      <w:r>
        <w:t xml:space="preserve"> </w:t>
      </w:r>
      <w:r>
        <w:t xml:space="preserve">and</w:t>
      </w:r>
      <w:r>
        <w:t xml:space="preserve"> </w:t>
      </w:r>
      <w:r>
        <w:t xml:space="preserve">‘OpenSesame’</w:t>
      </w:r>
      <w:r>
        <w:t xml:space="preserve"> </w:t>
      </w:r>
      <w:r>
        <w:t xml:space="preserve">experiment scripts with hardware</w:t>
      </w:r>
      <w:r>
        <w:t xml:space="preserve"> </w:t>
      </w:r>
      <w:r>
        <w:t xml:space="preserve">triggers injected at stimulus onset for electroencephalography. The matching</w:t>
      </w:r>
      <w:r>
        <w:t xml:space="preserve"> </w:t>
      </w:r>
      <w:r>
        <w:t xml:space="preserve">is deterministic, so the two engines return identical stimuli; we demonstrate</w:t>
      </w:r>
      <w:r>
        <w:t xml:space="preserve"> </w:t>
      </w:r>
      <w:r>
        <w:t xml:space="preserve">this on four worked examples in English and Spanish. The generation step</w:t>
      </w:r>
      <w:r>
        <w:t xml:space="preserve"> </w:t>
      </w:r>
      <w:r>
        <w:t xml:space="preserve">requires no presentation software and no hardware, which keeps the whole</w:t>
      </w:r>
      <w:r>
        <w:t xml:space="preserve"> </w:t>
      </w:r>
      <w:r>
        <w:t xml:space="preserve">workflow reproducible.</w:t>
      </w:r>
      <w:r>
        <w:t xml:space="preserve"> </w:t>
      </w:r>
      <w:r>
        <w:t xml:space="preserve">‘lexsync’</w:t>
      </w:r>
      <w:r>
        <w:t xml:space="preserve"> </w:t>
      </w:r>
      <w:r>
        <w:t xml:space="preserve">generalises the FAIR artificial-grammar</w:t>
      </w:r>
      <w:r>
        <w:t xml:space="preserve"> </w:t>
      </w:r>
      <w:r>
        <w:t xml:space="preserve">workflow of an existing longitudinal study and is distributed under open</w:t>
      </w:r>
      <w:r>
        <w:t xml:space="preserve"> </w:t>
      </w:r>
      <w:r>
        <w:t xml:space="preserve">licences with a machine-readable corpus registry.</w:t>
      </w:r>
    </w:p>
    <w:bookmarkStart w:id="9" w:name="introduction"/>
    <w:p>
      <w:pPr>
        <w:pStyle w:val="Heading1"/>
      </w:pPr>
      <w:r>
        <w:t xml:space="preserve">Introduction</w:t>
      </w:r>
    </w:p>
    <w:p>
      <w:pPr>
        <w:pStyle w:val="FirstParagraph"/>
      </w:pPr>
      <w:r>
        <w:t xml:space="preserve">The credibility of psycholinguistic and neurolinguistic research rests on</w:t>
      </w:r>
      <w:r>
        <w:t xml:space="preserve"> </w:t>
      </w:r>
      <w:r>
        <w:t xml:space="preserve">carefully controlled stimuli and on precise timing. Both are laborious to</w:t>
      </w:r>
      <w:r>
        <w:t xml:space="preserve"> </w:t>
      </w:r>
      <w:r>
        <w:t xml:space="preserve">achieve, and the tools that support them are scattered. A researcher who wishes</w:t>
      </w:r>
      <w:r>
        <w:t xml:space="preserve"> </w:t>
      </w:r>
      <w:r>
        <w:t xml:space="preserve">to contrast, say, high- and low-frequency words while equating length and</w:t>
      </w:r>
      <w:r>
        <w:t xml:space="preserve"> </w:t>
      </w:r>
      <w:r>
        <w:t xml:space="preserve">orthographic neighbourhood typically matches the items in one program, lays out</w:t>
      </w:r>
      <w:r>
        <w:t xml:space="preserve"> </w:t>
      </w:r>
      <w:r>
        <w:t xml:space="preserve">the trial structure in another and writes the trigger code that aligns each word</w:t>
      </w:r>
      <w:r>
        <w:t xml:space="preserve"> </w:t>
      </w:r>
      <w:r>
        <w:t xml:space="preserve">with the electroencephalography (EEG) recording by hand. Each hand-off is an</w:t>
      </w:r>
      <w:r>
        <w:t xml:space="preserve"> </w:t>
      </w:r>
      <w:r>
        <w:t xml:space="preserve">opportunity for error and a barrier to reuse. The</w:t>
      </w:r>
      <w:r>
        <w:t xml:space="preserve"> </w:t>
      </w:r>
      <w:r>
        <w:t xml:space="preserve">‘FAIR’</w:t>
      </w:r>
      <w:r>
        <w:t xml:space="preserve"> </w:t>
      </w:r>
      <w:r>
        <w:t xml:space="preserve">guiding principles</w:t>
      </w:r>
      <w:r>
        <w:t xml:space="preserve"> </w:t>
      </w:r>
      <w:r>
        <w:t xml:space="preserve">(</w:t>
      </w:r>
      <w:r>
        <w:t xml:space="preserve">Wilkinson et al.</w:t>
      </w:r>
      <w:r>
        <w:t xml:space="preserve"> </w:t>
      </w:r>
      <w:r>
        <w:t xml:space="preserve">2016)</w:t>
      </w:r>
      <w:r>
        <w:t xml:space="preserve"> </w:t>
      </w:r>
      <w:r>
        <w:t xml:space="preserve">— that research objects be findable, accessible,</w:t>
      </w:r>
      <w:r>
        <w:t xml:space="preserve"> </w:t>
      </w:r>
      <w:r>
        <w:t xml:space="preserve">interoperable and reusable — apply as much to this preparatory machinery as to</w:t>
      </w:r>
      <w:r>
        <w:t xml:space="preserve"> </w:t>
      </w:r>
      <w:r>
        <w:t xml:space="preserve">the data it ultimately yields, yet stimulus pipelines are seldom shared in a</w:t>
      </w:r>
      <w:r>
        <w:t xml:space="preserve"> </w:t>
      </w:r>
      <w:r>
        <w:t xml:space="preserve">form that others can run end to end.</w:t>
      </w:r>
    </w:p>
    <w:p>
      <w:pPr>
        <w:pStyle w:val="BodyText"/>
      </w:pPr>
      <w:r>
        <w:t xml:space="preserve">Two families of tool address parts of the problem. The first matches or equates</w:t>
      </w:r>
      <w:r>
        <w:t xml:space="preserve"> </w:t>
      </w:r>
      <w:r>
        <w:t xml:space="preserve">word stimuli on lexical properties.</w:t>
      </w:r>
      <w:r>
        <w:t xml:space="preserve"> </w:t>
      </w:r>
      <w:r>
        <w:t xml:space="preserve">‘LexOPS’</w:t>
      </w:r>
      <w:r>
        <w:t xml:space="preserve"> </w:t>
      </w:r>
      <w:r>
        <w:t xml:space="preserve">(Taylor et al. 2020)</w:t>
      </w:r>
      <w:r>
        <w:t xml:space="preserve"> </w:t>
      </w:r>
      <w:r>
        <w:t xml:space="preserve">generates</w:t>
      </w:r>
      <w:r>
        <w:t xml:space="preserve"> </w:t>
      </w:r>
      <w:r>
        <w:t xml:space="preserve">controlled word lists for arbitrary factorial designs, with both per-dimension</w:t>
      </w:r>
      <w:r>
        <w:t xml:space="preserve"> </w:t>
      </w:r>
      <w:r>
        <w:t xml:space="preserve">tolerances and weighted multivariate Euclidean matching;</w:t>
      </w:r>
      <w:r>
        <w:t xml:space="preserve"> </w:t>
      </w:r>
      <w:r>
        <w:t xml:space="preserve">‘LIBRA’</w:t>
      </w:r>
      <w:r>
        <w:t xml:space="preserve"> </w:t>
      </w:r>
      <w:r>
        <w:t xml:space="preserve">(Lintz et al. 2021)</w:t>
      </w:r>
      <w:r>
        <w:t xml:space="preserve"> </w:t>
      </w:r>
      <w:r>
        <w:t xml:space="preserve">equates lists across conditions using a resampling algorithm;</w:t>
      </w:r>
      <w:r>
        <w:t xml:space="preserve"> </w:t>
      </w:r>
      <w:r>
        <w:t xml:space="preserve">and</w:t>
      </w:r>
      <w:r>
        <w:t xml:space="preserve"> </w:t>
      </w:r>
      <w:r>
        <w:t xml:space="preserve">‘LASTU’</w:t>
      </w:r>
      <w:r>
        <w:t xml:space="preserve"> </w:t>
      </w:r>
      <w:r>
        <w:t xml:space="preserve">(Itkonen et al. 2024)</w:t>
      </w:r>
      <w:r>
        <w:t xml:space="preserve"> </w:t>
      </w:r>
      <w:r>
        <w:t xml:space="preserve">provides searchable access to a language-specific</w:t>
      </w:r>
      <w:r>
        <w:t xml:space="preserve"> </w:t>
      </w:r>
      <w:r>
        <w:t xml:space="preserve">lexicon. These tools are mature and widely used, but they end at the stimulus</w:t>
      </w:r>
      <w:r>
        <w:t xml:space="preserve"> </w:t>
      </w:r>
      <w:r>
        <w:t xml:space="preserve">list: none generates the experiment that presents it, and most are tied to a</w:t>
      </w:r>
      <w:r>
        <w:t xml:space="preserve"> </w:t>
      </w:r>
      <w:r>
        <w:t xml:space="preserve">single language and to one programming ecosystem. The second family builds and</w:t>
      </w:r>
      <w:r>
        <w:t xml:space="preserve"> </w:t>
      </w:r>
      <w:r>
        <w:t xml:space="preserve">runs experiments.</w:t>
      </w:r>
      <w:r>
        <w:t xml:space="preserve"> </w:t>
      </w:r>
      <w:r>
        <w:t xml:space="preserve">‘PsychoPy’</w:t>
      </w:r>
      <w:r>
        <w:t xml:space="preserve"> </w:t>
      </w:r>
      <w:r>
        <w:t xml:space="preserve">(Peirce et al. 2019)</w:t>
      </w:r>
      <w:r>
        <w:t xml:space="preserve"> </w:t>
      </w:r>
      <w:r>
        <w:t xml:space="preserve">and</w:t>
      </w:r>
      <w:r>
        <w:t xml:space="preserve"> </w:t>
      </w:r>
      <w:r>
        <w:t xml:space="preserve">‘OpenSesame’</w:t>
      </w:r>
      <w:r>
        <w:t xml:space="preserve"> </w:t>
      </w:r>
      <w:r>
        <w:t xml:space="preserve">(Mathôt et al. 2012)</w:t>
      </w:r>
      <w:r>
        <w:t xml:space="preserve"> </w:t>
      </w:r>
      <w:r>
        <w:t xml:space="preserve">offer precise spatial and temporal control over stimulus</w:t>
      </w:r>
      <w:r>
        <w:t xml:space="preserve"> </w:t>
      </w:r>
      <w:r>
        <w:t xml:space="preserve">presentation and support the hardware triggers that ERP research requires, but</w:t>
      </w:r>
      <w:r>
        <w:t xml:space="preserve"> </w:t>
      </w:r>
      <w:r>
        <w:t xml:space="preserve">they take the stimulus set as given and do nothing to construct or to balance it.</w:t>
      </w:r>
    </w:p>
    <w:p>
      <w:pPr>
        <w:pStyle w:val="BodyText"/>
      </w:pPr>
      <w:r>
        <w:t xml:space="preserve">The gap, then, is not a missing capability but a missing integration. No single,</w:t>
      </w:r>
      <w:r>
        <w:t xml:space="preserve"> </w:t>
      </w:r>
      <w:r>
        <w:t xml:space="preserve">installable framework spans many-language corpus access, parallel</w:t>
      </w:r>
      <w:r>
        <w:t xml:space="preserve"> </w:t>
      </w:r>
      <w:r>
        <w:t xml:space="preserve">multidimensional matching, counterbalancing and the automated generation of</w:t>
      </w:r>
      <w:r>
        <w:t xml:space="preserve"> </w:t>
      </w:r>
      <w:r>
        <w:t xml:space="preserve">hardware-timed presentation scripts, and none does so across both the R and the</w:t>
      </w:r>
      <w:r>
        <w:t xml:space="preserve"> </w:t>
      </w:r>
      <w:r>
        <w:t xml:space="preserve">Python ecosystems and both major open presentation platforms. A second, subtler</w:t>
      </w:r>
      <w:r>
        <w:t xml:space="preserve"> </w:t>
      </w:r>
      <w:r>
        <w:t xml:space="preserve">gap concerns timing. In the artificial-grammar workflow that motivated this work</w:t>
      </w:r>
      <w:r>
        <w:t xml:space="preserve"> </w:t>
      </w:r>
      <w:r>
        <w:t xml:space="preserve">(González Alonso et al. 2025)</w:t>
      </w:r>
      <w:r>
        <w:t xml:space="preserve">, EEG markers were sent from an experiment item that</w:t>
      </w:r>
      <w:r>
        <w:t xml:space="preserve"> </w:t>
      </w:r>
      <w:r>
        <w:t xml:space="preserve">followed the word, so that only the first marker was even approximately aligned</w:t>
      </w:r>
      <w:r>
        <w:t xml:space="preserve"> </w:t>
      </w:r>
      <w:r>
        <w:t xml:space="preserve">with stimulus onset; the others were sequence-ordered. This is a common pattern</w:t>
      </w:r>
      <w:r>
        <w:t xml:space="preserve"> </w:t>
      </w:r>
      <w:r>
        <w:t xml:space="preserve">and an avoidable source of jitter.</w:t>
      </w:r>
    </w:p>
    <w:p>
      <w:pPr>
        <w:pStyle w:val="BodyText"/>
      </w:pPr>
      <w:r>
        <w:t xml:space="preserve">We present</w:t>
      </w:r>
      <w:r>
        <w:t xml:space="preserve"> </w:t>
      </w:r>
      <w:r>
        <w:t xml:space="preserve">‘lexsync’</w:t>
      </w:r>
      <w:r>
        <w:t xml:space="preserve">, a toolkit that fills these gaps. It is released as two</w:t>
      </w:r>
      <w:r>
        <w:t xml:space="preserve"> </w:t>
      </w:r>
      <w:r>
        <w:t xml:space="preserve">independent but structurally identical packages — a</w:t>
      </w:r>
      <w:r>
        <w:t xml:space="preserve"> </w:t>
      </w:r>
      <w:r>
        <w:t xml:space="preserve">‘CRAN’</w:t>
      </w:r>
      <w:r>
        <w:t xml:space="preserve">-ready R package and a</w:t>
      </w:r>
      <w:r>
        <w:t xml:space="preserve"> </w:t>
      </w:r>
      <w:r>
        <w:t xml:space="preserve">‘PyPI’</w:t>
      </w:r>
      <w:r>
        <w:t xml:space="preserve">-ready Python package — that share module names, function names and</w:t>
      </w:r>
      <w:r>
        <w:t xml:space="preserve"> </w:t>
      </w:r>
      <w:r>
        <w:t xml:space="preserve">behaviour. From a corpus</w:t>
      </w:r>
      <w:r>
        <w:t xml:space="preserve"> </w:t>
      </w:r>
      <w:r>
        <w:t xml:space="preserve">‘lexsync’</w:t>
      </w:r>
      <w:r>
        <w:t xml:space="preserve"> </w:t>
      </w:r>
      <w:r>
        <w:t xml:space="preserve">selects matched stimuli, counterbalances and</w:t>
      </w:r>
      <w:r>
        <w:t xml:space="preserve"> </w:t>
      </w:r>
      <w:r>
        <w:t xml:space="preserve">documents them, then writes a</w:t>
      </w:r>
      <w:r>
        <w:t xml:space="preserve"> </w:t>
      </w:r>
      <w:r>
        <w:t xml:space="preserve">‘PsychoPy’</w:t>
      </w:r>
      <w:r>
        <w:t xml:space="preserve"> </w:t>
      </w:r>
      <w:r>
        <w:t xml:space="preserve">script in which each onset trigger is</w:t>
      </w:r>
      <w:r>
        <w:t xml:space="preserve"> </w:t>
      </w:r>
      <w:r>
        <w:t xml:space="preserve">bound to the exact screen flip on which the word appears, using</w:t>
      </w:r>
      <w:r>
        <w:t xml:space="preserve"> </w:t>
      </w:r>
      <w:r>
        <w:rPr>
          <w:rStyle w:val="VerbatimChar"/>
        </w:rPr>
        <w:t xml:space="preserve">win.callOnFlip</w:t>
      </w:r>
      <w:r>
        <w:t xml:space="preserve">, together with a complete</w:t>
      </w:r>
      <w:r>
        <w:t xml:space="preserve"> </w:t>
      </w:r>
      <w:r>
        <w:t xml:space="preserve">‘OpenSesame’</w:t>
      </w:r>
      <w:r>
        <w:t xml:space="preserve"> </w:t>
      </w:r>
      <w:r>
        <w:t xml:space="preserve">experiment. Crucially the</w:t>
      </w:r>
      <w:r>
        <w:t xml:space="preserve"> </w:t>
      </w:r>
      <w:r>
        <w:t xml:space="preserve">matching is deterministic, so the R and Python engines return identical stimuli.</w:t>
      </w:r>
      <w:r>
        <w:t xml:space="preserve"> </w:t>
      </w:r>
      <w:r>
        <w:t xml:space="preserve">‘lexsync’</w:t>
      </w:r>
      <w:r>
        <w:t xml:space="preserve"> </w:t>
      </w:r>
      <w:r>
        <w:t xml:space="preserve">generalises the materials workflow of</w:t>
      </w:r>
      <w:r>
        <w:t xml:space="preserve"> </w:t>
      </w:r>
      <w:r>
        <w:t xml:space="preserve">González Alonso et al. (2025)</w:t>
      </w:r>
      <w:r>
        <w:t xml:space="preserve"> </w:t>
      </w:r>
      <w:r>
        <w:t xml:space="preserve">into a</w:t>
      </w:r>
      <w:r>
        <w:t xml:space="preserve"> </w:t>
      </w:r>
      <w:r>
        <w:t xml:space="preserve">reusable, FAIR-compliant tool.</w:t>
      </w:r>
    </w:p>
    <w:bookmarkEnd w:id="9"/>
    <w:bookmarkStart w:id="16" w:name="the-lexsync-packages"/>
    <w:p>
      <w:pPr>
        <w:pStyle w:val="Heading1"/>
      </w:pPr>
      <w:r>
        <w:t xml:space="preserve">The lexsync packages</w:t>
      </w:r>
    </w:p>
    <w:bookmarkStart w:id="10" w:name="architecture-and-cross-language-design"/>
    <w:p>
      <w:pPr>
        <w:pStyle w:val="Heading2"/>
      </w:pPr>
      <w:r>
        <w:t xml:space="preserve">Architecture and cross-language design</w:t>
      </w:r>
    </w:p>
    <w:p>
      <w:pPr>
        <w:pStyle w:val="FirstParagraph"/>
      </w:pPr>
      <w:r>
        <w:t xml:space="preserve">Each package is organised into the same modules:</w:t>
      </w:r>
      <w:r>
        <w:t xml:space="preserve"> </w:t>
      </w:r>
      <w:r>
        <w:rPr>
          <w:rStyle w:val="VerbatimChar"/>
        </w:rPr>
        <w:t xml:space="preserve">querying</w:t>
      </w:r>
      <w:r>
        <w:t xml:space="preserve"> </w:t>
      </w:r>
      <w:r>
        <w:t xml:space="preserve">(load a lexicon and</w:t>
      </w:r>
      <w:r>
        <w:t xml:space="preserve"> </w:t>
      </w:r>
      <w:r>
        <w:t xml:space="preserve">compute lexical dimensions),</w:t>
      </w:r>
      <w:r>
        <w:t xml:space="preserve"> </w:t>
      </w:r>
      <w:r>
        <w:rPr>
          <w:rStyle w:val="VerbatimChar"/>
        </w:rPr>
        <w:t xml:space="preserve">matching</w:t>
      </w:r>
      <w:r>
        <w:t xml:space="preserve"> </w:t>
      </w:r>
      <w:r>
        <w:t xml:space="preserve">(the constraint engine),</w:t>
      </w:r>
      <w:r>
        <w:t xml:space="preserve"> </w:t>
      </w:r>
      <w:r>
        <w:rPr>
          <w:rStyle w:val="VerbatimChar"/>
        </w:rPr>
        <w:t xml:space="preserve">counterbalancing</w:t>
      </w:r>
      <w:r>
        <w:t xml:space="preserve">,</w:t>
      </w:r>
      <w:r>
        <w:t xml:space="preserve"> </w:t>
      </w:r>
      <w:r>
        <w:rPr>
          <w:rStyle w:val="VerbatimChar"/>
        </w:rPr>
        <w:t xml:space="preserve">validation</w:t>
      </w:r>
      <w:r>
        <w:t xml:space="preserve"> </w:t>
      </w:r>
      <w:r>
        <w:t xml:space="preserve">(match-quality reporting),</w:t>
      </w:r>
      <w:r>
        <w:t xml:space="preserve"> </w:t>
      </w:r>
      <w:r>
        <w:rPr>
          <w:rStyle w:val="VerbatimChar"/>
        </w:rPr>
        <w:t xml:space="preserve">scripting</w:t>
      </w:r>
      <w:r>
        <w:t xml:space="preserve"> </w:t>
      </w:r>
      <w:r>
        <w:t xml:space="preserve">(experiment generation),</w:t>
      </w:r>
      <w:r>
        <w:t xml:space="preserve"> </w:t>
      </w:r>
      <w:r>
        <w:rPr>
          <w:rStyle w:val="VerbatimChar"/>
        </w:rPr>
        <w:t xml:space="preserve">logging</w:t>
      </w:r>
      <w:r>
        <w:t xml:space="preserve"> </w:t>
      </w:r>
      <w:r>
        <w:t xml:space="preserve">(the automated run log) and</w:t>
      </w:r>
      <w:r>
        <w:t xml:space="preserve"> </w:t>
      </w:r>
      <w:r>
        <w:rPr>
          <w:rStyle w:val="VerbatimChar"/>
        </w:rPr>
        <w:t xml:space="preserve">corpora</w:t>
      </w:r>
      <w:r>
        <w:t xml:space="preserve"> </w:t>
      </w:r>
      <w:r>
        <w:t xml:space="preserve">(the registry). A single</w:t>
      </w:r>
      <w:r>
        <w:t xml:space="preserve"> </w:t>
      </w:r>
      <w:r>
        <w:t xml:space="preserve">orchestrator,</w:t>
      </w:r>
      <w:r>
        <w:t xml:space="preserve"> </w:t>
      </w:r>
      <w:r>
        <w:rPr>
          <w:rStyle w:val="VerbatimChar"/>
        </w:rPr>
        <w:t xml:space="preserve">run_pipeline</w:t>
      </w:r>
      <w:r>
        <w:t xml:space="preserve">, drives them in an explicit loop over designs and</w:t>
      </w:r>
      <w:r>
        <w:t xml:space="preserve"> </w:t>
      </w:r>
      <w:r>
        <w:t xml:space="preserve">languages, so that adding a language or a design is a matter of supplying a</w:t>
      </w:r>
      <w:r>
        <w:t xml:space="preserve"> </w:t>
      </w:r>
      <w:r>
        <w:t xml:space="preserve">configuration file and a lexicon rather than writing code. The two packages are</w:t>
      </w:r>
      <w:r>
        <w:t xml:space="preserve"> </w:t>
      </w:r>
      <w:r>
        <w:t xml:space="preserve">deliberately lean: the R package depends only on</w:t>
      </w:r>
      <w:r>
        <w:t xml:space="preserve"> </w:t>
      </w:r>
      <w:r>
        <w:t xml:space="preserve">‘readr’</w:t>
      </w:r>
      <w:r>
        <w:t xml:space="preserve">,</w:t>
      </w:r>
      <w:r>
        <w:t xml:space="preserve"> </w:t>
      </w:r>
      <w:r>
        <w:t xml:space="preserve">‘yaml’</w:t>
      </w:r>
      <w:r>
        <w:t xml:space="preserve">,</w:t>
      </w:r>
      <w:r>
        <w:t xml:space="preserve"> </w:t>
      </w:r>
      <w:r>
        <w:t xml:space="preserve">‘stringdist’</w:t>
      </w:r>
      <w:r>
        <w:t xml:space="preserve"> </w:t>
      </w:r>
      <w:r>
        <w:t xml:space="preserve">and</w:t>
      </w:r>
      <w:r>
        <w:t xml:space="preserve"> </w:t>
      </w:r>
      <w:r>
        <w:t xml:space="preserve">‘jsonlite’</w:t>
      </w:r>
      <w:r>
        <w:t xml:space="preserve"> </w:t>
      </w:r>
      <w:r>
        <w:t xml:space="preserve">beyond base R, and the Python package on</w:t>
      </w:r>
      <w:r>
        <w:t xml:space="preserve"> </w:t>
      </w:r>
      <w:r>
        <w:t xml:space="preserve">‘pandas’</w:t>
      </w:r>
      <w:r>
        <w:t xml:space="preserve">,</w:t>
      </w:r>
      <w:r>
        <w:t xml:space="preserve"> </w:t>
      </w:r>
      <w:r>
        <w:t xml:space="preserve">‘numpy’</w:t>
      </w:r>
      <w:r>
        <w:t xml:space="preserve">,</w:t>
      </w:r>
      <w:r>
        <w:t xml:space="preserve"> </w:t>
      </w:r>
      <w:r>
        <w:t xml:space="preserve">‘PyYAML’</w:t>
      </w:r>
      <w:r>
        <w:t xml:space="preserve">,</w:t>
      </w:r>
      <w:r>
        <w:t xml:space="preserve"> </w:t>
      </w:r>
      <w:r>
        <w:t xml:space="preserve">‘rapidfuzz’</w:t>
      </w:r>
      <w:r>
        <w:t xml:space="preserve"> </w:t>
      </w:r>
      <w:r>
        <w:t xml:space="preserve">and</w:t>
      </w:r>
      <w:r>
        <w:t xml:space="preserve"> </w:t>
      </w:r>
      <w:r>
        <w:t xml:space="preserve">‘scipy’</w:t>
      </w:r>
      <w:r>
        <w:t xml:space="preserve">.</w:t>
      </w:r>
    </w:p>
    <w:bookmarkEnd w:id="10"/>
    <w:bookmarkStart w:id="11" w:name="a-many-language-corpus-registry"/>
    <w:p>
      <w:pPr>
        <w:pStyle w:val="Heading2"/>
      </w:pPr>
      <w:r>
        <w:t xml:space="preserve">A many-language corpus registry</w:t>
      </w:r>
    </w:p>
    <w:p>
      <w:pPr>
        <w:pStyle w:val="FirstParagraph"/>
      </w:pPr>
      <w:r>
        <w:t xml:space="preserve">Stimuli are only as good as the corpus behind them.</w:t>
      </w:r>
      <w:r>
        <w:t xml:space="preserve"> </w:t>
      </w:r>
      <w:r>
        <w:t xml:space="preserve">‘lexsync’</w:t>
      </w:r>
      <w:r>
        <w:t xml:space="preserve"> </w:t>
      </w:r>
      <w:r>
        <w:t xml:space="preserve">reads a</w:t>
      </w:r>
      <w:r>
        <w:t xml:space="preserve"> </w:t>
      </w:r>
      <w:r>
        <w:t xml:space="preserve">machine-readable registry that records, for each supported corpus, its language,</w:t>
      </w:r>
      <w:r>
        <w:t xml:space="preserve"> </w:t>
      </w:r>
      <w:r>
        <w:t xml:space="preserve">access URL, licence and citation. Two connectors are provided. The first exposes</w:t>
      </w:r>
      <w:r>
        <w:t xml:space="preserve"> </w:t>
      </w:r>
      <w:r>
        <w:t xml:space="preserve">the curated SUBTLEX family and the</w:t>
      </w:r>
      <w:r>
        <w:t xml:space="preserve"> </w:t>
      </w:r>
      <w:r>
        <w:t xml:space="preserve">‘openlexicon’</w:t>
      </w:r>
      <w:r>
        <w:t xml:space="preserve"> </w:t>
      </w:r>
      <w:r>
        <w:t xml:space="preserve">collection — for example</w:t>
      </w:r>
      <w:r>
        <w:t xml:space="preserve"> </w:t>
      </w:r>
      <w:r>
        <w:t xml:space="preserve">SUBTLEX-UK for British English</w:t>
      </w:r>
      <w:r>
        <w:t xml:space="preserve"> </w:t>
      </w:r>
      <w:r>
        <w:t xml:space="preserve">(Heuven et al. 2014)</w:t>
      </w:r>
      <w:r>
        <w:t xml:space="preserve">, SUBTLEX-ESP for Spanish</w:t>
      </w:r>
      <w:r>
        <w:t xml:space="preserve"> </w:t>
      </w:r>
      <w:r>
        <w:t xml:space="preserve">(Cuetos et al. 2011)</w:t>
      </w:r>
      <w:r>
        <w:t xml:space="preserve"> </w:t>
      </w:r>
      <w:r>
        <w:t xml:space="preserve">and SUBTLEX-US</w:t>
      </w:r>
      <w:r>
        <w:t xml:space="preserve"> </w:t>
      </w:r>
      <w:r>
        <w:t xml:space="preserve">(Brysbaert and New 2009)</w:t>
      </w:r>
      <w:r>
        <w:t xml:space="preserve"> </w:t>
      </w:r>
      <w:r>
        <w:t xml:space="preserve">— each</w:t>
      </w:r>
      <w:r>
        <w:t xml:space="preserve"> </w:t>
      </w:r>
      <w:r>
        <w:t xml:space="preserve">individually citable and redistributable under CC BY-SA terms. The second is the</w:t>
      </w:r>
      <w:r>
        <w:t xml:space="preserve"> </w:t>
      </w:r>
      <w:r>
        <w:t xml:space="preserve">‘wordfreq’</w:t>
      </w:r>
      <w:r>
        <w:t xml:space="preserve"> </w:t>
      </w:r>
      <w:r>
        <w:t xml:space="preserve">package</w:t>
      </w:r>
      <w:r>
        <w:t xml:space="preserve"> </w:t>
      </w:r>
      <w:r>
        <w:t xml:space="preserve">(Speer 2022)</w:t>
      </w:r>
      <w:r>
        <w:t xml:space="preserve">, which yields frequencies for roughly</w:t>
      </w:r>
      <w:r>
        <w:t xml:space="preserve"> </w:t>
      </w:r>
      <w:r>
        <w:t xml:space="preserve">forty languages through a single dependency. The demonstrations below build their</w:t>
      </w:r>
      <w:r>
        <w:t xml:space="preserve"> </w:t>
      </w:r>
      <w:r>
        <w:t xml:space="preserve">English and Spanish lexica with</w:t>
      </w:r>
      <w:r>
        <w:t xml:space="preserve"> </w:t>
      </w:r>
      <w:r>
        <w:t xml:space="preserve">‘wordfreq’</w:t>
      </w:r>
      <w:r>
        <w:t xml:space="preserve">, which aggregates subtitle and web</w:t>
      </w:r>
      <w:r>
        <w:t xml:space="preserve"> </w:t>
      </w:r>
      <w:r>
        <w:t xml:space="preserve">corpora including the SUBTLEX lists; the registry documents the curated corpora as</w:t>
      </w:r>
      <w:r>
        <w:t xml:space="preserve"> </w:t>
      </w:r>
      <w:r>
        <w:t xml:space="preserve">alternatives. Small example lexica are bundled inside each package for offline use</w:t>
      </w:r>
      <w:r>
        <w:t xml:space="preserve"> </w:t>
      </w:r>
      <w:r>
        <w:t xml:space="preserve">and testing, while full corpora are fetched on demand into a user cache, keeping</w:t>
      </w:r>
      <w:r>
        <w:t xml:space="preserve"> </w:t>
      </w:r>
      <w:r>
        <w:t xml:space="preserve">the installed packages within distribution size limits.</w:t>
      </w:r>
    </w:p>
    <w:bookmarkEnd w:id="11"/>
    <w:bookmarkStart w:id="12" w:name="the-multidimensional-matching-algorithm"/>
    <w:p>
      <w:pPr>
        <w:pStyle w:val="Heading2"/>
      </w:pPr>
      <w:r>
        <w:t xml:space="preserve">The multidimensional matching algorithm</w:t>
      </w:r>
    </w:p>
    <w:p>
      <w:pPr>
        <w:pStyle w:val="FirstParagraph"/>
      </w:pPr>
      <w:r>
        <w:t xml:space="preserve">For every word</w:t>
      </w:r>
      <w:r>
        <w:t xml:space="preserve"> </w:t>
      </w:r>
      <w:r>
        <w:t xml:space="preserve">‘lexsync’</w:t>
      </w:r>
      <w:r>
        <w:t xml:space="preserve"> </w:t>
      </w:r>
      <w:r>
        <w:t xml:space="preserve">records its length, its frequency and two</w:t>
      </w:r>
      <w:r>
        <w:t xml:space="preserve"> </w:t>
      </w:r>
      <w:r>
        <w:t xml:space="preserve">orthographic-neighbourhood measures: Coltheart’s N, the number of words of the</w:t>
      </w:r>
      <w:r>
        <w:t xml:space="preserve"> </w:t>
      </w:r>
      <w:r>
        <w:t xml:space="preserve">same length differing by a single letter</w:t>
      </w:r>
      <w:r>
        <w:t xml:space="preserve"> </w:t>
      </w:r>
      <w:r>
        <w:t xml:space="preserve">(Coltheart et al. 1977)</w:t>
      </w:r>
      <w:r>
        <w:t xml:space="preserve">, and OLD20, the</w:t>
      </w:r>
      <w:r>
        <w:t xml:space="preserve"> </w:t>
      </w:r>
      <w:r>
        <w:t xml:space="preserve">mean Levenshtein distance to the twenty nearest neighbours</w:t>
      </w:r>
      <w:r>
        <w:t xml:space="preserve"> </w:t>
      </w:r>
      <w:r>
        <w:t xml:space="preserve">(Yarkoni et al. 2008)</w:t>
      </w:r>
      <w:r>
        <w:t xml:space="preserve">.</w:t>
      </w:r>
      <w:r>
        <w:t xml:space="preserve"> </w:t>
      </w:r>
      <w:r>
        <w:t xml:space="preserve">The neighbourhood measures are computed transparently from the lexicon rather</w:t>
      </w:r>
      <w:r>
        <w:t xml:space="preserve"> </w:t>
      </w:r>
      <w:r>
        <w:t xml:space="preserve">than taken on trust.</w:t>
      </w:r>
    </w:p>
    <w:p>
      <w:pPr>
        <w:pStyle w:val="BodyText"/>
      </w:pPr>
      <w:r>
        <w:t xml:space="preserve">Matching proceeds in two deterministic stages. First, a tolerance pre-filter</w:t>
      </w:r>
      <w:r>
        <w:t xml:space="preserve"> </w:t>
      </w:r>
      <w:r>
        <w:t xml:space="preserve">keeps only candidates that fall within</w:t>
      </w:r>
      <w:r>
        <w:t xml:space="preserve"> </w:t>
      </w:r>
      <w:r>
        <w:rPr>
          <w:rStyle w:val="VerbatimChar"/>
        </w:rPr>
        <w:t xml:space="preserve">mean ± k·SD</w:t>
      </w:r>
      <w:r>
        <w:t xml:space="preserve"> </w:t>
      </w:r>
      <w:r>
        <w:t xml:space="preserve">of the anchor condition on</w:t>
      </w:r>
      <w:r>
        <w:t xml:space="preserve"> </w:t>
      </w:r>
      <w:r>
        <w:t xml:space="preserve">each control dimension, generalising the windowed selection of the original</w:t>
      </w:r>
      <w:r>
        <w:t xml:space="preserve"> </w:t>
      </w:r>
      <w:r>
        <w:t xml:space="preserve">workflow. Second, every remaining condition is matched to the anchor item by</w:t>
      </w:r>
      <w:r>
        <w:t xml:space="preserve"> </w:t>
      </w:r>
      <w:r>
        <w:t xml:space="preserve">item: each dimension is standardised, the standardised Euclidean distance from</w:t>
      </w:r>
      <w:r>
        <w:t xml:space="preserve"> </w:t>
      </w:r>
      <w:r>
        <w:t xml:space="preserve">each candidate to the target item is computed and the nearest unused candidate is</w:t>
      </w:r>
      <w:r>
        <w:t xml:space="preserve"> </w:t>
      </w:r>
      <w:r>
        <w:t xml:space="preserve">assigned, with ties broken by a stable, locale-independent key. Because no random</w:t>
      </w:r>
      <w:r>
        <w:t xml:space="preserve"> </w:t>
      </w:r>
      <w:r>
        <w:t xml:space="preserve">number generator is used and string comparisons are performed in byte order in</w:t>
      </w:r>
      <w:r>
        <w:t xml:space="preserve"> </w:t>
      </w:r>
      <w:r>
        <w:t xml:space="preserve">both engines, the R and Python packages select identical stimuli from identical</w:t>
      </w:r>
      <w:r>
        <w:t xml:space="preserve"> </w:t>
      </w:r>
      <w:r>
        <w:t xml:space="preserve">input — a parity we verify below.</w:t>
      </w:r>
    </w:p>
    <w:bookmarkEnd w:id="12"/>
    <w:bookmarkStart w:id="13" w:name="counterbalancing-and-reporting"/>
    <w:p>
      <w:pPr>
        <w:pStyle w:val="Heading2"/>
      </w:pPr>
      <w:r>
        <w:t xml:space="preserve">Counterbalancing and reporting</w:t>
      </w:r>
    </w:p>
    <w:p>
      <w:pPr>
        <w:pStyle w:val="FirstParagraph"/>
      </w:pPr>
      <w:r>
        <w:t xml:space="preserve">Matched items are assigned to presentation lists and a reproducible trial order,</w:t>
      </w:r>
      <w:r>
        <w:t xml:space="preserve"> </w:t>
      </w:r>
      <w:r>
        <w:t xml:space="preserve">and a participant table crosses any counterbalancing factors.</w:t>
      </w:r>
      <w:r>
        <w:t xml:space="preserve"> </w:t>
      </w:r>
      <w:r>
        <w:t xml:space="preserve">‘lexsync’</w:t>
      </w:r>
      <w:r>
        <w:t xml:space="preserve"> </w:t>
      </w:r>
      <w:r>
        <w:t xml:space="preserve">then</w:t>
      </w:r>
      <w:r>
        <w:t xml:space="preserve"> </w:t>
      </w:r>
      <w:r>
        <w:t xml:space="preserve">writes a match-quality report — per-condition descriptive statistics for every</w:t>
      </w:r>
      <w:r>
        <w:t xml:space="preserve"> </w:t>
      </w:r>
      <w:r>
        <w:t xml:space="preserve">dimension, standardised mean differences against the anchor and a two one-sided</w:t>
      </w:r>
      <w:r>
        <w:t xml:space="preserve"> </w:t>
      </w:r>
      <w:r>
        <w:t xml:space="preserve">tests (TOST) equivalence test</w:t>
      </w:r>
      <w:r>
        <w:t xml:space="preserve"> </w:t>
      </w:r>
      <w:r>
        <w:t xml:space="preserve">(Lakens 2017)</w:t>
      </w:r>
      <w:r>
        <w:t xml:space="preserve"> </w:t>
      </w:r>
      <w:r>
        <w:t xml:space="preserve">— and an automated,</w:t>
      </w:r>
      <w:r>
        <w:t xml:space="preserve"> </w:t>
      </w:r>
      <w:r>
        <w:t xml:space="preserve">comprehensive run log recording each stage, its parameters, the seed, package and</w:t>
      </w:r>
      <w:r>
        <w:t xml:space="preserve"> </w:t>
      </w:r>
      <w:r>
        <w:t xml:space="preserve">corpus provenance and a fingerprint of every file written. The report makes the</w:t>
      </w:r>
      <w:r>
        <w:t xml:space="preserve"> </w:t>
      </w:r>
      <w:r>
        <w:t xml:space="preserve">realised control explicit, in the spirit of the original workflow’s balance</w:t>
      </w:r>
      <w:r>
        <w:t xml:space="preserve"> </w:t>
      </w:r>
      <w:r>
        <w:t xml:space="preserve">checks, and the run log makes a run auditable.</w:t>
      </w:r>
    </w:p>
    <w:bookmarkEnd w:id="13"/>
    <w:bookmarkStart w:id="14" w:name="hardware-time-locking"/>
    <w:p>
      <w:pPr>
        <w:pStyle w:val="Heading2"/>
      </w:pPr>
      <w:r>
        <w:t xml:space="preserve">Hardware time-locking</w:t>
      </w:r>
    </w:p>
    <w:p>
      <w:pPr>
        <w:pStyle w:val="FirstParagraph"/>
      </w:pPr>
      <w:r>
        <w:t xml:space="preserve">The</w:t>
      </w:r>
      <w:r>
        <w:t xml:space="preserve"> </w:t>
      </w:r>
      <w:r>
        <w:t xml:space="preserve">‘scripting’</w:t>
      </w:r>
      <w:r>
        <w:t xml:space="preserve"> </w:t>
      </w:r>
      <w:r>
        <w:t xml:space="preserve">module emits two presentation targets from the same matched</w:t>
      </w:r>
      <w:r>
        <w:t xml:space="preserve"> </w:t>
      </w:r>
      <w:r>
        <w:t xml:space="preserve">stimuli. The</w:t>
      </w:r>
      <w:r>
        <w:t xml:space="preserve"> </w:t>
      </w:r>
      <w:r>
        <w:t xml:space="preserve">‘PsychoPy’</w:t>
      </w:r>
      <w:r>
        <w:t xml:space="preserve"> </w:t>
      </w:r>
      <w:r>
        <w:t xml:space="preserve">script binds each onset trigger to the stimulus flip:</w:t>
      </w:r>
    </w:p>
    <w:p>
      <w:pPr>
        <w:pStyle w:val="SourceCode"/>
      </w:pPr>
      <w:r>
        <w:rPr>
          <w:rStyle w:val="NormalTok"/>
        </w:rPr>
        <w:t xml:space="preserve">win.callOnFlip(port.setData, target_trigger)   </w:t>
      </w:r>
      <w:r>
        <w:rPr>
          <w:rStyle w:val="CommentTok"/>
        </w:rPr>
        <w:t xml:space="preserve"># written on the onset flip</w:t>
      </w:r>
      <w:r>
        <w:br/>
      </w:r>
      <w:r>
        <w:rPr>
          <w:rStyle w:val="ControlFlowTok"/>
        </w:rPr>
        <w:t xml:space="preserve">for</w:t>
      </w:r>
      <w:r>
        <w:rPr>
          <w:rStyle w:val="NormalTok"/>
        </w:rPr>
        <w:t xml:space="preserve"> frame </w:t>
      </w:r>
      <w:r>
        <w:rPr>
          <w:rStyle w:val="KeywordTok"/>
        </w:rPr>
        <w:t xml:space="preserve">in</w:t>
      </w:r>
      <w:r>
        <w:rPr>
          <w:rStyle w:val="NormalTok"/>
        </w:rPr>
        <w:t xml:space="preserve"> </w:t>
      </w:r>
      <w:r>
        <w:rPr>
          <w:rStyle w:val="BuiltInTok"/>
        </w:rPr>
        <w:t xml:space="preserve">range</w:t>
      </w:r>
      <w:r>
        <w:rPr>
          <w:rStyle w:val="NormalTok"/>
        </w:rPr>
        <w:t xml:space="preserve">(WORD_DURATION_FRAMES):</w:t>
      </w:r>
      <w:r>
        <w:br/>
      </w:r>
      <w:r>
        <w:rPr>
          <w:rStyle w:val="NormalTok"/>
        </w:rPr>
        <w:t xml:space="preserve">    word_stim.draw()</w:t>
      </w:r>
      <w:r>
        <w:br/>
      </w:r>
      <w:r>
        <w:rPr>
          <w:rStyle w:val="NormalTok"/>
        </w:rPr>
        <w:t xml:space="preserve">    win.flip()</w:t>
      </w:r>
      <w:r>
        <w:br/>
      </w:r>
      <w:r>
        <w:rPr>
          <w:rStyle w:val="NormalTok"/>
        </w:rPr>
        <w:t xml:space="preserve">    </w:t>
      </w:r>
      <w:r>
        <w:rPr>
          <w:rStyle w:val="ControlFlowTok"/>
        </w:rPr>
        <w:t xml:space="preserve">if</w:t>
      </w:r>
      <w:r>
        <w:rPr>
          <w:rStyle w:val="NormalTok"/>
        </w:rPr>
        <w:t xml:space="preserve"> frame </w:t>
      </w:r>
      <w:r>
        <w:rPr>
          <w:rStyle w:val="OperatorTok"/>
        </w:rPr>
        <w:t xml:space="preserve">==</w:t>
      </w:r>
      <w:r>
        <w:rPr>
          <w:rStyle w:val="NormalTok"/>
        </w:rPr>
        <w:t xml:space="preserve"> RESET_AFTER_FRAMES:</w:t>
      </w:r>
      <w:r>
        <w:br/>
      </w:r>
      <w:r>
        <w:rPr>
          <w:rStyle w:val="NormalTok"/>
        </w:rPr>
        <w:t xml:space="preserve">        win.callOnFlip(port.setData, </w:t>
      </w:r>
      <w:r>
        <w:rPr>
          <w:rStyle w:val="DecValTok"/>
        </w:rPr>
        <w:t xml:space="preserve">0</w:t>
      </w:r>
      <w:r>
        <w:rPr>
          <w:rStyle w:val="NormalTok"/>
        </w:rPr>
        <w:t xml:space="preserve">)</w:t>
      </w:r>
    </w:p>
    <w:p>
      <w:pPr>
        <w:pStyle w:val="FirstParagraph"/>
      </w:pPr>
      <w:r>
        <w:t xml:space="preserve">A mock port prints the codes when no parallel-port driver is present, so the</w:t>
      </w:r>
      <w:r>
        <w:t xml:space="preserve"> </w:t>
      </w:r>
      <w:r>
        <w:t xml:space="preserve">script runs end to end with no hardware. The</w:t>
      </w:r>
      <w:r>
        <w:t xml:space="preserve"> </w:t>
      </w:r>
      <w:r>
        <w:t xml:space="preserve">‘OpenSesame’</w:t>
      </w:r>
      <w:r>
        <w:t xml:space="preserve"> </w:t>
      </w:r>
      <w:r>
        <w:t xml:space="preserve">export is a complete,</w:t>
      </w:r>
      <w:r>
        <w:t xml:space="preserve"> </w:t>
      </w:r>
      <w:r>
        <w:t xml:space="preserve">plain-text</w:t>
      </w:r>
      <w:r>
        <w:t xml:space="preserve"> </w:t>
      </w:r>
      <w:r>
        <w:rPr>
          <w:rStyle w:val="VerbatimChar"/>
        </w:rPr>
        <w:t xml:space="preserve">.osexp</w:t>
      </w:r>
      <w:r>
        <w:t xml:space="preserve">, generated programmatically so that its tab-sensitive format</w:t>
      </w:r>
      <w:r>
        <w:t xml:space="preserve"> </w:t>
      </w:r>
      <w:r>
        <w:t xml:space="preserve">is always valid and modelled on a proven-working experiment from</w:t>
      </w:r>
      <w:r>
        <w:t xml:space="preserve"> </w:t>
      </w:r>
      <w:r>
        <w:t xml:space="preserve">González Alonso et al. (2025)</w:t>
      </w:r>
      <w:r>
        <w:t xml:space="preserve">; it sends the marker from an inline script placed</w:t>
      </w:r>
      <w:r>
        <w:t xml:space="preserve"> </w:t>
      </w:r>
      <w:r>
        <w:t xml:space="preserve">immediately after the word, supporting both a parallel-port and a serial backend</w:t>
      </w:r>
      <w:r>
        <w:t xml:space="preserve"> </w:t>
      </w:r>
      <w:r>
        <w:t xml:space="preserve">with a test-mode fallback. The two backends differ in an instructive way: the</w:t>
      </w:r>
      <w:r>
        <w:t xml:space="preserve"> </w:t>
      </w:r>
      <w:r>
        <w:t xml:space="preserve">‘PsychoPy’</w:t>
      </w:r>
      <w:r>
        <w:t xml:space="preserve"> </w:t>
      </w:r>
      <w:r>
        <w:t xml:space="preserve">path is genuinely flip-locked, whereas</w:t>
      </w:r>
      <w:r>
        <w:t xml:space="preserve"> </w:t>
      </w:r>
      <w:r>
        <w:t xml:space="preserve">‘OpenSesame’</w:t>
      </w:r>
      <w:r>
        <w:t xml:space="preserve"> </w:t>
      </w:r>
      <w:r>
        <w:t xml:space="preserve">sends the marker</w:t>
      </w:r>
      <w:r>
        <w:t xml:space="preserve"> </w:t>
      </w:r>
      <w:r>
        <w:t xml:space="preserve">from the following item and is therefore sequence-ordered. We recommend a</w:t>
      </w:r>
      <w:r>
        <w:t xml:space="preserve"> </w:t>
      </w:r>
      <w:r>
        <w:t xml:space="preserve">photodiode check in either case, but the</w:t>
      </w:r>
      <w:r>
        <w:t xml:space="preserve"> </w:t>
      </w:r>
      <w:r>
        <w:t xml:space="preserve">‘PsychoPy’</w:t>
      </w:r>
      <w:r>
        <w:t xml:space="preserve"> </w:t>
      </w:r>
      <w:r>
        <w:t xml:space="preserve">path removes the dominant</w:t>
      </w:r>
      <w:r>
        <w:t xml:space="preserve"> </w:t>
      </w:r>
      <w:r>
        <w:t xml:space="preserve">source of onset jitter. Notably, neither the matching nor the script generation</w:t>
      </w:r>
      <w:r>
        <w:t xml:space="preserve"> </w:t>
      </w:r>
      <w:r>
        <w:t xml:space="preserve">imports</w:t>
      </w:r>
      <w:r>
        <w:t xml:space="preserve"> </w:t>
      </w:r>
      <w:r>
        <w:t xml:space="preserve">‘PsychoPy’</w:t>
      </w:r>
      <w:r>
        <w:t xml:space="preserve"> </w:t>
      </w:r>
      <w:r>
        <w:t xml:space="preserve">or any serial library: generation only writes text, and the</w:t>
      </w:r>
      <w:r>
        <w:t xml:space="preserve"> </w:t>
      </w:r>
      <w:r>
        <w:t xml:space="preserve">presentation software is needed solely at run time.</w:t>
      </w:r>
    </w:p>
    <w:bookmarkEnd w:id="14"/>
    <w:bookmarkStart w:id="15" w:name="reproducibility-and-fair-compliance"/>
    <w:p>
      <w:pPr>
        <w:pStyle w:val="Heading2"/>
      </w:pPr>
      <w:r>
        <w:t xml:space="preserve">Reproducibility and FAIR compliance</w:t>
      </w:r>
    </w:p>
    <w:p>
      <w:pPr>
        <w:pStyle w:val="FirstParagraph"/>
      </w:pPr>
      <w:r>
        <w:t xml:space="preserve">‘lexsync’</w:t>
      </w:r>
      <w:r>
        <w:t xml:space="preserve"> </w:t>
      </w:r>
      <w:r>
        <w:t xml:space="preserve">ships a</w:t>
      </w:r>
      <w:r>
        <w:t xml:space="preserve"> </w:t>
      </w:r>
      <w:r>
        <w:rPr>
          <w:rStyle w:val="VerbatimChar"/>
        </w:rPr>
        <w:t xml:space="preserve">renv</w:t>
      </w:r>
      <w:r>
        <w:t xml:space="preserve"> </w:t>
      </w:r>
      <w:r>
        <w:t xml:space="preserve">lockfile for R and pinned requirements for Python, sets</w:t>
      </w:r>
      <w:r>
        <w:t xml:space="preserve"> </w:t>
      </w:r>
      <w:r>
        <w:t xml:space="preserve">seeds from a single configuration file, and carries a</w:t>
      </w:r>
      <w:r>
        <w:t xml:space="preserve"> </w:t>
      </w:r>
      <w:r>
        <w:t xml:space="preserve">‘CITATION.cff’</w:t>
      </w:r>
      <w:r>
        <w:t xml:space="preserve">, an MIT</w:t>
      </w:r>
      <w:r>
        <w:t xml:space="preserve"> </w:t>
      </w:r>
      <w:r>
        <w:t xml:space="preserve">licence for the code and CC BY-SA terms for the bundled corpus derivatives with</w:t>
      </w:r>
      <w:r>
        <w:t xml:space="preserve"> </w:t>
      </w:r>
      <w:r>
        <w:t xml:space="preserve">full attribution. The R package passes</w:t>
      </w:r>
      <w:r>
        <w:t xml:space="preserve"> </w:t>
      </w:r>
      <w:r>
        <w:rPr>
          <w:rStyle w:val="VerbatimChar"/>
        </w:rPr>
        <w:t xml:space="preserve">R CMD check --as-cran</w:t>
      </w:r>
      <w:r>
        <w:t xml:space="preserve">; the Python package</w:t>
      </w:r>
      <w:r>
        <w:t xml:space="preserve"> </w:t>
      </w:r>
      <w:r>
        <w:t xml:space="preserve">builds a wheel and a source distribution that pass</w:t>
      </w:r>
      <w:r>
        <w:t xml:space="preserve"> </w:t>
      </w:r>
      <w:r>
        <w:rPr>
          <w:rStyle w:val="VerbatimChar"/>
        </w:rPr>
        <w:t xml:space="preserve">twine check</w:t>
      </w:r>
      <w:r>
        <w:t xml:space="preserve">. Both ship unit</w:t>
      </w:r>
      <w:r>
        <w:t xml:space="preserve"> </w:t>
      </w:r>
      <w:r>
        <w:t xml:space="preserve">test suites, including a mock-engine test that confirms the generated</w:t>
      </w:r>
      <w:r>
        <w:t xml:space="preserve"> </w:t>
      </w:r>
      <w:r>
        <w:t xml:space="preserve">‘PsychoPy’</w:t>
      </w:r>
      <w:r>
        <w:t xml:space="preserve"> </w:t>
      </w:r>
      <w:r>
        <w:t xml:space="preserve">script writes its onset trigger on the word’s first flip and a structural</w:t>
      </w:r>
      <w:r>
        <w:t xml:space="preserve"> </w:t>
      </w:r>
      <w:r>
        <w:t xml:space="preserve">validator for the generated</w:t>
      </w:r>
      <w:r>
        <w:t xml:space="preserve"> </w:t>
      </w:r>
      <w:r>
        <w:rPr>
          <w:rStyle w:val="VerbatimChar"/>
        </w:rPr>
        <w:t xml:space="preserve">.osexp</w:t>
      </w:r>
      <w:r>
        <w:t xml:space="preserve">.</w:t>
      </w:r>
    </w:p>
    <w:bookmarkEnd w:id="15"/>
    <w:bookmarkEnd w:id="16"/>
    <w:bookmarkStart w:id="25" w:name="worked-examples"/>
    <w:p>
      <w:pPr>
        <w:pStyle w:val="Heading1"/>
      </w:pPr>
      <w:r>
        <w:t xml:space="preserve">Worked examples</w:t>
      </w:r>
    </w:p>
    <w:p>
      <w:pPr>
        <w:pStyle w:val="FirstParagraph"/>
      </w:pPr>
      <w:r>
        <w:t xml:space="preserve">We illustrate</w:t>
      </w:r>
      <w:r>
        <w:t xml:space="preserve"> </w:t>
      </w:r>
      <w:r>
        <w:t xml:space="preserve">‘lexsync’</w:t>
      </w:r>
      <w:r>
        <w:t xml:space="preserve"> </w:t>
      </w:r>
      <w:r>
        <w:t xml:space="preserve">with four demonstrations: a high- versus low-frequency</w:t>
      </w:r>
      <w:r>
        <w:t xml:space="preserve"> </w:t>
      </w:r>
      <w:r>
        <w:t xml:space="preserve">contrast and a dense- versus sparse-neighbourhood contrast, each in English and</w:t>
      </w:r>
      <w:r>
        <w:t xml:space="preserve"> </w:t>
      </w:r>
      <w:r>
        <w:t xml:space="preserve">in Spanish, drawn from ten-thousand-word lexica. The frequency contrast matches</w:t>
      </w:r>
      <w:r>
        <w:t xml:space="preserve"> </w:t>
      </w:r>
      <w:r>
        <w:t xml:space="preserve">items on length, neighbourhood density and OLD20; the neighbourhood contrast</w:t>
      </w:r>
      <w:r>
        <w:t xml:space="preserve"> </w:t>
      </w:r>
      <w:r>
        <w:t xml:space="preserve">matches on length and frequency. Each demonstration was produced by both the R</w:t>
      </w:r>
      <w:r>
        <w:t xml:space="preserve"> </w:t>
      </w:r>
      <w:r>
        <w:t xml:space="preserve">and the Python engine. All tables and figures in this section are computed at</w:t>
      </w:r>
      <w:r>
        <w:t xml:space="preserve"> </w:t>
      </w:r>
      <w:r>
        <w:t xml:space="preserve">render time from the generated output.</w:t>
      </w:r>
    </w:p>
    <w:tbl>
      <w:tblPr>
        <w:tblStyle w:val="Table"/>
        <w:tblW w:type="pct" w:w="5000"/>
        <w:tblLayout w:type="fixed"/>
        <w:tblLook w:firstRow="0" w:lastRow="0" w:firstColumn="0" w:lastColumn="0" w:noHBand="0" w:noVBand="0" w:val="0000"/>
      </w:tblPr>
      <w:tblGrid>
        <w:gridCol w:w="7920"/>
      </w:tblGrid>
      <w:tr>
        <w:tc>
          <w:tcPr/>
          <w:bookmarkStart w:id="17" w:name="tbl-summary"/>
          <w:p>
            <w:pPr>
              <w:jc w:val="center"/>
            </w:pPr>
            <w:pPr>
              <w:jc w:val="left"/>
              <w:spacing w:before="200"/>
              <w:pStyle w:val="ImageCaption"/>
            </w:pPr>
            <w:r>
              <w:t xml:space="preserve">Table 1: Each demonstration, its manipulated dimension and the absolute standardised mean difference of the manipulated dimension and of the most-different controlled dimension. The manipulation is large in every case; the controlled dimensions remain small.</w:t>
            </w:r>
          </w:p>
          <w:tbl>
            <w:tblPr>
              <w:tblStyle w:val="Table"/>
              <w:tblW w:type="pct" w:w="5000"/>
              <w:tblLayout w:type="fixed"/>
              <w:tblLook w:firstRow="1" w:lastRow="0" w:firstColumn="0" w:lastColumn="0" w:noHBand="0" w:noVBand="0" w:val="0020"/>
            </w:tblPr>
            <w:tblGrid>
              <w:gridCol w:w="2242"/>
              <w:gridCol w:w="1541"/>
              <w:gridCol w:w="1822"/>
              <w:gridCol w:w="2312"/>
            </w:tblGrid>
            <w:tr>
              <w:trPr>
                <w:tblHeader w:val="on"/>
              </w:trPr>
              <w:tc>
                <w:tcPr/>
                <w:p>
                  <w:pPr>
                    <w:pStyle w:val="Compact"/>
                    <w:jc w:val="left"/>
                    <w:jc w:val="center"/>
                  </w:pPr>
                  <w:r>
                    <w:t xml:space="preserve">Demonstration</w:t>
                  </w:r>
                </w:p>
              </w:tc>
              <w:tc>
                <w:tcPr/>
                <w:p>
                  <w:pPr>
                    <w:pStyle w:val="Compact"/>
                    <w:jc w:val="left"/>
                    <w:jc w:val="center"/>
                  </w:pPr>
                  <w:r>
                    <w:t xml:space="preserve">Manipulated dimension</w:t>
                  </w:r>
                </w:p>
              </w:tc>
              <w:tc>
                <w:tcPr/>
                <w:p>
                  <w:pPr>
                    <w:pStyle w:val="Compact"/>
                    <w:jc w:val="right"/>
                    <w:jc w:val="center"/>
                  </w:pPr>
                  <w:r>
                    <w:t xml:space="preserve">|d| manipulated</w:t>
                  </w:r>
                </w:p>
              </w:tc>
              <w:tc>
                <w:tcPr/>
                <w:p>
                  <w:pPr>
                    <w:pStyle w:val="Compact"/>
                    <w:jc w:val="right"/>
                    <w:jc w:val="center"/>
                  </w:pPr>
                  <w:r>
                    <w:t xml:space="preserve">largest |d| controlled</w:t>
                  </w:r>
                </w:p>
              </w:tc>
            </w:tr>
            <w:tr>
              <w:tc>
                <w:tcPr/>
                <w:p>
                  <w:pPr>
                    <w:pStyle w:val="Compact"/>
                    <w:jc w:val="left"/>
                    <w:jc w:val="center"/>
                  </w:pPr>
                  <w:r>
                    <w:t xml:space="preserve">English: frequency contrast</w:t>
                  </w:r>
                </w:p>
              </w:tc>
              <w:tc>
                <w:tcPr/>
                <w:p>
                  <w:pPr>
                    <w:pStyle w:val="Compact"/>
                    <w:jc w:val="left"/>
                    <w:jc w:val="center"/>
                  </w:pPr>
                  <w:r>
                    <w:t xml:space="preserve">Frequency (Zipf)</w:t>
                  </w:r>
                </w:p>
              </w:tc>
              <w:tc>
                <w:tcPr/>
                <w:p>
                  <w:pPr>
                    <w:pStyle w:val="Compact"/>
                    <w:jc w:val="right"/>
                    <w:jc w:val="center"/>
                  </w:pPr>
                  <w:r>
                    <w:t xml:space="preserve">4.67</w:t>
                  </w:r>
                </w:p>
              </w:tc>
              <w:tc>
                <w:tcPr/>
                <w:p>
                  <w:pPr>
                    <w:pStyle w:val="Compact"/>
                    <w:jc w:val="right"/>
                    <w:jc w:val="center"/>
                  </w:pPr>
                  <w:r>
                    <w:t xml:space="preserve">0.06</w:t>
                  </w:r>
                </w:p>
              </w:tc>
            </w:tr>
            <w:tr>
              <w:tc>
                <w:tcPr/>
                <w:p>
                  <w:pPr>
                    <w:pStyle w:val="Compact"/>
                    <w:jc w:val="left"/>
                    <w:jc w:val="center"/>
                  </w:pPr>
                  <w:r>
                    <w:t xml:space="preserve">English: neighbourhood contrast</w:t>
                  </w:r>
                </w:p>
              </w:tc>
              <w:tc>
                <w:tcPr/>
                <w:p>
                  <w:pPr>
                    <w:pStyle w:val="Compact"/>
                    <w:jc w:val="left"/>
                    <w:jc w:val="center"/>
                  </w:pPr>
                  <w:r>
                    <w:t xml:space="preserve">Neighbourhood N</w:t>
                  </w:r>
                </w:p>
              </w:tc>
              <w:tc>
                <w:tcPr/>
                <w:p>
                  <w:pPr>
                    <w:pStyle w:val="Compact"/>
                    <w:jc w:val="right"/>
                    <w:jc w:val="center"/>
                  </w:pPr>
                  <w:r>
                    <w:t xml:space="preserve">2.71</w:t>
                  </w:r>
                </w:p>
              </w:tc>
              <w:tc>
                <w:tcPr/>
                <w:p>
                  <w:pPr>
                    <w:pStyle w:val="Compact"/>
                    <w:jc w:val="right"/>
                    <w:jc w:val="center"/>
                  </w:pPr>
                  <w:r>
                    <w:t xml:space="preserve">0.23</w:t>
                  </w:r>
                </w:p>
              </w:tc>
            </w:tr>
            <w:tr>
              <w:tc>
                <w:tcPr/>
                <w:p>
                  <w:pPr>
                    <w:pStyle w:val="Compact"/>
                    <w:jc w:val="left"/>
                    <w:jc w:val="center"/>
                  </w:pPr>
                  <w:r>
                    <w:t xml:space="preserve">Spanish: frequency contrast</w:t>
                  </w:r>
                </w:p>
              </w:tc>
              <w:tc>
                <w:tcPr/>
                <w:p>
                  <w:pPr>
                    <w:pStyle w:val="Compact"/>
                    <w:jc w:val="left"/>
                    <w:jc w:val="center"/>
                  </w:pPr>
                  <w:r>
                    <w:t xml:space="preserve">Frequency (Zipf)</w:t>
                  </w:r>
                </w:p>
              </w:tc>
              <w:tc>
                <w:tcPr/>
                <w:p>
                  <w:pPr>
                    <w:pStyle w:val="Compact"/>
                    <w:jc w:val="right"/>
                    <w:jc w:val="center"/>
                  </w:pPr>
                  <w:r>
                    <w:t xml:space="preserve">4.93</w:t>
                  </w:r>
                </w:p>
              </w:tc>
              <w:tc>
                <w:tcPr/>
                <w:p>
                  <w:pPr>
                    <w:pStyle w:val="Compact"/>
                    <w:jc w:val="right"/>
                    <w:jc w:val="center"/>
                  </w:pPr>
                  <w:r>
                    <w:t xml:space="preserve">0.09</w:t>
                  </w:r>
                </w:p>
              </w:tc>
            </w:tr>
            <w:tr>
              <w:tc>
                <w:tcPr/>
                <w:p>
                  <w:pPr>
                    <w:pStyle w:val="Compact"/>
                    <w:jc w:val="left"/>
                    <w:jc w:val="center"/>
                  </w:pPr>
                  <w:r>
                    <w:t xml:space="preserve">Spanish: neighbourhood contrast</w:t>
                  </w:r>
                </w:p>
              </w:tc>
              <w:tc>
                <w:tcPr/>
                <w:p>
                  <w:pPr>
                    <w:pStyle w:val="Compact"/>
                    <w:jc w:val="left"/>
                    <w:jc w:val="center"/>
                  </w:pPr>
                  <w:r>
                    <w:t xml:space="preserve">Neighbourhood N</w:t>
                  </w:r>
                </w:p>
              </w:tc>
              <w:tc>
                <w:tcPr/>
                <w:p>
                  <w:pPr>
                    <w:pStyle w:val="Compact"/>
                    <w:jc w:val="right"/>
                    <w:jc w:val="center"/>
                  </w:pPr>
                  <w:r>
                    <w:t xml:space="preserve">3.31</w:t>
                  </w:r>
                </w:p>
              </w:tc>
              <w:tc>
                <w:tcPr/>
                <w:p>
                  <w:pPr>
                    <w:pStyle w:val="Compact"/>
                    <w:jc w:val="right"/>
                    <w:jc w:val="center"/>
                  </w:pPr>
                  <w:r>
                    <w:t xml:space="preserve">0.12</w:t>
                  </w:r>
                </w:p>
              </w:tc>
            </w:tr>
          </w:tbl>
          <w:bookmarkEnd w:id="17"/>
          <w:p/>
        </w:tc>
      </w:tr>
    </w:tbl>
    <w:p>
      <w:pPr>
        <w:pStyle w:val="BodyText"/>
      </w:pPr>
      <w:hyperlink w:anchor="tbl-summary">
        <w:r>
          <w:rPr>
            <w:rStyle w:val="Hyperlink"/>
          </w:rPr>
          <w:t xml:space="preserve">Table 1</w:t>
        </w:r>
      </w:hyperlink>
      <w:r>
        <w:t xml:space="preserve"> </w:t>
      </w:r>
      <w:r>
        <w:t xml:space="preserve">shows that the manipulated dimension is strongly separated in every</w:t>
      </w:r>
      <w:r>
        <w:t xml:space="preserve"> </w:t>
      </w:r>
      <w:r>
        <w:t xml:space="preserve">demonstration. The control dimensions, by contrast, are closely equated.</w:t>
      </w:r>
      <w:r>
        <w:t xml:space="preserve"> </w:t>
      </w:r>
      <w:hyperlink w:anchor="fig-balance">
        <w:r>
          <w:rPr>
            <w:rStyle w:val="Hyperlink"/>
          </w:rPr>
          <w:t xml:space="preserve">Figure 1</w:t>
        </w:r>
      </w:hyperlink>
      <w:r>
        <w:t xml:space="preserve"> </w:t>
      </w:r>
      <w:r>
        <w:t xml:space="preserve">plots the absolute standardised mean difference of each dimension</w:t>
      </w:r>
      <w:r>
        <w:t xml:space="preserve"> </w:t>
      </w:r>
      <w:r>
        <w:t xml:space="preserve">against the anchor; the manipulated dimension stands far to the right of the</w:t>
      </w:r>
      <w:r>
        <w:t xml:space="preserve"> </w:t>
      </w:r>
      <w:r>
        <w:t xml:space="preserve">0.5-standard-deviation equivalence bound (dashed line) while the controlled</w:t>
      </w:r>
      <w:r>
        <w:t xml:space="preserve"> </w:t>
      </w:r>
      <w:r>
        <w:t xml:space="preserve">dimensions cluster near zero.</w:t>
      </w:r>
    </w:p>
    <w:tbl>
      <w:tblPr>
        <w:tblStyle w:val="Table"/>
        <w:tblW w:type="pct" w:w="5000"/>
        <w:tblLayout w:type="fixed"/>
        <w:tblLook w:firstRow="0" w:lastRow="0" w:firstColumn="0" w:lastColumn="0" w:noHBand="0" w:noVBand="0" w:val="0000"/>
      </w:tblPr>
      <w:tblGrid>
        <w:gridCol w:w="7920"/>
      </w:tblGrid>
      <w:tr>
        <w:tc>
          <w:tcPr/>
          <w:bookmarkStart w:id="21" w:name="fig-balance"/>
          <w:p>
            <w:pPr>
              <w:pStyle w:val="Compact"/>
              <w:jc w:val="center"/>
            </w:pPr>
            <w:r>
              <w:drawing>
                <wp:inline>
                  <wp:extent cx="5334000" cy="3259666"/>
                  <wp:effectExtent b="0" l="0" r="0" t="0"/>
                  <wp:docPr descr="" title="" id="19" name="Picture"/>
                  <a:graphic>
                    <a:graphicData uri="http://schemas.openxmlformats.org/drawingml/2006/picture">
                      <pic:pic>
                        <pic:nvPicPr>
                          <pic:cNvPr descr="manuscript_files/figure-docx/fig-balance-1.png" id="20" name="Picture"/>
                          <pic:cNvPicPr>
                            <a:picLocks noChangeArrowheads="1" noChangeAspect="1"/>
                          </pic:cNvPicPr>
                        </pic:nvPicPr>
                        <pic:blipFill>
                          <a:blip r:embed="rId18"/>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Absolute standardised mean difference of each dimension against the anchor condition, in each demonstration. The dashed line is the 0.5-SD equivalence bound. Manipulated dimensions (orange) lie far to the right; matched dimensions (green) cluster near zero. In the neighbourhood contrasts OLD20 is free to co-vary (purple), reflecting its known correlation with Coltheart’s N.</w:t>
            </w:r>
          </w:p>
          <w:bookmarkEnd w:id="21"/>
        </w:tc>
      </w:tr>
    </w:tbl>
    <w:p>
      <w:pPr>
        <w:pStyle w:val="BodyText"/>
      </w:pPr>
      <w:r>
        <w:t xml:space="preserve">The per-condition descriptive statistics make the control concrete. In the</w:t>
      </w:r>
      <w:r>
        <w:t xml:space="preserve"> </w:t>
      </w:r>
      <w:r>
        <w:t xml:space="preserve">English frequency contrast (</w:t>
      </w:r>
      <w:hyperlink w:anchor="tbl-desc-freq">
        <w:r>
          <w:rPr>
            <w:rStyle w:val="Hyperlink"/>
          </w:rPr>
          <w:t xml:space="preserve">Table 2</w:t>
        </w:r>
      </w:hyperlink>
      <w:r>
        <w:t xml:space="preserve">) frequency is separated by roughly one</w:t>
      </w:r>
      <w:r>
        <w:t xml:space="preserve"> </w:t>
      </w:r>
      <w:r>
        <w:t xml:space="preserve">and a half Zipf units while length, neighbourhood density and OLD20 are almost</w:t>
      </w:r>
      <w:r>
        <w:t xml:space="preserve"> </w:t>
      </w:r>
      <w:r>
        <w:t xml:space="preserve">identical across conditions. In the English neighbourhood contrast</w:t>
      </w:r>
      <w:r>
        <w:t xml:space="preserve"> </w:t>
      </w:r>
      <w:r>
        <w:t xml:space="preserve">(</w:t>
      </w:r>
      <w:hyperlink w:anchor="tbl-desc-nd">
        <w:r>
          <w:rPr>
            <w:rStyle w:val="Hyperlink"/>
          </w:rPr>
          <w:t xml:space="preserve">Table 3</w:t>
        </w:r>
      </w:hyperlink>
      <w:r>
        <w:t xml:space="preserve">) neighbourhood density is separated by an order of magnitude with</w:t>
      </w:r>
      <w:r>
        <w:t xml:space="preserve"> </w:t>
      </w:r>
      <w:r>
        <w:t xml:space="preserve">length and frequency held constant; OLD20, which is mathematically related to N,</w:t>
      </w:r>
      <w:r>
        <w:t xml:space="preserve"> </w:t>
      </w:r>
      <w:r>
        <w:t xml:space="preserve">moves with the manipulation rather than being held constant, as expected.</w:t>
      </w:r>
    </w:p>
    <w:tbl>
      <w:tblPr>
        <w:tblStyle w:val="Table"/>
        <w:tblW w:type="pct" w:w="5000"/>
        <w:tblLayout w:type="fixed"/>
        <w:tblLook w:firstRow="0" w:lastRow="0" w:firstColumn="0" w:lastColumn="0" w:noHBand="0" w:noVBand="0" w:val="0000"/>
      </w:tblPr>
      <w:tblGrid>
        <w:gridCol w:w="7920"/>
      </w:tblGrid>
      <w:tr>
        <w:tc>
          <w:tcPr/>
          <w:bookmarkStart w:id="22" w:name="tbl-desc-freq"/>
          <w:p>
            <w:pPr>
              <w:jc w:val="center"/>
            </w:pPr>
            <w:pPr>
              <w:jc w:val="left"/>
              <w:spacing w:before="200"/>
              <w:pStyle w:val="ImageCaption"/>
            </w:pPr>
            <w:r>
              <w:t xml:space="preserve">Table 2: Descriptive statistics per condition, English frequency contrast (R engine).</w:t>
            </w:r>
          </w:p>
          <w:tbl>
            <w:tblPr>
              <w:tblStyle w:val="Table"/>
              <w:tblW w:type="pct" w:w="5000"/>
              <w:tblLayout w:type="fixed"/>
              <w:tblLook w:firstRow="1" w:lastRow="0" w:firstColumn="0" w:lastColumn="0" w:noHBand="0" w:noVBand="0" w:val="0020"/>
            </w:tblPr>
            <w:tblGrid>
              <w:gridCol w:w="1856"/>
              <w:gridCol w:w="2103"/>
              <w:gridCol w:w="371"/>
              <w:gridCol w:w="742"/>
              <w:gridCol w:w="742"/>
              <w:gridCol w:w="495"/>
              <w:gridCol w:w="866"/>
              <w:gridCol w:w="742"/>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 (letters)</w:t>
                  </w:r>
                </w:p>
              </w:tc>
              <w:tc>
                <w:tcPr/>
                <w:p>
                  <w:pPr>
                    <w:pStyle w:val="Compact"/>
                    <w:jc w:val="right"/>
                    <w:jc w:val="center"/>
                  </w:pPr>
                  <w:r>
                    <w:t xml:space="preserve">30</w:t>
                  </w:r>
                </w:p>
              </w:tc>
              <w:tc>
                <w:tcPr/>
                <w:p>
                  <w:pPr>
                    <w:pStyle w:val="Compact"/>
                    <w:jc w:val="right"/>
                    <w:jc w:val="center"/>
                  </w:pPr>
                  <w:r>
                    <w:t xml:space="preserve">4.667</w:t>
                  </w:r>
                </w:p>
              </w:tc>
              <w:tc>
                <w:tcPr/>
                <w:p>
                  <w:pPr>
                    <w:pStyle w:val="Compact"/>
                    <w:jc w:val="right"/>
                    <w:jc w:val="center"/>
                  </w:pPr>
                  <w:r>
                    <w:t xml:space="preserve">1.241</w:t>
                  </w:r>
                </w:p>
              </w:tc>
              <w:tc>
                <w:tcPr/>
                <w:p>
                  <w:pPr>
                    <w:pStyle w:val="Compact"/>
                    <w:jc w:val="right"/>
                    <w:jc w:val="center"/>
                  </w:pPr>
                  <w:r>
                    <w:t xml:space="preserve">3.0</w:t>
                  </w:r>
                </w:p>
              </w:tc>
              <w:tc>
                <w:tcPr/>
                <w:p>
                  <w:pPr>
                    <w:pStyle w:val="Compact"/>
                    <w:jc w:val="right"/>
                    <w:jc w:val="center"/>
                  </w:pPr>
                  <w:r>
                    <w:t xml:space="preserve">5.000</w:t>
                  </w:r>
                </w:p>
              </w:tc>
              <w:tc>
                <w:tcPr/>
                <w:p>
                  <w:pPr>
                    <w:pStyle w:val="Compact"/>
                    <w:jc w:val="right"/>
                    <w:jc w:val="center"/>
                  </w:pPr>
                  <w:r>
                    <w:t xml:space="preserve">7.00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30</w:t>
                  </w:r>
                </w:p>
              </w:tc>
              <w:tc>
                <w:tcPr/>
                <w:p>
                  <w:pPr>
                    <w:pStyle w:val="Compact"/>
                    <w:jc w:val="right"/>
                    <w:jc w:val="center"/>
                  </w:pPr>
                  <w:r>
                    <w:t xml:space="preserve">5.592</w:t>
                  </w:r>
                </w:p>
              </w:tc>
              <w:tc>
                <w:tcPr/>
                <w:p>
                  <w:pPr>
                    <w:pStyle w:val="Compact"/>
                    <w:jc w:val="right"/>
                    <w:jc w:val="center"/>
                  </w:pPr>
                  <w:r>
                    <w:t xml:space="preserve">0.408</w:t>
                  </w:r>
                </w:p>
              </w:tc>
              <w:tc>
                <w:tcPr/>
                <w:p>
                  <w:pPr>
                    <w:pStyle w:val="Compact"/>
                    <w:jc w:val="right"/>
                    <w:jc w:val="center"/>
                  </w:pPr>
                  <w:r>
                    <w:t xml:space="preserve">5.2</w:t>
                  </w:r>
                </w:p>
              </w:tc>
              <w:tc>
                <w:tcPr/>
                <w:p>
                  <w:pPr>
                    <w:pStyle w:val="Compact"/>
                    <w:jc w:val="right"/>
                    <w:jc w:val="center"/>
                  </w:pPr>
                  <w:r>
                    <w:t xml:space="preserve">5.460</w:t>
                  </w:r>
                </w:p>
              </w:tc>
              <w:tc>
                <w:tcPr/>
                <w:p>
                  <w:pPr>
                    <w:pStyle w:val="Compact"/>
                    <w:jc w:val="right"/>
                    <w:jc w:val="center"/>
                  </w:pPr>
                  <w:r>
                    <w:t xml:space="preserve">6.98</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30</w:t>
                  </w:r>
                </w:p>
              </w:tc>
              <w:tc>
                <w:tcPr/>
                <w:p>
                  <w:pPr>
                    <w:pStyle w:val="Compact"/>
                    <w:jc w:val="right"/>
                    <w:jc w:val="center"/>
                  </w:pPr>
                  <w:r>
                    <w:t xml:space="preserve">3.933</w:t>
                  </w:r>
                </w:p>
              </w:tc>
              <w:tc>
                <w:tcPr/>
                <w:p>
                  <w:pPr>
                    <w:pStyle w:val="Compact"/>
                    <w:jc w:val="right"/>
                    <w:jc w:val="center"/>
                  </w:pPr>
                  <w:r>
                    <w:t xml:space="preserve">4.913</w:t>
                  </w:r>
                </w:p>
              </w:tc>
              <w:tc>
                <w:tcPr/>
                <w:p>
                  <w:pPr>
                    <w:pStyle w:val="Compact"/>
                    <w:jc w:val="right"/>
                    <w:jc w:val="center"/>
                  </w:pPr>
                  <w:r>
                    <w:t xml:space="preserve">0.0</w:t>
                  </w:r>
                </w:p>
              </w:tc>
              <w:tc>
                <w:tcPr/>
                <w:p>
                  <w:pPr>
                    <w:pStyle w:val="Compact"/>
                    <w:jc w:val="right"/>
                    <w:jc w:val="center"/>
                  </w:pPr>
                  <w:r>
                    <w:t xml:space="preserve">2.000</w:t>
                  </w:r>
                </w:p>
              </w:tc>
              <w:tc>
                <w:tcPr/>
                <w:p>
                  <w:pPr>
                    <w:pStyle w:val="Compact"/>
                    <w:jc w:val="right"/>
                    <w:jc w:val="center"/>
                  </w:pPr>
                  <w:r>
                    <w:t xml:space="preserve">19.00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30</w:t>
                  </w:r>
                </w:p>
              </w:tc>
              <w:tc>
                <w:tcPr/>
                <w:p>
                  <w:pPr>
                    <w:pStyle w:val="Compact"/>
                    <w:jc w:val="right"/>
                    <w:jc w:val="center"/>
                  </w:pPr>
                  <w:r>
                    <w:t xml:space="preserve">1.873</w:t>
                  </w:r>
                </w:p>
              </w:tc>
              <w:tc>
                <w:tcPr/>
                <w:p>
                  <w:pPr>
                    <w:pStyle w:val="Compact"/>
                    <w:jc w:val="right"/>
                    <w:jc w:val="center"/>
                  </w:pPr>
                  <w:r>
                    <w:t xml:space="preserve">0.507</w:t>
                  </w:r>
                </w:p>
              </w:tc>
              <w:tc>
                <w:tcPr/>
                <w:p>
                  <w:pPr>
                    <w:pStyle w:val="Compact"/>
                    <w:jc w:val="right"/>
                    <w:jc w:val="center"/>
                  </w:pPr>
                  <w:r>
                    <w:t xml:space="preserve">1.0</w:t>
                  </w:r>
                </w:p>
              </w:tc>
              <w:tc>
                <w:tcPr/>
                <w:p>
                  <w:pPr>
                    <w:pStyle w:val="Compact"/>
                    <w:jc w:val="right"/>
                    <w:jc w:val="center"/>
                  </w:pPr>
                  <w:r>
                    <w:t xml:space="preserve">1.825</w:t>
                  </w:r>
                </w:p>
              </w:tc>
              <w:tc>
                <w:tcPr/>
                <w:p>
                  <w:pPr>
                    <w:pStyle w:val="Compact"/>
                    <w:jc w:val="right"/>
                    <w:jc w:val="center"/>
                  </w:pPr>
                  <w:r>
                    <w:t xml:space="preserve">2.95</w:t>
                  </w:r>
                </w:p>
              </w:tc>
            </w:tr>
            <w:tr>
              <w:tc>
                <w:tcPr/>
                <w:p>
                  <w:pPr>
                    <w:pStyle w:val="Compact"/>
                    <w:jc w:val="left"/>
                    <w:jc w:val="center"/>
                  </w:pPr>
                  <w:r>
                    <w:t xml:space="preserve">low frequency</w:t>
                  </w:r>
                </w:p>
              </w:tc>
              <w:tc>
                <w:tcPr/>
                <w:p>
                  <w:pPr>
                    <w:pStyle w:val="Compact"/>
                    <w:jc w:val="left"/>
                    <w:jc w:val="center"/>
                  </w:pPr>
                  <w:r>
                    <w:t xml:space="preserve">Length (letters)</w:t>
                  </w:r>
                </w:p>
              </w:tc>
              <w:tc>
                <w:tcPr/>
                <w:p>
                  <w:pPr>
                    <w:pStyle w:val="Compact"/>
                    <w:jc w:val="right"/>
                    <w:jc w:val="center"/>
                  </w:pPr>
                  <w:r>
                    <w:t xml:space="preserve">30</w:t>
                  </w:r>
                </w:p>
              </w:tc>
              <w:tc>
                <w:tcPr/>
                <w:p>
                  <w:pPr>
                    <w:pStyle w:val="Compact"/>
                    <w:jc w:val="right"/>
                    <w:jc w:val="center"/>
                  </w:pPr>
                  <w:r>
                    <w:t xml:space="preserve">4.667</w:t>
                  </w:r>
                </w:p>
              </w:tc>
              <w:tc>
                <w:tcPr/>
                <w:p>
                  <w:pPr>
                    <w:pStyle w:val="Compact"/>
                    <w:jc w:val="right"/>
                    <w:jc w:val="center"/>
                  </w:pPr>
                  <w:r>
                    <w:t xml:space="preserve">1.241</w:t>
                  </w:r>
                </w:p>
              </w:tc>
              <w:tc>
                <w:tcPr/>
                <w:p>
                  <w:pPr>
                    <w:pStyle w:val="Compact"/>
                    <w:jc w:val="right"/>
                    <w:jc w:val="center"/>
                  </w:pPr>
                  <w:r>
                    <w:t xml:space="preserve">3.0</w:t>
                  </w:r>
                </w:p>
              </w:tc>
              <w:tc>
                <w:tcPr/>
                <w:p>
                  <w:pPr>
                    <w:pStyle w:val="Compact"/>
                    <w:jc w:val="right"/>
                    <w:jc w:val="center"/>
                  </w:pPr>
                  <w:r>
                    <w:t xml:space="preserve">5.000</w:t>
                  </w:r>
                </w:p>
              </w:tc>
              <w:tc>
                <w:tcPr/>
                <w:p>
                  <w:pPr>
                    <w:pStyle w:val="Compact"/>
                    <w:jc w:val="right"/>
                    <w:jc w:val="center"/>
                  </w:pPr>
                  <w:r>
                    <w:t xml:space="preserve">7.00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30</w:t>
                  </w:r>
                </w:p>
              </w:tc>
              <w:tc>
                <w:tcPr/>
                <w:p>
                  <w:pPr>
                    <w:pStyle w:val="Compact"/>
                    <w:jc w:val="right"/>
                    <w:jc w:val="center"/>
                  </w:pPr>
                  <w:r>
                    <w:t xml:space="preserve">4.115</w:t>
                  </w:r>
                </w:p>
              </w:tc>
              <w:tc>
                <w:tcPr/>
                <w:p>
                  <w:pPr>
                    <w:pStyle w:val="Compact"/>
                    <w:jc w:val="right"/>
                    <w:jc w:val="center"/>
                  </w:pPr>
                  <w:r>
                    <w:t xml:space="preserve">0.183</w:t>
                  </w:r>
                </w:p>
              </w:tc>
              <w:tc>
                <w:tcPr/>
                <w:p>
                  <w:pPr>
                    <w:pStyle w:val="Compact"/>
                    <w:jc w:val="right"/>
                    <w:jc w:val="center"/>
                  </w:pPr>
                  <w:r>
                    <w:t xml:space="preserve">3.8</w:t>
                  </w:r>
                </w:p>
              </w:tc>
              <w:tc>
                <w:tcPr/>
                <w:p>
                  <w:pPr>
                    <w:pStyle w:val="Compact"/>
                    <w:jc w:val="right"/>
                    <w:jc w:val="center"/>
                  </w:pPr>
                  <w:r>
                    <w:t xml:space="preserve">4.125</w:t>
                  </w:r>
                </w:p>
              </w:tc>
              <w:tc>
                <w:tcPr/>
                <w:p>
                  <w:pPr>
                    <w:pStyle w:val="Compact"/>
                    <w:jc w:val="right"/>
                    <w:jc w:val="center"/>
                  </w:pPr>
                  <w:r>
                    <w:t xml:space="preserve">4.40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30</w:t>
                  </w:r>
                </w:p>
              </w:tc>
              <w:tc>
                <w:tcPr/>
                <w:p>
                  <w:pPr>
                    <w:pStyle w:val="Compact"/>
                    <w:jc w:val="right"/>
                    <w:jc w:val="center"/>
                  </w:pPr>
                  <w:r>
                    <w:t xml:space="preserve">3.667</w:t>
                  </w:r>
                </w:p>
              </w:tc>
              <w:tc>
                <w:tcPr/>
                <w:p>
                  <w:pPr>
                    <w:pStyle w:val="Compact"/>
                    <w:jc w:val="right"/>
                    <w:jc w:val="center"/>
                  </w:pPr>
                  <w:r>
                    <w:t xml:space="preserve">4.205</w:t>
                  </w:r>
                </w:p>
              </w:tc>
              <w:tc>
                <w:tcPr/>
                <w:p>
                  <w:pPr>
                    <w:pStyle w:val="Compact"/>
                    <w:jc w:val="right"/>
                    <w:jc w:val="center"/>
                  </w:pPr>
                  <w:r>
                    <w:t xml:space="preserve">0.0</w:t>
                  </w:r>
                </w:p>
              </w:tc>
              <w:tc>
                <w:tcPr/>
                <w:p>
                  <w:pPr>
                    <w:pStyle w:val="Compact"/>
                    <w:jc w:val="right"/>
                    <w:jc w:val="center"/>
                  </w:pPr>
                  <w:r>
                    <w:t xml:space="preserve">2.000</w:t>
                  </w:r>
                </w:p>
              </w:tc>
              <w:tc>
                <w:tcPr/>
                <w:p>
                  <w:pPr>
                    <w:pStyle w:val="Compact"/>
                    <w:jc w:val="right"/>
                    <w:jc w:val="center"/>
                  </w:pPr>
                  <w:r>
                    <w:t xml:space="preserve">13.00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30</w:t>
                  </w:r>
                </w:p>
              </w:tc>
              <w:tc>
                <w:tcPr/>
                <w:p>
                  <w:pPr>
                    <w:pStyle w:val="Compact"/>
                    <w:jc w:val="right"/>
                    <w:jc w:val="center"/>
                  </w:pPr>
                  <w:r>
                    <w:t xml:space="preserve">1.870</w:t>
                  </w:r>
                </w:p>
              </w:tc>
              <w:tc>
                <w:tcPr/>
                <w:p>
                  <w:pPr>
                    <w:pStyle w:val="Compact"/>
                    <w:jc w:val="right"/>
                    <w:jc w:val="center"/>
                  </w:pPr>
                  <w:r>
                    <w:t xml:space="preserve">0.500</w:t>
                  </w:r>
                </w:p>
              </w:tc>
              <w:tc>
                <w:tcPr/>
                <w:p>
                  <w:pPr>
                    <w:pStyle w:val="Compact"/>
                    <w:jc w:val="right"/>
                    <w:jc w:val="center"/>
                  </w:pPr>
                  <w:r>
                    <w:t xml:space="preserve">1.0</w:t>
                  </w:r>
                </w:p>
              </w:tc>
              <w:tc>
                <w:tcPr/>
                <w:p>
                  <w:pPr>
                    <w:pStyle w:val="Compact"/>
                    <w:jc w:val="right"/>
                    <w:jc w:val="center"/>
                  </w:pPr>
                  <w:r>
                    <w:t xml:space="preserve">1.825</w:t>
                  </w:r>
                </w:p>
              </w:tc>
              <w:tc>
                <w:tcPr/>
                <w:p>
                  <w:pPr>
                    <w:pStyle w:val="Compact"/>
                    <w:jc w:val="right"/>
                    <w:jc w:val="center"/>
                  </w:pPr>
                  <w:r>
                    <w:t xml:space="preserve">2.85</w:t>
                  </w:r>
                </w:p>
              </w:tc>
            </w:tr>
          </w:tbl>
          <w:bookmarkEnd w:id="2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 w:name="tbl-desc-nd"/>
          <w:p>
            <w:pPr>
              <w:jc w:val="center"/>
            </w:pPr>
            <w:pPr>
              <w:jc w:val="left"/>
              <w:spacing w:before="200"/>
              <w:pStyle w:val="ImageCaption"/>
            </w:pPr>
            <w:r>
              <w:t xml:space="preserve">Table 3: Descriptive statistics per condition, English neighbourhood-density contrast (R engine).</w:t>
            </w:r>
          </w:p>
          <w:tbl>
            <w:tblPr>
              <w:tblStyle w:val="Table"/>
              <w:tblW w:type="pct" w:w="5000"/>
              <w:tblLayout w:type="fixed"/>
              <w:tblLook w:firstRow="1" w:lastRow="0" w:firstColumn="0" w:lastColumn="0" w:noHBand="0" w:noVBand="0" w:val="0020"/>
            </w:tblPr>
            <w:tblGrid>
              <w:gridCol w:w="2342"/>
              <w:gridCol w:w="1896"/>
              <w:gridCol w:w="334"/>
              <w:gridCol w:w="669"/>
              <w:gridCol w:w="669"/>
              <w:gridCol w:w="557"/>
              <w:gridCol w:w="780"/>
              <w:gridCol w:w="669"/>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dense neighbourhood</w:t>
                  </w:r>
                </w:p>
              </w:tc>
              <w:tc>
                <w:tcPr/>
                <w:p>
                  <w:pPr>
                    <w:pStyle w:val="Compact"/>
                    <w:jc w:val="left"/>
                    <w:jc w:val="center"/>
                  </w:pPr>
                  <w:r>
                    <w:t xml:space="preserve">Length (letters)</w:t>
                  </w:r>
                </w:p>
              </w:tc>
              <w:tc>
                <w:tcPr/>
                <w:p>
                  <w:pPr>
                    <w:pStyle w:val="Compact"/>
                    <w:jc w:val="right"/>
                    <w:jc w:val="center"/>
                  </w:pPr>
                  <w:r>
                    <w:t xml:space="preserve">24</w:t>
                  </w:r>
                </w:p>
              </w:tc>
              <w:tc>
                <w:tcPr/>
                <w:p>
                  <w:pPr>
                    <w:pStyle w:val="Compact"/>
                    <w:jc w:val="right"/>
                    <w:jc w:val="center"/>
                  </w:pPr>
                  <w:r>
                    <w:t xml:space="preserve">3.792</w:t>
                  </w:r>
                </w:p>
              </w:tc>
              <w:tc>
                <w:tcPr/>
                <w:p>
                  <w:pPr>
                    <w:pStyle w:val="Compact"/>
                    <w:jc w:val="right"/>
                    <w:jc w:val="center"/>
                  </w:pPr>
                  <w:r>
                    <w:t xml:space="preserve">0.884</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6.00</w:t>
                  </w:r>
                </w:p>
              </w:tc>
            </w:tr>
            <w:tr>
              <w:tc>
                <w:tcPr/>
                <w:p>
                  <w:pPr>
                    <w:pStyle w:val="Compact"/>
                    <w:jc w:val="left"/>
                    <w:jc w:val="center"/>
                  </w:pPr>
                  <w:r>
                    <w:t xml:space="preserve">dense neighbourhood</w:t>
                  </w:r>
                </w:p>
              </w:tc>
              <w:tc>
                <w:tcPr/>
                <w:p>
                  <w:pPr>
                    <w:pStyle w:val="Compact"/>
                    <w:jc w:val="left"/>
                    <w:jc w:val="center"/>
                  </w:pPr>
                  <w:r>
                    <w:t xml:space="preserve">Frequency (Zipf)</w:t>
                  </w:r>
                </w:p>
              </w:tc>
              <w:tc>
                <w:tcPr/>
                <w:p>
                  <w:pPr>
                    <w:pStyle w:val="Compact"/>
                    <w:jc w:val="right"/>
                    <w:jc w:val="center"/>
                  </w:pPr>
                  <w:r>
                    <w:t xml:space="preserve">24</w:t>
                  </w:r>
                </w:p>
              </w:tc>
              <w:tc>
                <w:tcPr/>
                <w:p>
                  <w:pPr>
                    <w:pStyle w:val="Compact"/>
                    <w:jc w:val="right"/>
                    <w:jc w:val="center"/>
                  </w:pPr>
                  <w:r>
                    <w:t xml:space="preserve">4.700</w:t>
                  </w:r>
                </w:p>
              </w:tc>
              <w:tc>
                <w:tcPr/>
                <w:p>
                  <w:pPr>
                    <w:pStyle w:val="Compact"/>
                    <w:jc w:val="right"/>
                    <w:jc w:val="center"/>
                  </w:pPr>
                  <w:r>
                    <w:t xml:space="preserve">0.665</w:t>
                  </w:r>
                </w:p>
              </w:tc>
              <w:tc>
                <w:tcPr/>
                <w:p>
                  <w:pPr>
                    <w:pStyle w:val="Compact"/>
                    <w:jc w:val="right"/>
                    <w:jc w:val="center"/>
                  </w:pPr>
                  <w:r>
                    <w:t xml:space="preserve">3.85</w:t>
                  </w:r>
                </w:p>
              </w:tc>
              <w:tc>
                <w:tcPr/>
                <w:p>
                  <w:pPr>
                    <w:pStyle w:val="Compact"/>
                    <w:jc w:val="right"/>
                    <w:jc w:val="center"/>
                  </w:pPr>
                  <w:r>
                    <w:t xml:space="preserve">4.580</w:t>
                  </w:r>
                </w:p>
              </w:tc>
              <w:tc>
                <w:tcPr/>
                <w:p>
                  <w:pPr>
                    <w:pStyle w:val="Compact"/>
                    <w:jc w:val="right"/>
                    <w:jc w:val="center"/>
                  </w:pPr>
                  <w:r>
                    <w:t xml:space="preserve">6.13</w:t>
                  </w:r>
                </w:p>
              </w:tc>
            </w:tr>
            <w:tr>
              <w:tc>
                <w:tcPr/>
                <w:p>
                  <w:pPr>
                    <w:pStyle w:val="Compact"/>
                    <w:jc w:val="left"/>
                    <w:jc w:val="center"/>
                  </w:pPr>
                  <w:r>
                    <w:t xml:space="preserve">dense neighbourhood</w:t>
                  </w:r>
                </w:p>
              </w:tc>
              <w:tc>
                <w:tcPr/>
                <w:p>
                  <w:pPr>
                    <w:pStyle w:val="Compact"/>
                    <w:jc w:val="left"/>
                    <w:jc w:val="center"/>
                  </w:pPr>
                  <w:r>
                    <w:t xml:space="preserve">Neighbourhood N</w:t>
                  </w:r>
                </w:p>
              </w:tc>
              <w:tc>
                <w:tcPr/>
                <w:p>
                  <w:pPr>
                    <w:pStyle w:val="Compact"/>
                    <w:jc w:val="right"/>
                    <w:jc w:val="center"/>
                  </w:pPr>
                  <w:r>
                    <w:t xml:space="preserve">24</w:t>
                  </w:r>
                </w:p>
              </w:tc>
              <w:tc>
                <w:tcPr/>
                <w:p>
                  <w:pPr>
                    <w:pStyle w:val="Compact"/>
                    <w:jc w:val="right"/>
                    <w:jc w:val="center"/>
                  </w:pPr>
                  <w:r>
                    <w:t xml:space="preserve">8.708</w:t>
                  </w:r>
                </w:p>
              </w:tc>
              <w:tc>
                <w:tcPr/>
                <w:p>
                  <w:pPr>
                    <w:pStyle w:val="Compact"/>
                    <w:jc w:val="right"/>
                    <w:jc w:val="center"/>
                  </w:pPr>
                  <w:r>
                    <w:t xml:space="preserve">4.217</w:t>
                  </w:r>
                </w:p>
              </w:tc>
              <w:tc>
                <w:tcPr/>
                <w:p>
                  <w:pPr>
                    <w:pStyle w:val="Compact"/>
                    <w:jc w:val="right"/>
                    <w:jc w:val="center"/>
                  </w:pPr>
                  <w:r>
                    <w:t xml:space="preserve">5.00</w:t>
                  </w:r>
                </w:p>
              </w:tc>
              <w:tc>
                <w:tcPr/>
                <w:p>
                  <w:pPr>
                    <w:pStyle w:val="Compact"/>
                    <w:jc w:val="right"/>
                    <w:jc w:val="center"/>
                  </w:pPr>
                  <w:r>
                    <w:t xml:space="preserve">7.500</w:t>
                  </w:r>
                </w:p>
              </w:tc>
              <w:tc>
                <w:tcPr/>
                <w:p>
                  <w:pPr>
                    <w:pStyle w:val="Compact"/>
                    <w:jc w:val="right"/>
                    <w:jc w:val="center"/>
                  </w:pPr>
                  <w:r>
                    <w:t xml:space="preserve">23.00</w:t>
                  </w:r>
                </w:p>
              </w:tc>
            </w:tr>
            <w:tr>
              <w:tc>
                <w:tcPr/>
                <w:p>
                  <w:pPr>
                    <w:pStyle w:val="Compact"/>
                    <w:jc w:val="left"/>
                    <w:jc w:val="center"/>
                  </w:pPr>
                  <w:r>
                    <w:t xml:space="preserve">dense neighbourhood</w:t>
                  </w:r>
                </w:p>
              </w:tc>
              <w:tc>
                <w:tcPr/>
                <w:p>
                  <w:pPr>
                    <w:pStyle w:val="Compact"/>
                    <w:jc w:val="left"/>
                    <w:jc w:val="center"/>
                  </w:pPr>
                  <w:r>
                    <w:t xml:space="preserve">OLD20</w:t>
                  </w:r>
                </w:p>
              </w:tc>
              <w:tc>
                <w:tcPr/>
                <w:p>
                  <w:pPr>
                    <w:pStyle w:val="Compact"/>
                    <w:jc w:val="right"/>
                    <w:jc w:val="center"/>
                  </w:pPr>
                  <w:r>
                    <w:t xml:space="preserve">24</w:t>
                  </w:r>
                </w:p>
              </w:tc>
              <w:tc>
                <w:tcPr/>
                <w:p>
                  <w:pPr>
                    <w:pStyle w:val="Compact"/>
                    <w:jc w:val="right"/>
                    <w:jc w:val="center"/>
                  </w:pPr>
                  <w:r>
                    <w:t xml:space="preserve">1.438</w:t>
                  </w:r>
                </w:p>
              </w:tc>
              <w:tc>
                <w:tcPr/>
                <w:p>
                  <w:pPr>
                    <w:pStyle w:val="Compact"/>
                    <w:jc w:val="right"/>
                    <w:jc w:val="center"/>
                  </w:pPr>
                  <w:r>
                    <w:t xml:space="preserve">0.227</w:t>
                  </w:r>
                </w:p>
              </w:tc>
              <w:tc>
                <w:tcPr/>
                <w:p>
                  <w:pPr>
                    <w:pStyle w:val="Compact"/>
                    <w:jc w:val="right"/>
                    <w:jc w:val="center"/>
                  </w:pPr>
                  <w:r>
                    <w:t xml:space="preserve">1.00</w:t>
                  </w:r>
                </w:p>
              </w:tc>
              <w:tc>
                <w:tcPr/>
                <w:p>
                  <w:pPr>
                    <w:pStyle w:val="Compact"/>
                    <w:jc w:val="right"/>
                    <w:jc w:val="center"/>
                  </w:pPr>
                  <w:r>
                    <w:t xml:space="preserve">1.500</w:t>
                  </w:r>
                </w:p>
              </w:tc>
              <w:tc>
                <w:tcPr/>
                <w:p>
                  <w:pPr>
                    <w:pStyle w:val="Compact"/>
                    <w:jc w:val="right"/>
                    <w:jc w:val="center"/>
                  </w:pPr>
                  <w:r>
                    <w:t xml:space="preserve">1.75</w:t>
                  </w:r>
                </w:p>
              </w:tc>
            </w:tr>
            <w:tr>
              <w:tc>
                <w:tcPr/>
                <w:p>
                  <w:pPr>
                    <w:pStyle w:val="Compact"/>
                    <w:jc w:val="left"/>
                    <w:jc w:val="center"/>
                  </w:pPr>
                  <w:r>
                    <w:t xml:space="preserve">sparse neighbourhood</w:t>
                  </w:r>
                </w:p>
              </w:tc>
              <w:tc>
                <w:tcPr/>
                <w:p>
                  <w:pPr>
                    <w:pStyle w:val="Compact"/>
                    <w:jc w:val="left"/>
                    <w:jc w:val="center"/>
                  </w:pPr>
                  <w:r>
                    <w:t xml:space="preserve">Length (letters)</w:t>
                  </w:r>
                </w:p>
              </w:tc>
              <w:tc>
                <w:tcPr/>
                <w:p>
                  <w:pPr>
                    <w:pStyle w:val="Compact"/>
                    <w:jc w:val="right"/>
                    <w:jc w:val="center"/>
                  </w:pPr>
                  <w:r>
                    <w:t xml:space="preserve">24</w:t>
                  </w:r>
                </w:p>
              </w:tc>
              <w:tc>
                <w:tcPr/>
                <w:p>
                  <w:pPr>
                    <w:pStyle w:val="Compact"/>
                    <w:jc w:val="right"/>
                    <w:jc w:val="center"/>
                  </w:pPr>
                  <w:r>
                    <w:t xml:space="preserve">3.833</w:t>
                  </w:r>
                </w:p>
              </w:tc>
              <w:tc>
                <w:tcPr/>
                <w:p>
                  <w:pPr>
                    <w:pStyle w:val="Compact"/>
                    <w:jc w:val="right"/>
                    <w:jc w:val="center"/>
                  </w:pPr>
                  <w:r>
                    <w:t xml:space="preserve">0.761</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5.00</w:t>
                  </w:r>
                </w:p>
              </w:tc>
            </w:tr>
            <w:tr>
              <w:tc>
                <w:tcPr/>
                <w:p>
                  <w:pPr>
                    <w:pStyle w:val="Compact"/>
                    <w:jc w:val="left"/>
                    <w:jc w:val="center"/>
                  </w:pPr>
                  <w:r>
                    <w:t xml:space="preserve">sparse neighbourhood</w:t>
                  </w:r>
                </w:p>
              </w:tc>
              <w:tc>
                <w:tcPr/>
                <w:p>
                  <w:pPr>
                    <w:pStyle w:val="Compact"/>
                    <w:jc w:val="left"/>
                    <w:jc w:val="center"/>
                  </w:pPr>
                  <w:r>
                    <w:t xml:space="preserve">Frequency (Zipf)</w:t>
                  </w:r>
                </w:p>
              </w:tc>
              <w:tc>
                <w:tcPr/>
                <w:p>
                  <w:pPr>
                    <w:pStyle w:val="Compact"/>
                    <w:jc w:val="right"/>
                    <w:jc w:val="center"/>
                  </w:pPr>
                  <w:r>
                    <w:t xml:space="preserve">24</w:t>
                  </w:r>
                </w:p>
              </w:tc>
              <w:tc>
                <w:tcPr/>
                <w:p>
                  <w:pPr>
                    <w:pStyle w:val="Compact"/>
                    <w:jc w:val="right"/>
                    <w:jc w:val="center"/>
                  </w:pPr>
                  <w:r>
                    <w:t xml:space="preserve">4.570</w:t>
                  </w:r>
                </w:p>
              </w:tc>
              <w:tc>
                <w:tcPr/>
                <w:p>
                  <w:pPr>
                    <w:pStyle w:val="Compact"/>
                    <w:jc w:val="right"/>
                    <w:jc w:val="center"/>
                  </w:pPr>
                  <w:r>
                    <w:t xml:space="preserve">0.467</w:t>
                  </w:r>
                </w:p>
              </w:tc>
              <w:tc>
                <w:tcPr/>
                <w:p>
                  <w:pPr>
                    <w:pStyle w:val="Compact"/>
                    <w:jc w:val="right"/>
                    <w:jc w:val="center"/>
                  </w:pPr>
                  <w:r>
                    <w:t xml:space="preserve">4.04</w:t>
                  </w:r>
                </w:p>
              </w:tc>
              <w:tc>
                <w:tcPr/>
                <w:p>
                  <w:pPr>
                    <w:pStyle w:val="Compact"/>
                    <w:jc w:val="right"/>
                    <w:jc w:val="center"/>
                  </w:pPr>
                  <w:r>
                    <w:t xml:space="preserve">4.475</w:t>
                  </w:r>
                </w:p>
              </w:tc>
              <w:tc>
                <w:tcPr/>
                <w:p>
                  <w:pPr>
                    <w:pStyle w:val="Compact"/>
                    <w:jc w:val="right"/>
                    <w:jc w:val="center"/>
                  </w:pPr>
                  <w:r>
                    <w:t xml:space="preserve">5.36</w:t>
                  </w:r>
                </w:p>
              </w:tc>
            </w:tr>
            <w:tr>
              <w:tc>
                <w:tcPr/>
                <w:p>
                  <w:pPr>
                    <w:pStyle w:val="Compact"/>
                    <w:jc w:val="left"/>
                    <w:jc w:val="center"/>
                  </w:pPr>
                  <w:r>
                    <w:t xml:space="preserve">sparse neighbourhood</w:t>
                  </w:r>
                </w:p>
              </w:tc>
              <w:tc>
                <w:tcPr/>
                <w:p>
                  <w:pPr>
                    <w:pStyle w:val="Compact"/>
                    <w:jc w:val="left"/>
                    <w:jc w:val="center"/>
                  </w:pPr>
                  <w:r>
                    <w:t xml:space="preserve">Neighbourhood N</w:t>
                  </w:r>
                </w:p>
              </w:tc>
              <w:tc>
                <w:tcPr/>
                <w:p>
                  <w:pPr>
                    <w:pStyle w:val="Compact"/>
                    <w:jc w:val="right"/>
                    <w:jc w:val="center"/>
                  </w:pPr>
                  <w:r>
                    <w:t xml:space="preserve">24</w:t>
                  </w:r>
                </w:p>
              </w:tc>
              <w:tc>
                <w:tcPr/>
                <w:p>
                  <w:pPr>
                    <w:pStyle w:val="Compact"/>
                    <w:jc w:val="right"/>
                    <w:jc w:val="center"/>
                  </w:pPr>
                  <w:r>
                    <w:t xml:space="preserve">0.583</w:t>
                  </w:r>
                </w:p>
              </w:tc>
              <w:tc>
                <w:tcPr/>
                <w:p>
                  <w:pPr>
                    <w:pStyle w:val="Compact"/>
                    <w:jc w:val="right"/>
                    <w:jc w:val="center"/>
                  </w:pPr>
                  <w:r>
                    <w:t xml:space="preserve">0.504</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r>
            <w:tr>
              <w:tc>
                <w:tcPr/>
                <w:p>
                  <w:pPr>
                    <w:pStyle w:val="Compact"/>
                    <w:jc w:val="left"/>
                    <w:jc w:val="center"/>
                  </w:pPr>
                  <w:r>
                    <w:t xml:space="preserve">sparse neighbourhood</w:t>
                  </w:r>
                </w:p>
              </w:tc>
              <w:tc>
                <w:tcPr/>
                <w:p>
                  <w:pPr>
                    <w:pStyle w:val="Compact"/>
                    <w:jc w:val="left"/>
                    <w:jc w:val="center"/>
                  </w:pPr>
                  <w:r>
                    <w:t xml:space="preserve">OLD20</w:t>
                  </w:r>
                </w:p>
              </w:tc>
              <w:tc>
                <w:tcPr/>
                <w:p>
                  <w:pPr>
                    <w:pStyle w:val="Compact"/>
                    <w:jc w:val="right"/>
                    <w:jc w:val="center"/>
                  </w:pPr>
                  <w:r>
                    <w:t xml:space="preserve">24</w:t>
                  </w:r>
                </w:p>
              </w:tc>
              <w:tc>
                <w:tcPr/>
                <w:p>
                  <w:pPr>
                    <w:pStyle w:val="Compact"/>
                    <w:jc w:val="right"/>
                    <w:jc w:val="center"/>
                  </w:pPr>
                  <w:r>
                    <w:t xml:space="preserve">1.958</w:t>
                  </w:r>
                </w:p>
              </w:tc>
              <w:tc>
                <w:tcPr/>
                <w:p>
                  <w:pPr>
                    <w:pStyle w:val="Compact"/>
                    <w:jc w:val="right"/>
                    <w:jc w:val="center"/>
                  </w:pPr>
                  <w:r>
                    <w:t xml:space="preserve">0.260</w:t>
                  </w:r>
                </w:p>
              </w:tc>
              <w:tc>
                <w:tcPr/>
                <w:p>
                  <w:pPr>
                    <w:pStyle w:val="Compact"/>
                    <w:jc w:val="right"/>
                    <w:jc w:val="center"/>
                  </w:pPr>
                  <w:r>
                    <w:t xml:space="preserve">1.40</w:t>
                  </w:r>
                </w:p>
              </w:tc>
              <w:tc>
                <w:tcPr/>
                <w:p>
                  <w:pPr>
                    <w:pStyle w:val="Compact"/>
                    <w:jc w:val="right"/>
                    <w:jc w:val="center"/>
                  </w:pPr>
                  <w:r>
                    <w:t xml:space="preserve">1.900</w:t>
                  </w:r>
                </w:p>
              </w:tc>
              <w:tc>
                <w:tcPr/>
                <w:p>
                  <w:pPr>
                    <w:pStyle w:val="Compact"/>
                    <w:jc w:val="right"/>
                    <w:jc w:val="center"/>
                  </w:pPr>
                  <w:r>
                    <w:t xml:space="preserve">2.80</w:t>
                  </w:r>
                </w:p>
              </w:tc>
            </w:tr>
          </w:tbl>
          <w:bookmarkEnd w:id="23"/>
          <w:p/>
        </w:tc>
      </w:tr>
    </w:tbl>
    <w:p>
      <w:pPr>
        <w:pStyle w:val="BodyText"/>
      </w:pPr>
      <w:r>
        <w:t xml:space="preserve">Finally, because the matcher is deterministic the two engines return the same</w:t>
      </w:r>
      <w:r>
        <w:t xml:space="preserve"> </w:t>
      </w:r>
      <w:r>
        <w:t xml:space="preserve">stimuli rather than merely similar ones. Across the four demonstrations</w:t>
      </w:r>
      <w:r>
        <w:t xml:space="preserve"> </w:t>
      </w:r>
      <w:r>
        <w:t xml:space="preserve">all 216 of the selected</w:t>
      </w:r>
      <w:r>
        <w:t xml:space="preserve"> </w:t>
      </w:r>
      <w:r>
        <w:t xml:space="preserve">(word, condition) pairs were identical between the R and the Python engine, and</w:t>
      </w:r>
      <w:r>
        <w:t xml:space="preserve"> </w:t>
      </w:r>
      <w:r>
        <w:t xml:space="preserve">every statistic they report agrees to the precision shown.</w:t>
      </w:r>
      <w:r>
        <w:t xml:space="preserve"> </w:t>
      </w:r>
      <w:hyperlink w:anchor="tbl-parity">
        <w:r>
          <w:rPr>
            <w:rStyle w:val="Hyperlink"/>
          </w:rPr>
          <w:t xml:space="preserve">Table 4</w:t>
        </w:r>
      </w:hyperlink>
      <w:r>
        <w:t xml:space="preserve"> </w:t>
      </w:r>
      <w:r>
        <w:t xml:space="preserve">makes this</w:t>
      </w:r>
      <w:r>
        <w:t xml:space="preserve"> </w:t>
      </w:r>
      <w:r>
        <w:t xml:space="preserve">concrete for the English frequency contrast: the standardised mean difference of</w:t>
      </w:r>
      <w:r>
        <w:t xml:space="preserve"> </w:t>
      </w:r>
      <w:r>
        <w:t xml:space="preserve">each dimension, computed independently in the two languages, coincides exactly.</w:t>
      </w:r>
    </w:p>
    <w:tbl>
      <w:tblPr>
        <w:tblStyle w:val="Table"/>
        <w:tblW w:type="pct" w:w="5000"/>
        <w:tblLayout w:type="fixed"/>
        <w:tblLook w:firstRow="0" w:lastRow="0" w:firstColumn="0" w:lastColumn="0" w:noHBand="0" w:noVBand="0" w:val="0000"/>
      </w:tblPr>
      <w:tblGrid>
        <w:gridCol w:w="7920"/>
      </w:tblGrid>
      <w:tr>
        <w:tc>
          <w:tcPr/>
          <w:bookmarkStart w:id="24" w:name="tbl-parity"/>
          <w:p>
            <w:pPr>
              <w:jc w:val="center"/>
            </w:pPr>
            <w:pPr>
              <w:jc w:val="left"/>
              <w:spacing w:before="200"/>
              <w:pStyle w:val="ImageCaption"/>
            </w:pPr>
            <w:r>
              <w:t xml:space="preserve">Table 4: Cross-engine parity for the English frequency contrast. Each dimension’s standardised mean difference against the anchor, computed independently by the R engine and the Python engine. The columns are identical to three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Dimension</w:t>
                  </w:r>
                </w:p>
              </w:tc>
              <w:tc>
                <w:tcPr/>
                <w:p>
                  <w:pPr>
                    <w:pStyle w:val="Compact"/>
                    <w:jc w:val="right"/>
                    <w:jc w:val="center"/>
                  </w:pPr>
                  <w:r>
                    <w:t xml:space="preserve">Cohen’s d (R engine)</w:t>
                  </w:r>
                </w:p>
              </w:tc>
              <w:tc>
                <w:tcPr/>
                <w:p>
                  <w:pPr>
                    <w:pStyle w:val="Compact"/>
                    <w:jc w:val="right"/>
                    <w:jc w:val="center"/>
                  </w:pPr>
                  <w:r>
                    <w:t xml:space="preserve">Cohen’s d (Python engine)</w:t>
                  </w:r>
                </w:p>
              </w:tc>
            </w:tr>
            <w:tr>
              <w:tc>
                <w:tcPr/>
                <w:p>
                  <w:pPr>
                    <w:pStyle w:val="Compact"/>
                    <w:jc w:val="left"/>
                    <w:jc w:val="center"/>
                  </w:pPr>
                  <w:r>
                    <w:t xml:space="preserve">Length (letters)</w:t>
                  </w:r>
                </w:p>
              </w:tc>
              <w:tc>
                <w:tcPr/>
                <w:p>
                  <w:pPr>
                    <w:pStyle w:val="Compact"/>
                    <w:jc w:val="right"/>
                    <w:jc w:val="center"/>
                  </w:pPr>
                  <w:r>
                    <w:t xml:space="preserve">0.000</w:t>
                  </w:r>
                </w:p>
              </w:tc>
              <w:tc>
                <w:tcPr/>
                <w:p>
                  <w:pPr>
                    <w:pStyle w:val="Compact"/>
                    <w:jc w:val="right"/>
                    <w:jc w:val="center"/>
                  </w:pPr>
                  <w:r>
                    <w:t xml:space="preserve">0.000</w:t>
                  </w:r>
                </w:p>
              </w:tc>
            </w:tr>
            <w:tr>
              <w:tc>
                <w:tcPr/>
                <w:p>
                  <w:pPr>
                    <w:pStyle w:val="Compact"/>
                    <w:jc w:val="left"/>
                    <w:jc w:val="center"/>
                  </w:pPr>
                  <w:r>
                    <w:t xml:space="preserve">Frequency (Zipf)</w:t>
                  </w:r>
                </w:p>
              </w:tc>
              <w:tc>
                <w:tcPr/>
                <w:p>
                  <w:pPr>
                    <w:pStyle w:val="Compact"/>
                    <w:jc w:val="right"/>
                    <w:jc w:val="center"/>
                  </w:pPr>
                  <w:r>
                    <w:t xml:space="preserve">4.670</w:t>
                  </w:r>
                </w:p>
              </w:tc>
              <w:tc>
                <w:tcPr/>
                <w:p>
                  <w:pPr>
                    <w:pStyle w:val="Compact"/>
                    <w:jc w:val="right"/>
                    <w:jc w:val="center"/>
                  </w:pPr>
                  <w:r>
                    <w:t xml:space="preserve">4.670</w:t>
                  </w:r>
                </w:p>
              </w:tc>
            </w:tr>
            <w:tr>
              <w:tc>
                <w:tcPr/>
                <w:p>
                  <w:pPr>
                    <w:pStyle w:val="Compact"/>
                    <w:jc w:val="left"/>
                    <w:jc w:val="center"/>
                  </w:pPr>
                  <w:r>
                    <w:t xml:space="preserve">Neighbourhood N</w:t>
                  </w:r>
                </w:p>
              </w:tc>
              <w:tc>
                <w:tcPr/>
                <w:p>
                  <w:pPr>
                    <w:pStyle w:val="Compact"/>
                    <w:jc w:val="right"/>
                    <w:jc w:val="center"/>
                  </w:pPr>
                  <w:r>
                    <w:t xml:space="preserve">0.058</w:t>
                  </w:r>
                </w:p>
              </w:tc>
              <w:tc>
                <w:tcPr/>
                <w:p>
                  <w:pPr>
                    <w:pStyle w:val="Compact"/>
                    <w:jc w:val="right"/>
                    <w:jc w:val="center"/>
                  </w:pPr>
                  <w:r>
                    <w:t xml:space="preserve">0.058</w:t>
                  </w:r>
                </w:p>
              </w:tc>
            </w:tr>
            <w:tr>
              <w:tc>
                <w:tcPr/>
                <w:p>
                  <w:pPr>
                    <w:pStyle w:val="Compact"/>
                    <w:jc w:val="left"/>
                    <w:jc w:val="center"/>
                  </w:pPr>
                  <w:r>
                    <w:t xml:space="preserve">OLD20</w:t>
                  </w:r>
                </w:p>
              </w:tc>
              <w:tc>
                <w:tcPr/>
                <w:p>
                  <w:pPr>
                    <w:pStyle w:val="Compact"/>
                    <w:jc w:val="right"/>
                    <w:jc w:val="center"/>
                  </w:pPr>
                  <w:r>
                    <w:t xml:space="preserve">0.007</w:t>
                  </w:r>
                </w:p>
              </w:tc>
              <w:tc>
                <w:tcPr/>
                <w:p>
                  <w:pPr>
                    <w:pStyle w:val="Compact"/>
                    <w:jc w:val="right"/>
                    <w:jc w:val="center"/>
                  </w:pPr>
                  <w:r>
                    <w:t xml:space="preserve">0.007</w:t>
                  </w:r>
                </w:p>
              </w:tc>
            </w:tr>
          </w:tbl>
          <w:bookmarkEnd w:id="24"/>
          <w:p/>
        </w:tc>
      </w:tr>
    </w:tbl>
    <w:bookmarkEnd w:id="25"/>
    <w:bookmarkStart w:id="26" w:name="discussion"/>
    <w:p>
      <w:pPr>
        <w:pStyle w:val="Heading1"/>
      </w:pPr>
      <w:r>
        <w:t xml:space="preserve">Discussion</w:t>
      </w:r>
    </w:p>
    <w:p>
      <w:pPr>
        <w:pStyle w:val="FirstParagraph"/>
      </w:pPr>
      <w:r>
        <w:t xml:space="preserve">‘lexsync’</w:t>
      </w:r>
      <w:r>
        <w:t xml:space="preserve"> </w:t>
      </w:r>
      <w:r>
        <w:t xml:space="preserve">unifies steps that are usually performed in separate tools and separate</w:t>
      </w:r>
      <w:r>
        <w:t xml:space="preserve"> </w:t>
      </w:r>
      <w:r>
        <w:t xml:space="preserve">languages. Its contribution is integration rather than a single new capability:</w:t>
      </w:r>
      <w:r>
        <w:t xml:space="preserve"> </w:t>
      </w:r>
      <w:r>
        <w:t xml:space="preserve">multidimensional matching exists in</w:t>
      </w:r>
      <w:r>
        <w:t xml:space="preserve"> </w:t>
      </w:r>
      <w:r>
        <w:t xml:space="preserve">‘LexOPS’</w:t>
      </w:r>
      <w:r>
        <w:t xml:space="preserve"> </w:t>
      </w:r>
      <w:r>
        <w:t xml:space="preserve">and</w:t>
      </w:r>
      <w:r>
        <w:t xml:space="preserve"> </w:t>
      </w:r>
      <w:r>
        <w:t xml:space="preserve">‘LIBRA’</w:t>
      </w:r>
      <w:r>
        <w:t xml:space="preserve">, and precise</w:t>
      </w:r>
      <w:r>
        <w:t xml:space="preserve"> </w:t>
      </w:r>
      <w:r>
        <w:t xml:space="preserve">presentation exists in</w:t>
      </w:r>
      <w:r>
        <w:t xml:space="preserve"> </w:t>
      </w:r>
      <w:r>
        <w:t xml:space="preserve">‘PsychoPy’</w:t>
      </w:r>
      <w:r>
        <w:t xml:space="preserve"> </w:t>
      </w:r>
      <w:r>
        <w:t xml:space="preserve">and</w:t>
      </w:r>
      <w:r>
        <w:t xml:space="preserve"> </w:t>
      </w:r>
      <w:r>
        <w:t xml:space="preserve">‘OpenSesame’</w:t>
      </w:r>
      <w:r>
        <w:t xml:space="preserve">, but the path from a</w:t>
      </w:r>
      <w:r>
        <w:t xml:space="preserve"> </w:t>
      </w:r>
      <w:r>
        <w:t xml:space="preserve">multilingual corpus to a hardware-timed, cross-platform experiment has not before</w:t>
      </w:r>
      <w:r>
        <w:t xml:space="preserve"> </w:t>
      </w:r>
      <w:r>
        <w:t xml:space="preserve">been available as a single installable, dual-language tool. Two features are</w:t>
      </w:r>
      <w:r>
        <w:t xml:space="preserve"> </w:t>
      </w:r>
      <w:r>
        <w:t xml:space="preserve">worth emphasising. First, the deterministic matcher gives bit-for-bit agreement</w:t>
      </w:r>
      <w:r>
        <w:t xml:space="preserve"> </w:t>
      </w:r>
      <w:r>
        <w:t xml:space="preserve">between the R and Python engines, which means a laboratory can adopt</w:t>
      </w:r>
      <w:r>
        <w:t xml:space="preserve"> </w:t>
      </w:r>
      <w:r>
        <w:t xml:space="preserve">‘lexsync’</w:t>
      </w:r>
      <w:r>
        <w:t xml:space="preserve"> </w:t>
      </w:r>
      <w:r>
        <w:t xml:space="preserve">in</w:t>
      </w:r>
      <w:r>
        <w:t xml:space="preserve"> </w:t>
      </w:r>
      <w:r>
        <w:t xml:space="preserve">whichever ecosystem it prefers without fear of divergent stimuli. Second, the</w:t>
      </w:r>
      <w:r>
        <w:t xml:space="preserve"> </w:t>
      </w:r>
      <w:r>
        <w:t xml:space="preserve">‘PsychoPy’</w:t>
      </w:r>
      <w:r>
        <w:t xml:space="preserve"> </w:t>
      </w:r>
      <w:r>
        <w:t xml:space="preserve">export upgrades the sequence-ordered triggers of the original workflow</w:t>
      </w:r>
      <w:r>
        <w:t xml:space="preserve"> </w:t>
      </w:r>
      <w:r>
        <w:t xml:space="preserve">to genuine flip-locking, a concrete methodological improvement for ERP research.</w:t>
      </w:r>
    </w:p>
    <w:p>
      <w:pPr>
        <w:pStyle w:val="BodyText"/>
      </w:pPr>
      <w:r>
        <w:t xml:space="preserve">Several limitations should be stated plainly. The orthographic-neighbourhood</w:t>
      </w:r>
      <w:r>
        <w:t xml:space="preserve"> </w:t>
      </w:r>
      <w:r>
        <w:t xml:space="preserve">measures are defined for alphabetic scripts and require adaptation for</w:t>
      </w:r>
      <w:r>
        <w:t xml:space="preserve"> </w:t>
      </w:r>
      <w:r>
        <w:t xml:space="preserve">logographic languages. The</w:t>
      </w:r>
      <w:r>
        <w:t xml:space="preserve"> </w:t>
      </w:r>
      <w:r>
        <w:t xml:space="preserve">‘OpenSesame’</w:t>
      </w:r>
      <w:r>
        <w:t xml:space="preserve"> </w:t>
      </w:r>
      <w:r>
        <w:t xml:space="preserve">export is sequence-ordered rather than</w:t>
      </w:r>
      <w:r>
        <w:t xml:space="preserve"> </w:t>
      </w:r>
      <w:r>
        <w:t xml:space="preserve">flip-locked, reflecting the platform’s design; a photodiode check remains</w:t>
      </w:r>
      <w:r>
        <w:t xml:space="preserve"> </w:t>
      </w:r>
      <w:r>
        <w:t xml:space="preserve">advisable for any onset-critical study. The demonstrations use ten-thousand-word</w:t>
      </w:r>
      <w:r>
        <w:t xml:space="preserve"> </w:t>
      </w:r>
      <w:r>
        <w:t xml:space="preserve">lexica, which are adequate for illustration but smaller than a researcher would</w:t>
      </w:r>
      <w:r>
        <w:t xml:space="preserve"> </w:t>
      </w:r>
      <w:r>
        <w:t xml:space="preserve">use for a definitive neighbourhood calculation; larger corpora are fetched on</w:t>
      </w:r>
      <w:r>
        <w:t xml:space="preserve"> </w:t>
      </w:r>
      <w:r>
        <w:t xml:space="preserve">demand through the registry. Future work includes additional presentation targets,</w:t>
      </w:r>
      <w:r>
        <w:t xml:space="preserve"> </w:t>
      </w:r>
      <w:r>
        <w:t xml:space="preserve">a graphical interface and richer lexical dimensions such as concreteness and</w:t>
      </w:r>
      <w:r>
        <w:t xml:space="preserve"> </w:t>
      </w:r>
      <w:r>
        <w:t xml:space="preserve">age of acquisition, each of which slots into the existing module structure.</w:t>
      </w:r>
    </w:p>
    <w:bookmarkEnd w:id="26"/>
    <w:bookmarkStart w:id="28" w:name="availability-and-open-practices"/>
    <w:p>
      <w:pPr>
        <w:pStyle w:val="Heading1"/>
      </w:pPr>
      <w:r>
        <w:t xml:space="preserve">Availability and open practices</w:t>
      </w:r>
    </w:p>
    <w:p>
      <w:pPr>
        <w:pStyle w:val="FirstParagraph"/>
      </w:pPr>
      <w:r>
        <w:t xml:space="preserve">‘lexsync’</w:t>
      </w:r>
      <w:r>
        <w:t xml:space="preserve"> </w:t>
      </w:r>
      <w:r>
        <w:t xml:space="preserve">is available as an R package and a Python package, with a shared corpus</w:t>
      </w:r>
      <w:r>
        <w:t xml:space="preserve"> </w:t>
      </w:r>
      <w:r>
        <w:t xml:space="preserve">registry and the reproducible source of this manuscript. The code is released</w:t>
      </w:r>
      <w:r>
        <w:t xml:space="preserve"> </w:t>
      </w:r>
      <w:r>
        <w:t xml:space="preserve">under the MIT licence and the bundled corpus derivatives under CC BY-SA 4.0, with</w:t>
      </w:r>
      <w:r>
        <w:t xml:space="preserve"> </w:t>
      </w:r>
      <w:r>
        <w:t xml:space="preserve">full attribution and retrieval dates recorded alongside the data. The repository</w:t>
      </w:r>
      <w:r>
        <w:t xml:space="preserve"> </w:t>
      </w:r>
      <w:r>
        <w:t xml:space="preserve">URL in the package metadata is a placeholder pending public release.</w:t>
      </w:r>
    </w:p>
    <w:bookmarkStart w:id="27" w:name="extending-lexsync"/>
    <w:p>
      <w:pPr>
        <w:pStyle w:val="Heading2"/>
      </w:pPr>
      <w:r>
        <w:t xml:space="preserve">Extending lexsync</w:t>
      </w:r>
    </w:p>
    <w:p>
      <w:pPr>
        <w:pStyle w:val="FirstParagraph"/>
      </w:pPr>
      <w:r>
        <w:t xml:space="preserve">In keeping with the design, extensions have well-defined insertion points. To add</w:t>
      </w:r>
      <w:r>
        <w:t xml:space="preserve"> </w:t>
      </w:r>
      <w:r>
        <w:t xml:space="preserve">a lexical dimension, edit</w:t>
      </w:r>
      <w:r>
        <w:t xml:space="preserve"> </w:t>
      </w:r>
      <w:r>
        <w:rPr>
          <w:rStyle w:val="VerbatimChar"/>
        </w:rPr>
        <w:t xml:space="preserve">compute</w:t>
      </w:r>
      <w:r>
        <w:t xml:space="preserve">-style functions in</w:t>
      </w:r>
      <w:r>
        <w:t xml:space="preserve"> </w:t>
      </w:r>
      <w:r>
        <w:rPr>
          <w:rStyle w:val="VerbatimChar"/>
        </w:rPr>
        <w:t xml:space="preserve">querying</w:t>
      </w:r>
      <w:r>
        <w:t xml:space="preserve"> </w:t>
      </w:r>
      <w:r>
        <w:t xml:space="preserve">(</w:t>
      </w:r>
      <w:r>
        <w:rPr>
          <w:rStyle w:val="VerbatimChar"/>
        </w:rPr>
        <w:t xml:space="preserve">add_neighbourhood</w:t>
      </w:r>
      <w:r>
        <w:t xml:space="preserve"> </w:t>
      </w:r>
      <w:r>
        <w:t xml:space="preserve">and the dimension table in</w:t>
      </w:r>
      <w:r>
        <w:t xml:space="preserve"> </w:t>
      </w:r>
      <w:r>
        <w:rPr>
          <w:rStyle w:val="VerbatimChar"/>
        </w:rPr>
        <w:t xml:space="preserve">config/schema.yaml</w:t>
      </w:r>
      <w:r>
        <w:t xml:space="preserve">) in both packages. To add a</w:t>
      </w:r>
      <w:r>
        <w:t xml:space="preserve"> </w:t>
      </w:r>
      <w:r>
        <w:t xml:space="preserve">presentation target, add an</w:t>
      </w:r>
      <w:r>
        <w:t xml:space="preserve"> </w:t>
      </w:r>
      <w:r>
        <w:rPr>
          <w:rStyle w:val="VerbatimChar"/>
        </w:rPr>
        <w:t xml:space="preserve">export_&lt;target&gt;()</w:t>
      </w:r>
      <w:r>
        <w:t xml:space="preserve"> </w:t>
      </w:r>
      <w:r>
        <w:t xml:space="preserve">function in</w:t>
      </w:r>
      <w:r>
        <w:t xml:space="preserve"> </w:t>
      </w:r>
      <w:r>
        <w:rPr>
          <w:rStyle w:val="VerbatimChar"/>
        </w:rPr>
        <w:t xml:space="preserve">scripting</w:t>
      </w:r>
      <w:r>
        <w:t xml:space="preserve">. To add a</w:t>
      </w:r>
      <w:r>
        <w:t xml:space="preserve"> </w:t>
      </w:r>
      <w:r>
        <w:t xml:space="preserve">corpus or a language, add an entry to</w:t>
      </w:r>
      <w:r>
        <w:t xml:space="preserve"> </w:t>
      </w:r>
      <w:r>
        <w:rPr>
          <w:rStyle w:val="VerbatimChar"/>
        </w:rPr>
        <w:t xml:space="preserve">corpora/registry.yaml</w:t>
      </w:r>
      <w:r>
        <w:t xml:space="preserve">; no code change is</w:t>
      </w:r>
      <w:r>
        <w:t xml:space="preserve"> </w:t>
      </w:r>
      <w:r>
        <w:t xml:space="preserve">required for SUBTLEX-family or</w:t>
      </w:r>
      <w:r>
        <w:t xml:space="preserve"> </w:t>
      </w:r>
      <w:r>
        <w:t xml:space="preserve">‘wordfreq’</w:t>
      </w:r>
      <w:r>
        <w:t xml:space="preserve"> </w:t>
      </w:r>
      <w:r>
        <w:t xml:space="preserve">sources.</w:t>
      </w:r>
    </w:p>
    <w:bookmarkEnd w:id="27"/>
    <w:bookmarkEnd w:id="28"/>
    <w:bookmarkStart w:id="56" w:name="references"/>
    <w:p>
      <w:pPr>
        <w:pStyle w:val="Heading1"/>
      </w:pPr>
      <w:r>
        <w:t xml:space="preserve">References</w:t>
      </w:r>
    </w:p>
    <w:bookmarkStart w:id="55" w:name="refs"/>
    <w:bookmarkStart w:id="30" w:name="ref-brysbaert2009subtlexus"/>
    <w:p>
      <w:pPr>
        <w:pStyle w:val="Bibliography"/>
      </w:pPr>
      <w:r>
        <w:t xml:space="preserve">Brysbaert, Marc, and Boris New. 2009.</w:t>
      </w:r>
      <w:r>
        <w:t xml:space="preserve"> </w:t>
      </w:r>
      <w:r>
        <w:t xml:space="preserve">“Moving Beyond</w:t>
      </w:r>
      <w:r>
        <w:t xml:space="preserve"> </w:t>
      </w:r>
      <w:r>
        <w:t xml:space="preserve">Ku</w:t>
      </w:r>
      <w:r>
        <w:t xml:space="preserve">č</w:t>
      </w:r>
      <w:r>
        <w:t xml:space="preserve">era</w:t>
      </w:r>
      <w:r>
        <w:t xml:space="preserve"> </w:t>
      </w:r>
      <w:r>
        <w:t xml:space="preserve">and</w:t>
      </w:r>
      <w:r>
        <w:t xml:space="preserve"> </w:t>
      </w:r>
      <w:r>
        <w:t xml:space="preserve">Francis</w:t>
      </w:r>
      <w:r>
        <w:t xml:space="preserve">: A Critical Evaluation of Current Word Frequency Norms and the Introduction of a New and Improved Word Frequency Measure for</w:t>
      </w:r>
      <w:r>
        <w:t xml:space="preserve"> </w:t>
      </w:r>
      <w:r>
        <w:t xml:space="preserve">American</w:t>
      </w:r>
      <w:r>
        <w:t xml:space="preserve"> </w:t>
      </w:r>
      <w:r>
        <w:t xml:space="preserve">English</w:t>
      </w:r>
      <w:r>
        <w:t xml:space="preserve">.”</w:t>
      </w:r>
      <w:r>
        <w:t xml:space="preserve"> </w:t>
      </w:r>
      <w:r>
        <w:rPr>
          <w:i/>
          <w:iCs/>
        </w:rPr>
        <w:t xml:space="preserve">Behavior Research Methods</w:t>
      </w:r>
      <w:r>
        <w:t xml:space="preserve"> </w:t>
      </w:r>
      <w:r>
        <w:t xml:space="preserve">41 (4): 977–90.</w:t>
      </w:r>
      <w:r>
        <w:t xml:space="preserve"> </w:t>
      </w:r>
      <w:hyperlink r:id="rId29">
        <w:r>
          <w:rPr>
            <w:rStyle w:val="Hyperlink"/>
          </w:rPr>
          <w:t xml:space="preserve">https://doi.org/10.3758/BRM.41.4.977</w:t>
        </w:r>
      </w:hyperlink>
      <w:r>
        <w:t xml:space="preserve">.</w:t>
      </w:r>
    </w:p>
    <w:bookmarkEnd w:id="30"/>
    <w:bookmarkStart w:id="31" w:name="ref-coltheart1977access"/>
    <w:p>
      <w:pPr>
        <w:pStyle w:val="Bibliography"/>
      </w:pPr>
      <w:r>
        <w:t xml:space="preserve">Coltheart, Max, Eileen Davelaar, Jon Torfi Jonasson, and Derek Besner. 1977.</w:t>
      </w:r>
      <w:r>
        <w:t xml:space="preserve"> </w:t>
      </w:r>
      <w:r>
        <w:t xml:space="preserve">“Access to the Internal Lexicon.”</w:t>
      </w:r>
      <w:r>
        <w:t xml:space="preserve"> </w:t>
      </w:r>
      <w:r>
        <w:t xml:space="preserve">In</w:t>
      </w:r>
      <w:r>
        <w:t xml:space="preserve"> </w:t>
      </w:r>
      <w:r>
        <w:rPr>
          <w:i/>
          <w:iCs/>
        </w:rPr>
        <w:t xml:space="preserve">Attention and Performance</w:t>
      </w:r>
      <w:r>
        <w:rPr>
          <w:i/>
          <w:iCs/>
        </w:rPr>
        <w:t xml:space="preserve"> </w:t>
      </w:r>
      <w:r>
        <w:rPr>
          <w:i/>
          <w:iCs/>
        </w:rPr>
        <w:t xml:space="preserve">VI</w:t>
      </w:r>
      <w:r>
        <w:t xml:space="preserve">, edited by Stanislav Dornic. Erlbaum.</w:t>
      </w:r>
    </w:p>
    <w:bookmarkEnd w:id="31"/>
    <w:bookmarkStart w:id="32" w:name="ref-cuetos2011subtlexesp"/>
    <w:p>
      <w:pPr>
        <w:pStyle w:val="Bibliography"/>
      </w:pPr>
      <w:r>
        <w:t xml:space="preserve">Cuetos, Fernando, María González-Nosti, Analía Barbón, and Marc Brysbaert. 2011.</w:t>
      </w:r>
      <w:r>
        <w:t xml:space="preserve"> </w:t>
      </w:r>
      <w:r>
        <w:t xml:space="preserve">“</w:t>
      </w:r>
      <w:r>
        <w:t xml:space="preserve">SUBTLEX-ESP</w:t>
      </w:r>
      <w:r>
        <w:t xml:space="preserve">:</w:t>
      </w:r>
      <w:r>
        <w:t xml:space="preserve"> </w:t>
      </w:r>
      <w:r>
        <w:t xml:space="preserve">Spanish</w:t>
      </w:r>
      <w:r>
        <w:t xml:space="preserve"> </w:t>
      </w:r>
      <w:r>
        <w:t xml:space="preserve">Word Frequencies Based on Film Subtitles.”</w:t>
      </w:r>
      <w:r>
        <w:t xml:space="preserve"> </w:t>
      </w:r>
      <w:r>
        <w:rPr>
          <w:i/>
          <w:iCs/>
        </w:rPr>
        <w:t xml:space="preserve">Psic</w:t>
      </w:r>
      <w:r>
        <w:rPr>
          <w:i/>
          <w:iCs/>
        </w:rPr>
        <w:t xml:space="preserve">ó</w:t>
      </w:r>
      <w:r>
        <w:rPr>
          <w:i/>
          <w:iCs/>
        </w:rPr>
        <w:t xml:space="preserve">logica</w:t>
      </w:r>
      <w:r>
        <w:t xml:space="preserve"> </w:t>
      </w:r>
      <w:r>
        <w:t xml:space="preserve">32 (2): 133–43.</w:t>
      </w:r>
    </w:p>
    <w:bookmarkEnd w:id="32"/>
    <w:bookmarkStart w:id="34" w:name="ref-gonzalezalonso2025l3"/>
    <w:p>
      <w:pPr>
        <w:pStyle w:val="Bibliography"/>
      </w:pPr>
      <w:r>
        <w:t xml:space="preserve">González Alonso, Jorge, Pablo Bernabeu, Gabriella Silva, et al. 2025.</w:t>
      </w:r>
      <w:r>
        <w:t xml:space="preserve"> </w:t>
      </w:r>
      <w:r>
        <w:t xml:space="preserve">“Starting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 </w:t>
      </w:r>
      <w:r>
        <w:t xml:space="preserve">22 (1): 119–42.</w:t>
      </w:r>
      <w:r>
        <w:t xml:space="preserve"> </w:t>
      </w:r>
      <w:hyperlink r:id="rId33">
        <w:r>
          <w:rPr>
            <w:rStyle w:val="Hyperlink"/>
          </w:rPr>
          <w:t xml:space="preserve">https://doi.org/10.1080/14790718.2024.2415993</w:t>
        </w:r>
      </w:hyperlink>
      <w:r>
        <w:t xml:space="preserve">.</w:t>
      </w:r>
    </w:p>
    <w:bookmarkEnd w:id="34"/>
    <w:bookmarkStart w:id="36" w:name="ref-vanheuven2014subtlexuk"/>
    <w:p>
      <w:pPr>
        <w:pStyle w:val="Bibliography"/>
      </w:pPr>
      <w:r>
        <w:t xml:space="preserve">Heuven, Walter J. B. van, Pawel Mandera, Emmanuel Keuleers, and Marc Brysbaert. 2014.</w:t>
      </w:r>
      <w:r>
        <w:t xml:space="preserve"> </w:t>
      </w:r>
      <w:r>
        <w:t xml:space="preserve">“</w:t>
      </w:r>
      <w:r>
        <w:t xml:space="preserve">SUBTLEX-UK</w:t>
      </w:r>
      <w:r>
        <w:t xml:space="preserve">: A New and Improved Word Frequency Database for</w:t>
      </w:r>
      <w:r>
        <w:t xml:space="preserve"> </w:t>
      </w:r>
      <w:r>
        <w:t xml:space="preserve">British</w:t>
      </w:r>
      <w:r>
        <w:t xml:space="preserve"> </w:t>
      </w:r>
      <w:r>
        <w:t xml:space="preserve">English</w:t>
      </w:r>
      <w:r>
        <w:t xml:space="preserve">.”</w:t>
      </w:r>
      <w:r>
        <w:t xml:space="preserve"> </w:t>
      </w:r>
      <w:r>
        <w:rPr>
          <w:i/>
          <w:iCs/>
        </w:rPr>
        <w:t xml:space="preserve">Quarterly Journal of Experimental Psychology</w:t>
      </w:r>
      <w:r>
        <w:t xml:space="preserve"> </w:t>
      </w:r>
      <w:r>
        <w:t xml:space="preserve">67 (6): 1176–90.</w:t>
      </w:r>
      <w:r>
        <w:t xml:space="preserve"> </w:t>
      </w:r>
      <w:hyperlink r:id="rId35">
        <w:r>
          <w:rPr>
            <w:rStyle w:val="Hyperlink"/>
          </w:rPr>
          <w:t xml:space="preserve">https://doi.org/10.1080/17470218.2013.850521</w:t>
        </w:r>
      </w:hyperlink>
      <w:r>
        <w:t xml:space="preserve">.</w:t>
      </w:r>
    </w:p>
    <w:bookmarkEnd w:id="36"/>
    <w:bookmarkStart w:id="38" w:name="ref-itkonen2024lastu"/>
    <w:p>
      <w:pPr>
        <w:pStyle w:val="Bibliography"/>
      </w:pPr>
      <w:r>
        <w:t xml:space="preserve">Itkonen, Sami, Tuomo Häikiö, Seppo Vainio, and Minna Lehtonen. 2024.</w:t>
      </w:r>
      <w:r>
        <w:t xml:space="preserve"> </w:t>
      </w:r>
      <w:r>
        <w:t xml:space="preserve">“</w:t>
      </w:r>
      <w:r>
        <w:t xml:space="preserve">LASTU</w:t>
      </w:r>
      <w:r>
        <w:t xml:space="preserve">: A Psycholinguistic Search Tool for</w:t>
      </w:r>
      <w:r>
        <w:t xml:space="preserve"> </w:t>
      </w:r>
      <w:r>
        <w:t xml:space="preserve">Finnish</w:t>
      </w:r>
      <w:r>
        <w:t xml:space="preserve"> </w:t>
      </w:r>
      <w:r>
        <w:t xml:space="preserve">Lexical Stimuli.”</w:t>
      </w:r>
      <w:r>
        <w:t xml:space="preserve"> </w:t>
      </w:r>
      <w:r>
        <w:rPr>
          <w:i/>
          <w:iCs/>
        </w:rPr>
        <w:t xml:space="preserve">Behavior Research Methods</w:t>
      </w:r>
      <w:r>
        <w:t xml:space="preserve"> </w:t>
      </w:r>
      <w:r>
        <w:t xml:space="preserve">56 (6): 6165–78.</w:t>
      </w:r>
      <w:r>
        <w:t xml:space="preserve"> </w:t>
      </w:r>
      <w:hyperlink r:id="rId37">
        <w:r>
          <w:rPr>
            <w:rStyle w:val="Hyperlink"/>
          </w:rPr>
          <w:t xml:space="preserve">https://doi.org/10.3758/s13428-024-02347-x</w:t>
        </w:r>
      </w:hyperlink>
      <w:r>
        <w:t xml:space="preserve">.</w:t>
      </w:r>
    </w:p>
    <w:bookmarkEnd w:id="38"/>
    <w:bookmarkStart w:id="40" w:name="ref-lakens2017equivalence"/>
    <w:p>
      <w:pPr>
        <w:pStyle w:val="Bibliography"/>
      </w:pPr>
      <w:r>
        <w:t xml:space="preserve">Lakens, Daniël. 2017.</w:t>
      </w:r>
      <w:r>
        <w:t xml:space="preserve"> </w:t>
      </w:r>
      <w:r>
        <w:t xml:space="preserve">“Equivalence Tests: A Practical Primer for</w:t>
      </w:r>
      <w:r>
        <w:t xml:space="preserve"> </w:t>
      </w:r>
      <w:r>
        <w:t xml:space="preserve">t</w:t>
      </w:r>
      <w:r>
        <w:t xml:space="preserve"> </w:t>
      </w:r>
      <w:r>
        <w:t xml:space="preserve">Tests, Correlations, and Meta-Analyses.”</w:t>
      </w:r>
      <w:r>
        <w:t xml:space="preserve"> </w:t>
      </w:r>
      <w:r>
        <w:rPr>
          <w:i/>
          <w:iCs/>
        </w:rPr>
        <w:t xml:space="preserve">Social Psychological and Personality Science</w:t>
      </w:r>
      <w:r>
        <w:t xml:space="preserve"> </w:t>
      </w:r>
      <w:r>
        <w:t xml:space="preserve">8 (4): 355–62.</w:t>
      </w:r>
      <w:r>
        <w:t xml:space="preserve"> </w:t>
      </w:r>
      <w:hyperlink r:id="rId39">
        <w:r>
          <w:rPr>
            <w:rStyle w:val="Hyperlink"/>
          </w:rPr>
          <w:t xml:space="preserve">https://doi.org/10.1177/1948550617697177</w:t>
        </w:r>
      </w:hyperlink>
      <w:r>
        <w:t xml:space="preserve">.</w:t>
      </w:r>
    </w:p>
    <w:bookmarkEnd w:id="40"/>
    <w:bookmarkStart w:id="42" w:name="ref-lintz2021libra"/>
    <w:p>
      <w:pPr>
        <w:pStyle w:val="Bibliography"/>
      </w:pPr>
      <w:r>
        <w:t xml:space="preserve">Lintz, Evan N., Phui Cheng Lim, and Matthew R. Johnson. 2021.</w:t>
      </w:r>
      <w:r>
        <w:t xml:space="preserve"> </w:t>
      </w:r>
      <w:r>
        <w:t xml:space="preserve">“A New Tool for Equating Lexical Stimuli Across Experimental Conditions.”</w:t>
      </w:r>
      <w:r>
        <w:t xml:space="preserve"> </w:t>
      </w:r>
      <w:r>
        <w:rPr>
          <w:i/>
          <w:iCs/>
        </w:rPr>
        <w:t xml:space="preserve">MethodsX</w:t>
      </w:r>
      <w:r>
        <w:t xml:space="preserve"> </w:t>
      </w:r>
      <w:r>
        <w:t xml:space="preserve">8: 101545.</w:t>
      </w:r>
      <w:r>
        <w:t xml:space="preserve"> </w:t>
      </w:r>
      <w:hyperlink r:id="rId41">
        <w:r>
          <w:rPr>
            <w:rStyle w:val="Hyperlink"/>
          </w:rPr>
          <w:t xml:space="preserve">https://doi.org/10.1016/j.mex.2021.101545</w:t>
        </w:r>
      </w:hyperlink>
      <w:r>
        <w:t xml:space="preserve">.</w:t>
      </w:r>
    </w:p>
    <w:bookmarkEnd w:id="42"/>
    <w:bookmarkStart w:id="44" w:name="ref-mathot2012opensesame"/>
    <w:p>
      <w:pPr>
        <w:pStyle w:val="Bibliography"/>
      </w:pPr>
      <w:r>
        <w:t xml:space="preserve">Mathôt, Sebastiaan, Daniel Schreij, and Jan Theeuwes. 2012.</w:t>
      </w:r>
      <w:r>
        <w:t xml:space="preserve"> </w:t>
      </w:r>
      <w:r>
        <w:t xml:space="preserve">“</w:t>
      </w:r>
      <w:r>
        <w:t xml:space="preserve">OpenSesame</w:t>
      </w:r>
      <w:r>
        <w:t xml:space="preserve">: An Open-Source, Graphical Experiment Builder for the Social Sciences.”</w:t>
      </w:r>
      <w:r>
        <w:t xml:space="preserve"> </w:t>
      </w:r>
      <w:r>
        <w:rPr>
          <w:i/>
          <w:iCs/>
        </w:rPr>
        <w:t xml:space="preserve">Behavior Research Methods</w:t>
      </w:r>
      <w:r>
        <w:t xml:space="preserve"> </w:t>
      </w:r>
      <w:r>
        <w:t xml:space="preserve">44 (2): 314–24.</w:t>
      </w:r>
      <w:r>
        <w:t xml:space="preserve"> </w:t>
      </w:r>
      <w:hyperlink r:id="rId43">
        <w:r>
          <w:rPr>
            <w:rStyle w:val="Hyperlink"/>
          </w:rPr>
          <w:t xml:space="preserve">https://doi.org/10.3758/s13428-011-0168-7</w:t>
        </w:r>
      </w:hyperlink>
      <w:r>
        <w:t xml:space="preserve">.</w:t>
      </w:r>
    </w:p>
    <w:bookmarkEnd w:id="44"/>
    <w:bookmarkStart w:id="46" w:name="ref-peirce2019psychopy2"/>
    <w:p>
      <w:pPr>
        <w:pStyle w:val="Bibliography"/>
      </w:pPr>
      <w:r>
        <w:t xml:space="preserve">Peirce, Jonathan, Jeremy R. Gray, Sol Simpson, et al. 2019.</w:t>
      </w:r>
      <w:r>
        <w:t xml:space="preserve"> </w:t>
      </w:r>
      <w:r>
        <w:t xml:space="preserve">“</w:t>
      </w:r>
      <w:r>
        <w:t xml:space="preserve">PsychoPy2</w:t>
      </w:r>
      <w:r>
        <w:t xml:space="preserve">: Experiments in Behavior Made Easy.”</w:t>
      </w:r>
      <w:r>
        <w:t xml:space="preserve"> </w:t>
      </w:r>
      <w:r>
        <w:rPr>
          <w:i/>
          <w:iCs/>
        </w:rPr>
        <w:t xml:space="preserve">Behavior Research Methods</w:t>
      </w:r>
      <w:r>
        <w:t xml:space="preserve"> </w:t>
      </w:r>
      <w:r>
        <w:t xml:space="preserve">51 (1): 195–203.</w:t>
      </w:r>
      <w:r>
        <w:t xml:space="preserve"> </w:t>
      </w:r>
      <w:hyperlink r:id="rId45">
        <w:r>
          <w:rPr>
            <w:rStyle w:val="Hyperlink"/>
          </w:rPr>
          <w:t xml:space="preserve">https://doi.org/10.3758/s13428-018-01193-y</w:t>
        </w:r>
      </w:hyperlink>
      <w:r>
        <w:t xml:space="preserve">.</w:t>
      </w:r>
    </w:p>
    <w:bookmarkEnd w:id="46"/>
    <w:bookmarkStart w:id="48" w:name="ref-speer2022wordfreq"/>
    <w:p>
      <w:pPr>
        <w:pStyle w:val="Bibliography"/>
      </w:pPr>
      <w:r>
        <w:t xml:space="preserve">Speer, Robyn. 2022.</w:t>
      </w:r>
      <w:r>
        <w:t xml:space="preserve"> </w:t>
      </w:r>
      <w:r>
        <w:rPr>
          <w:i/>
          <w:iCs/>
        </w:rPr>
        <w:t xml:space="preserve">rspeer/wordfreq</w:t>
      </w:r>
      <w:r>
        <w:rPr>
          <w:i/>
          <w:iCs/>
        </w:rPr>
        <w:t xml:space="preserve">: V3.0</w:t>
      </w:r>
      <w:r>
        <w:t xml:space="preserve">. Zenodo.</w:t>
      </w:r>
      <w:r>
        <w:t xml:space="preserve"> </w:t>
      </w:r>
      <w:hyperlink r:id="rId47">
        <w:r>
          <w:rPr>
            <w:rStyle w:val="Hyperlink"/>
          </w:rPr>
          <w:t xml:space="preserve">https://doi.org/10.5281/zenodo.7199437</w:t>
        </w:r>
      </w:hyperlink>
      <w:r>
        <w:t xml:space="preserve">.</w:t>
      </w:r>
    </w:p>
    <w:bookmarkEnd w:id="48"/>
    <w:bookmarkStart w:id="50" w:name="ref-taylor2020lexops"/>
    <w:p>
      <w:pPr>
        <w:pStyle w:val="Bibliography"/>
      </w:pPr>
      <w:r>
        <w:t xml:space="preserve">Taylor, Jack E., Alistair Beith, and Sara C. Sereno. 2020.</w:t>
      </w:r>
      <w:r>
        <w:t xml:space="preserve"> </w:t>
      </w:r>
      <w:r>
        <w:t xml:space="preserve">“</w:t>
      </w:r>
      <w:r>
        <w:t xml:space="preserve">LexOPS</w:t>
      </w:r>
      <w:r>
        <w:t xml:space="preserve">: An</w:t>
      </w:r>
      <w:r>
        <w:t xml:space="preserve"> </w:t>
      </w:r>
      <w:r>
        <w:t xml:space="preserve">R</w:t>
      </w:r>
      <w:r>
        <w:t xml:space="preserve"> </w:t>
      </w:r>
      <w:r>
        <w:t xml:space="preserve">Package and User Interface for the Controlled Generation of Word Stimuli.”</w:t>
      </w:r>
      <w:r>
        <w:t xml:space="preserve"> </w:t>
      </w:r>
      <w:r>
        <w:rPr>
          <w:i/>
          <w:iCs/>
        </w:rPr>
        <w:t xml:space="preserve">Behavior Research Methods</w:t>
      </w:r>
      <w:r>
        <w:t xml:space="preserve"> </w:t>
      </w:r>
      <w:r>
        <w:t xml:space="preserve">52 (6): 2372–82.</w:t>
      </w:r>
      <w:r>
        <w:t xml:space="preserve"> </w:t>
      </w:r>
      <w:hyperlink r:id="rId49">
        <w:r>
          <w:rPr>
            <w:rStyle w:val="Hyperlink"/>
          </w:rPr>
          <w:t xml:space="preserve">https://doi.org/10.3758/s13428-020-01389-1</w:t>
        </w:r>
      </w:hyperlink>
      <w:r>
        <w:t xml:space="preserve">.</w:t>
      </w:r>
    </w:p>
    <w:bookmarkEnd w:id="50"/>
    <w:bookmarkStart w:id="52" w:name="ref-wilkinson2016fair"/>
    <w:p>
      <w:pPr>
        <w:pStyle w:val="Bibliography"/>
      </w:pPr>
      <w:r>
        <w:t xml:space="preserve">Wilkinson, Mark D., Michel Dumontier, IJsbrand Jan Aalbersberg, et al.</w:t>
      </w:r>
      <w:r>
        <w:t xml:space="preserve"> 2016.</w:t>
      </w:r>
      <w:r>
        <w:t xml:space="preserve"> </w:t>
      </w:r>
      <w:r>
        <w:t xml:space="preserve">“The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 </w:t>
      </w:r>
      <w:r>
        <w:t xml:space="preserve">3: 160018.</w:t>
      </w:r>
      <w:r>
        <w:t xml:space="preserve"> </w:t>
      </w:r>
      <w:hyperlink r:id="rId51">
        <w:r>
          <w:rPr>
            <w:rStyle w:val="Hyperlink"/>
          </w:rPr>
          <w:t xml:space="preserve">https://doi.org/10.1038/sdata.2016.18</w:t>
        </w:r>
      </w:hyperlink>
      <w:r>
        <w:t xml:space="preserve">.</w:t>
      </w:r>
    </w:p>
    <w:bookmarkEnd w:id="52"/>
    <w:bookmarkStart w:id="54" w:name="ref-yarkoni2008old20"/>
    <w:p>
      <w:pPr>
        <w:pStyle w:val="Bibliography"/>
      </w:pPr>
      <w:r>
        <w:t xml:space="preserve">Yarkoni, Tal, David Balota, and Melvin Yap. 2008.</w:t>
      </w:r>
      <w:r>
        <w:t xml:space="preserve"> </w:t>
      </w:r>
      <w:r>
        <w:t xml:space="preserve">“Moving Beyond</w:t>
      </w:r>
      <w:r>
        <w:t xml:space="preserve"> </w:t>
      </w:r>
      <w:r>
        <w:t xml:space="preserve">Coltheart’s</w:t>
      </w:r>
      <w:r>
        <w:t xml:space="preserve"> </w:t>
      </w:r>
      <w:r>
        <w:t xml:space="preserve">N</w:t>
      </w:r>
      <w:r>
        <w:t xml:space="preserve">: A New Measure of Orthographic Similarity.”</w:t>
      </w:r>
      <w:r>
        <w:t xml:space="preserve"> </w:t>
      </w:r>
      <w:r>
        <w:rPr>
          <w:i/>
          <w:iCs/>
        </w:rPr>
        <w:t xml:space="preserve">Psychonomic Bulletin &amp; Review</w:t>
      </w:r>
      <w:r>
        <w:t xml:space="preserve"> </w:t>
      </w:r>
      <w:r>
        <w:t xml:space="preserve">15 (5): 971–79.</w:t>
      </w:r>
      <w:r>
        <w:t xml:space="preserve"> </w:t>
      </w:r>
      <w:hyperlink r:id="rId53">
        <w:r>
          <w:rPr>
            <w:rStyle w:val="Hyperlink"/>
          </w:rPr>
          <w:t xml:space="preserve">https://doi.org/10.3758/pbr.15.5.971</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41" Target="https://doi.org/10.1016/j.mex.2021.101545" TargetMode="External" /><Relationship Type="http://schemas.openxmlformats.org/officeDocument/2006/relationships/hyperlink" Id="rId51" Target="https://doi.org/10.1038/sdata.2016.18" TargetMode="External" /><Relationship Type="http://schemas.openxmlformats.org/officeDocument/2006/relationships/hyperlink" Id="rId33" Target="https://doi.org/10.1080/14790718.2024.2415993" TargetMode="External" /><Relationship Type="http://schemas.openxmlformats.org/officeDocument/2006/relationships/hyperlink" Id="rId35" Target="https://doi.org/10.1080/17470218.2013.850521" TargetMode="External" /><Relationship Type="http://schemas.openxmlformats.org/officeDocument/2006/relationships/hyperlink" Id="rId39" Target="https://doi.org/10.1177/1948550617697177" TargetMode="External" /><Relationship Type="http://schemas.openxmlformats.org/officeDocument/2006/relationships/hyperlink" Id="rId29" Target="https://doi.org/10.3758/BRM.41.4.977" TargetMode="External" /><Relationship Type="http://schemas.openxmlformats.org/officeDocument/2006/relationships/hyperlink" Id="rId53" Target="https://doi.org/10.3758/pbr.15.5.971" TargetMode="External" /><Relationship Type="http://schemas.openxmlformats.org/officeDocument/2006/relationships/hyperlink" Id="rId43" Target="https://doi.org/10.3758/s13428-011-0168-7" TargetMode="External" /><Relationship Type="http://schemas.openxmlformats.org/officeDocument/2006/relationships/hyperlink" Id="rId45" Target="https://doi.org/10.3758/s13428-018-01193-y" TargetMode="External" /><Relationship Type="http://schemas.openxmlformats.org/officeDocument/2006/relationships/hyperlink" Id="rId49" Target="https://doi.org/10.3758/s13428-020-01389-1" TargetMode="External" /><Relationship Type="http://schemas.openxmlformats.org/officeDocument/2006/relationships/hyperlink" Id="rId37" Target="https://doi.org/10.3758/s13428-024-02347-x" TargetMode="External" /><Relationship Type="http://schemas.openxmlformats.org/officeDocument/2006/relationships/hyperlink" Id="rId47" Target="https://doi.org/10.5281/zenodo.7199437"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16/j.mex.2021.101545" TargetMode="External" /><Relationship Type="http://schemas.openxmlformats.org/officeDocument/2006/relationships/hyperlink" Id="rId51" Target="https://doi.org/10.1038/sdata.2016.18" TargetMode="External" /><Relationship Type="http://schemas.openxmlformats.org/officeDocument/2006/relationships/hyperlink" Id="rId33" Target="https://doi.org/10.1080/14790718.2024.2415993" TargetMode="External" /><Relationship Type="http://schemas.openxmlformats.org/officeDocument/2006/relationships/hyperlink" Id="rId35" Target="https://doi.org/10.1080/17470218.2013.850521" TargetMode="External" /><Relationship Type="http://schemas.openxmlformats.org/officeDocument/2006/relationships/hyperlink" Id="rId39" Target="https://doi.org/10.1177/1948550617697177" TargetMode="External" /><Relationship Type="http://schemas.openxmlformats.org/officeDocument/2006/relationships/hyperlink" Id="rId29" Target="https://doi.org/10.3758/BRM.41.4.977" TargetMode="External" /><Relationship Type="http://schemas.openxmlformats.org/officeDocument/2006/relationships/hyperlink" Id="rId53" Target="https://doi.org/10.3758/pbr.15.5.971" TargetMode="External" /><Relationship Type="http://schemas.openxmlformats.org/officeDocument/2006/relationships/hyperlink" Id="rId43" Target="https://doi.org/10.3758/s13428-011-0168-7" TargetMode="External" /><Relationship Type="http://schemas.openxmlformats.org/officeDocument/2006/relationships/hyperlink" Id="rId45" Target="https://doi.org/10.3758/s13428-018-01193-y" TargetMode="External" /><Relationship Type="http://schemas.openxmlformats.org/officeDocument/2006/relationships/hyperlink" Id="rId49" Target="https://doi.org/10.3758/s13428-020-01389-1" TargetMode="External" /><Relationship Type="http://schemas.openxmlformats.org/officeDocument/2006/relationships/hyperlink" Id="rId37" Target="https://doi.org/10.3758/s13428-024-02347-x" TargetMode="External" /><Relationship Type="http://schemas.openxmlformats.org/officeDocument/2006/relationships/hyperlink" Id="rId47" Target="https://doi.org/10.5281/zenodo.71994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lexsync: a cross-platform pipeline for multidimensional lexical optimisation and hardware-timed experiment generation</dc:title>
  <dc:creator>Pablo Bernabeu</dc:creator>
  <cp:keywords/>
  <dcterms:created xsi:type="dcterms:W3CDTF">2026-06-07T15:21:01Z</dcterms:created>
  <dcterms:modified xsi:type="dcterms:W3CDTF">2026-06-07T15:21:01Z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Psycholinguistic stimulus preparation is fragmented across tools that match words, tools that present them and the separate R and Python ecosystems in which those tools live. We present ‘lexsync’, a research-grade toolkit, released as a ‘CRAN’-ready R package and a structurally identical ‘PyPI’-ready Python package, that unifies the whole path from corpus to laboratory. From a word-frequency corpus in any of dozens of languages ‘lexsync’ selects stimuli that are matched in parallel across several lexical dimensions (length, frequency, orthographic neighbourhood density and OLD20), counterbalances them, reports the realised match quality and then generates ready-to-run ‘PsychoPy’ and ‘OpenSesame’ experiment scripts with hardware triggers injected at stimulus onset for electroencephalography. The matching is deterministic, so the two engines return identical stimuli; we demonstrate this on four worked examples in English and Spanish. The generation step requires no presentation software and no hardware, which keeps the whole workflow reproducible. ‘lexsync’ generalises the FAIR artificial-grammar workflow of an existing longitudinal study and is distributed under open licences with a machine-readable corpus registry.</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date">
    <vt:lpwstr>2026-06-07</vt:lpwstr>
  </property>
  <property fmtid="{D5CDD505-2E9C-101B-9397-08002B2CF9AE}" pid="8" name="engines">
    <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