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2026-06-08</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 </w:t>
      </w:r>
      <w:r>
        <w:t xml:space="preserve">and</w:t>
      </w:r>
      <w:r>
        <w:t xml:space="preserve"> </w:t>
      </w:r>
      <w:r>
        <w:t xml:space="preserve">‘OpenSesame’</w:t>
      </w:r>
      <w:r>
        <w:t xml:space="preserve"> </w:t>
      </w:r>
      <w:r>
        <w:t xml:space="preserve">experiment scripts whose hardware</w:t>
      </w:r>
      <w:r>
        <w:t xml:space="preserve"> </w:t>
      </w:r>
      <w:r>
        <w:t xml:space="preserve">triggers for electroencephalography are time-locked to stimulus onset in both</w:t>
      </w:r>
      <w:r>
        <w:t xml:space="preserve"> </w:t>
      </w:r>
      <w:r>
        <w:t xml:space="preserve">targets. The matching is deterministic, so the two engines select identical</w:t>
      </w:r>
      <w:r>
        <w:t xml:space="preserve"> </w:t>
      </w:r>
      <w:r>
        <w:t xml:space="preserve">matched stimuli; we</w:t>
      </w:r>
      <w:r>
        <w:t xml:space="preserve"> </w:t>
      </w:r>
      <w:r>
        <w:t xml:space="preserve">demonstrate</w:t>
      </w:r>
      <w:r>
        <w:t xml:space="preserve"> </w:t>
      </w:r>
      <w:r>
        <w:t xml:space="preserve">this on four worked examples in English and Spanish. The 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word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matched stimuli.</w:t>
      </w:r>
      <w:r>
        <w:t xml:space="preserve"> </w:t>
      </w:r>
      <w:r>
        <w:t xml:space="preserve">‘lexsync’</w:t>
      </w:r>
      <w:r>
        <w:t xml:space="preserve"> </w:t>
      </w:r>
      <w:r>
        <w:t xml:space="preserve">generalises the materials workflow of</w:t>
      </w:r>
      <w:r>
        <w:t xml:space="preserve"> </w:t>
      </w:r>
      <w:r>
        <w:t xml:space="preserve">González Alonso et al. (2025)</w:t>
      </w:r>
      <w:r>
        <w:t xml:space="preserve"> </w:t>
      </w:r>
      <w:r>
        <w:t xml:space="preserve">into a</w:t>
      </w:r>
      <w:r>
        <w:t xml:space="preserve"> </w:t>
      </w:r>
      <w:r>
        <w:t xml:space="preserve">reusable, FAIR-compliant tool.</w:t>
      </w:r>
    </w:p>
    <w:bookmarkEnd w:id="9"/>
    <w:bookmarkStart w:id="16"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and</w:t>
      </w:r>
      <w:r>
        <w:t xml:space="preserve"> </w:t>
      </w:r>
      <w:r>
        <w:t xml:space="preserve">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w:t>
      </w:r>
      <w:r>
        <w:t xml:space="preserve"> </w:t>
      </w:r>
      <w:r>
        <w:t xml:space="preserve">orchestrator,</w:t>
      </w:r>
      <w:r>
        <w:t xml:space="preserve"> </w:t>
      </w:r>
      <w:r>
        <w:rPr>
          <w:rStyle w:val="VerbatimChar"/>
        </w:rPr>
        <w:t xml:space="preserve">run_pipeline</w:t>
      </w:r>
      <w:r>
        <w:t xml:space="preserve">, drives them in an explicit loop over designs and</w:t>
      </w:r>
      <w:r>
        <w:t xml:space="preserve"> </w:t>
      </w:r>
      <w:r>
        <w:t xml:space="preserve">languages, so that adding a language or a design is a matter of supplying a</w:t>
      </w:r>
      <w:r>
        <w:t xml:space="preserve"> </w:t>
      </w:r>
      <w:r>
        <w:t xml:space="preserve">configuration file and a lexicon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and Spanish lexica with</w:t>
      </w:r>
      <w:r>
        <w:t xml:space="preserve"> </w:t>
      </w:r>
      <w:r>
        <w:t xml:space="preserve">‘wordfreq’</w:t>
      </w:r>
      <w:r>
        <w:t xml:space="preserve">, which aggregates subtitle and web</w:t>
      </w:r>
      <w:r>
        <w:t xml:space="preserve"> </w:t>
      </w:r>
      <w:r>
        <w:t xml:space="preserve">corpora including the SUBTLEX lists; the registry documents the curated corpora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 a parity we verify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w:t>
      </w:r>
      <w:r>
        <w:t xml:space="preserve"> </w:t>
      </w:r>
      <w:r>
        <w:t xml:space="preserve">‘lexsync’</w:t>
      </w:r>
      <w:r>
        <w:t xml:space="preserve"> </w:t>
      </w:r>
      <w:r>
        <w:t xml:space="preserve">then</w:t>
      </w:r>
      <w:r>
        <w:t xml:space="preserve"> </w:t>
      </w:r>
      <w:r>
        <w:t xml:space="preserve">writes a match-quality report — per-condition descriptive statistics for every</w:t>
      </w:r>
      <w:r>
        <w:t xml:space="preserve"> </w:t>
      </w:r>
      <w:r>
        <w:t xml:space="preserve">dimension, standardised mean differences against the anchor and a two one-sided</w:t>
      </w:r>
      <w:r>
        <w:t xml:space="preserve"> </w:t>
      </w:r>
      <w:r>
        <w:t xml:space="preserve">tests (TOST) equivalence test</w:t>
      </w:r>
      <w:r>
        <w:t xml:space="preserve"> </w:t>
      </w:r>
      <w:r>
        <w:t xml:space="preserve">(Lakens, 2017)</w:t>
      </w:r>
      <w:r>
        <w:t xml:space="preserve"> </w:t>
      </w:r>
      <w:r>
        <w:t xml:space="preserve">— and an automated,</w:t>
      </w:r>
      <w:r>
        <w:t xml:space="preserve"> </w:t>
      </w:r>
      <w:r>
        <w:t xml:space="preserve">comprehensive run log recording each stage, its parameters, the seed, package and</w:t>
      </w:r>
      <w:r>
        <w:t xml:space="preserve"> </w:t>
      </w:r>
      <w:r>
        <w:t xml:space="preserve">corpus provenance and a fingerprint of every file written. The report makes the</w:t>
      </w:r>
      <w:r>
        <w:t xml:space="preserve"> </w:t>
      </w:r>
      <w:r>
        <w:t xml:space="preserve">realised control explicit, in the spirit of the original workflow’s balance</w:t>
      </w:r>
      <w:r>
        <w:t xml:space="preserve"> </w:t>
      </w:r>
      <w:r>
        <w:t xml:space="preserve">checks, and the run log makes a run auditable.</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right after the verified</w:t>
      </w:r>
      <w:r>
        <w:t xml:space="preserve"> </w:t>
      </w:r>
      <w:r>
        <w:t xml:space="preserve">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5"/>
    <w:bookmarkEnd w:id="16"/>
    <w:bookmarkStart w:id="26"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four demonstrations: a high- versus low-frequency</w:t>
      </w:r>
      <w:r>
        <w:t xml:space="preserve"> </w:t>
      </w:r>
      <w:r>
        <w:t xml:space="preserve">contrast and a dense- versus sparse-neighbourhood contrast, each in English and</w:t>
      </w:r>
      <w:r>
        <w:t xml:space="preserve"> </w:t>
      </w:r>
      <w:r>
        <w:t xml:space="preserve">in Spanish, drawn from thirty-thousand-word lexica. The frequency contrast matches</w:t>
      </w:r>
      <w:r>
        <w:t xml:space="preserve"> </w:t>
      </w:r>
      <w:r>
        <w:t xml:space="preserve">items on length, neighbourhood density and OLD20; the neighbourhood contrast</w:t>
      </w:r>
      <w:r>
        <w:t xml:space="preserve"> </w:t>
      </w:r>
      <w:r>
        <w:t xml:space="preserve">matches on length and frequency. Each demonstration was produced by both the R</w:t>
      </w:r>
      <w:r>
        <w:t xml:space="preserve"> </w:t>
      </w:r>
      <w:r>
        <w:t xml:space="preserve">and the Python engine. All tables and figures in this section are computed at</w:t>
      </w:r>
      <w:r>
        <w:t xml:space="preserve"> </w:t>
      </w:r>
      <w:r>
        <w:t xml:space="preserve">render time from the generated output.</w:t>
      </w:r>
    </w:p>
    <w:tbl>
      <w:tblPr>
        <w:tblStyle w:val="Table"/>
        <w:tblW w:type="pct" w:w="5000"/>
        <w:tblLayout w:type="fixed"/>
        <w:tblLook w:firstRow="0" w:lastRow="0" w:firstColumn="0" w:lastColumn="0" w:noHBand="0" w:noVBand="0" w:val="0000"/>
      </w:tblPr>
      <w:tblGrid>
        <w:gridCol w:w="7920"/>
      </w:tblGrid>
      <w:tr>
        <w:tc>
          <w:tcPr/>
          <w:bookmarkStart w:id="17"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OLD20</w:t>
                  </w:r>
                </w:p>
              </w:tc>
              <w:tc>
                <w:tcPr/>
                <w:p>
                  <w:pPr>
                    <w:pStyle w:val="Compact"/>
                    <w:jc w:val="right"/>
                    <w:jc w:val="center"/>
                  </w:pPr>
                  <w:r>
                    <w:t xml:space="preserve">2.89</w:t>
                  </w:r>
                </w:p>
              </w:tc>
              <w:tc>
                <w:tcPr/>
                <w:p>
                  <w:pPr>
                    <w:pStyle w:val="Compact"/>
                    <w:jc w:val="right"/>
                    <w:jc w:val="center"/>
                  </w:pPr>
                  <w:r>
                    <w:t xml:space="preserve">0.25</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2.63</w:t>
                  </w:r>
                </w:p>
              </w:tc>
              <w:tc>
                <w:tcPr/>
                <w:p>
                  <w:pPr>
                    <w:pStyle w:val="Compact"/>
                    <w:jc w:val="right"/>
                    <w:jc w:val="center"/>
                  </w:pPr>
                  <w:r>
                    <w:t xml:space="preserve">0.25</w:t>
                  </w:r>
                </w:p>
              </w:tc>
            </w:tr>
          </w:tbl>
          <w:bookmarkEnd w:id="17"/>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1" w:name="fig-balance"/>
          <w:p>
            <w:pPr>
              <w:pStyle w:val="Compact"/>
              <w:jc w:val="center"/>
            </w:pPr>
            <w:r>
              <w:drawing>
                <wp:inline>
                  <wp:extent cx="5334000" cy="3259666"/>
                  <wp:effectExtent b="0" l="0" r="0" t="0"/>
                  <wp:docPr descr="" title="" id="19" name="Picture"/>
                  <a:graphic>
                    <a:graphicData uri="http://schemas.openxmlformats.org/drawingml/2006/picture">
                      <pic:pic>
                        <pic:nvPicPr>
                          <pic:cNvPr descr="manuscript_files/figure-docx/fig-balance-1.png" id="20" name="Picture"/>
                          <pic:cNvPicPr>
                            <a:picLocks noChangeArrowheads="1" noChangeAspect="1"/>
                          </pic:cNvPicPr>
                        </pic:nvPicPr>
                        <pic:blipFill>
                          <a:blip r:embed="rId18"/>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1"/>
        </w:tc>
      </w:tr>
    </w:tbl>
    <w:p>
      <w:pPr>
        <w:pStyle w:val="BodyText"/>
      </w:pPr>
      <w:r>
        <w:t xml:space="preserve">The two one-sided tests (TOST) procedure that</w:t>
      </w:r>
      <w:r>
        <w:t xml:space="preserve"> </w:t>
      </w:r>
      <w:r>
        <w:t xml:space="preserve">‘lexsync’</w:t>
      </w:r>
      <w:r>
        <w:t xml:space="preserve"> </w:t>
      </w:r>
      <w:r>
        <w:t xml:space="preserve">reports gives a more</w:t>
      </w:r>
      <w:r>
        <w:t xml:space="preserve"> </w:t>
      </w:r>
      <w:r>
        <w:t xml:space="preserve">conservative reading of the same control.</w:t>
      </w:r>
      <w:r>
        <w:t xml:space="preserve"> </w:t>
      </w:r>
      <w:hyperlink w:anchor="tbl-tost">
        <w:r>
          <w:rPr>
            <w:rStyle w:val="Hyperlink"/>
          </w:rPr>
          <w:t xml:space="preserve">Table 2</w:t>
        </w:r>
      </w:hyperlink>
      <w:r>
        <w:t xml:space="preserve"> </w:t>
      </w:r>
      <w:r>
        <w:t xml:space="preserve">lists, for the controlled</w:t>
      </w:r>
      <w:r>
        <w:t xml:space="preserve"> </w:t>
      </w:r>
      <w:r>
        <w:t xml:space="preserve">dimensions of each demonstration, the standardised mean difference, the</w:t>
      </w:r>
      <w:r>
        <w:t xml:space="preserve"> </w:t>
      </w:r>
      <w:r>
        <w:t xml:space="preserve">equivalence-test</w:t>
      </w:r>
      <w:r>
        <w:t xml:space="preserve"> </w:t>
      </w:r>
      <w:r>
        <w:rPr>
          <w:i/>
          <w:iCs/>
        </w:rPr>
        <w:t xml:space="preserve">p</w:t>
      </w:r>
      <w:r>
        <w:t xml:space="preserve"> </w:t>
      </w:r>
      <w:r>
        <w:t xml:space="preserve">value and the verdict 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2" w:name="tbl-tost"/>
          <w:p>
            <w:pPr>
              <w:jc w:val="center"/>
            </w:pPr>
            <w:pPr>
              <w:jc w:val="left"/>
              <w:spacing w:before="200"/>
              <w:pStyle w:val="ImageCaption"/>
            </w:pPr>
            <w:r>
              <w:t xml:space="preserve">Table 2:</w:t>
            </w:r>
            <w:r>
              <w:t xml:space="preserve"> </w:t>
            </w:r>
            <w:r>
              <w:rPr>
                <w:i/>
                <w:iCs/>
              </w:rPr>
              <w:t xml:space="preserve">Equivalence (TOST) Results for the Controlled Dimensions.</w:t>
            </w:r>
            <w:r>
              <w:t xml:space="preserve"> </w:t>
            </w:r>
            <w:r>
              <w:rPr>
                <w:i/>
                <w:iCs/>
              </w:rPr>
              <w:t xml:space="preserve">Note.</w:t>
            </w:r>
            <w:r>
              <w:t xml:space="preserve"> </w:t>
            </w:r>
            <w:r>
              <w:t xml:space="preserve">For each demonstration’s controlled (matched) dimensions: the absolute standardised mean difference against the anchor, the equivalence-test</w:t>
            </w:r>
            <w:r>
              <w:t xml:space="preserve"> </w:t>
            </w:r>
            <w:r>
              <w:rPr>
                <w:i/>
                <w:iCs/>
              </w:rPr>
              <w:t xml:space="preserve">p</w:t>
            </w:r>
            <w:r>
              <w:t xml:space="preserve"> </w:t>
            </w:r>
            <w:r>
              <w:t xml:space="preserve">value at the 0.5-</w:t>
            </w:r>
            <w:r>
              <w:rPr>
                <w:i/>
                <w:iCs/>
              </w:rPr>
              <w:t xml:space="preserve">SD</w:t>
            </w:r>
            <w:r>
              <w:t xml:space="preserve"> </w:t>
            </w:r>
            <w:r>
              <w:t xml:space="preserve">bound and the verdict at the .05 level. R engine.</w:t>
            </w:r>
          </w:p>
          <w:tbl>
            <w:tblPr>
              <w:tblStyle w:val="Table"/>
              <w:tblW w:type="pct" w:w="5000"/>
              <w:tblLayout w:type="fixed"/>
              <w:tblLook w:firstRow="1" w:lastRow="0" w:firstColumn="0" w:lastColumn="0" w:noHBand="0" w:noVBand="0" w:val="0020"/>
            </w:tblPr>
            <w:tblGrid>
              <w:gridCol w:w="3128"/>
              <w:gridCol w:w="1662"/>
              <w:gridCol w:w="1368"/>
              <w:gridCol w:w="684"/>
              <w:gridCol w:w="1075"/>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|d|</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English: frequency contrast</w:t>
                  </w:r>
                </w:p>
              </w:tc>
              <w:tc>
                <w:tcPr/>
                <w:p>
                  <w:pPr>
                    <w:pStyle w:val="Compact"/>
                    <w:jc w:val="left"/>
                    <w:jc w:val="center"/>
                  </w:pPr>
                  <w:r>
                    <w:t xml:space="preserve">Length (letters)</w:t>
                  </w:r>
                </w:p>
              </w:tc>
              <w:tc>
                <w:tcPr/>
                <w:p>
                  <w:pPr>
                    <w:pStyle w:val="Compact"/>
                    <w:jc w:val="right"/>
                    <w:jc w:val="center"/>
                  </w:pPr>
                  <w:r>
                    <w:t xml:space="preserve">0.027</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 (letters)</w:t>
                  </w:r>
                </w:p>
              </w:tc>
              <w:tc>
                <w:tcPr/>
                <w:p>
                  <w:pPr>
                    <w:pStyle w:val="Compact"/>
                    <w:jc w:val="right"/>
                    <w:jc w:val="center"/>
                  </w:pPr>
                  <w:r>
                    <w:t xml:space="preserve">0.247</w:t>
                  </w:r>
                </w:p>
              </w:tc>
              <w:tc>
                <w:tcPr/>
                <w:p>
                  <w:pPr>
                    <w:pStyle w:val="Compact"/>
                    <w:jc w:val="right"/>
                    <w:jc w:val="center"/>
                  </w:pPr>
                  <w:r>
                    <w:t xml:space="preserve">0.056</w:t>
                  </w:r>
                </w:p>
              </w:tc>
              <w:tc>
                <w:tcPr/>
                <w:p>
                  <w:pPr>
                    <w:pStyle w:val="Compact"/>
                    <w:jc w:val="left"/>
                    <w:jc w:val="center"/>
                  </w:pPr>
                  <w:r>
                    <w:t xml:space="preserve">FALSE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0.150</w:t>
                  </w:r>
                </w:p>
              </w:tc>
              <w:tc>
                <w:tcPr/>
                <w:p>
                  <w:pPr>
                    <w:pStyle w:val="Compact"/>
                    <w:jc w:val="right"/>
                    <w:jc w:val="center"/>
                  </w:pPr>
                  <w:r>
                    <w:t xml:space="preserve">0.014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 (letters)</w:t>
                  </w:r>
                </w:p>
              </w:tc>
              <w:tc>
                <w:tcPr/>
                <w:p>
                  <w:pPr>
                    <w:pStyle w:val="Compact"/>
                    <w:jc w:val="right"/>
                    <w:jc w:val="center"/>
                  </w:pPr>
                  <w:r>
                    <w:t xml:space="preserve">0.049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 (letters)</w:t>
                  </w:r>
                </w:p>
              </w:tc>
              <w:tc>
                <w:tcPr/>
                <w:p>
                  <w:pPr>
                    <w:pStyle w:val="Compact"/>
                    <w:jc w:val="right"/>
                    <w:jc w:val="center"/>
                  </w:pPr>
                  <w:r>
                    <w:t xml:space="preserve">0.254</w:t>
                  </w:r>
                </w:p>
              </w:tc>
              <w:tc>
                <w:tcPr/>
                <w:p>
                  <w:pPr>
                    <w:pStyle w:val="Compact"/>
                    <w:jc w:val="right"/>
                    <w:jc w:val="center"/>
                  </w:pPr>
                  <w:r>
                    <w:t xml:space="preserve">0.061</w:t>
                  </w:r>
                </w:p>
              </w:tc>
              <w:tc>
                <w:tcPr/>
                <w:p>
                  <w:pPr>
                    <w:pStyle w:val="Compact"/>
                    <w:jc w:val="left"/>
                    <w:jc w:val="center"/>
                  </w:pPr>
                  <w:r>
                    <w:t xml:space="preserve">FALSE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0.193</w:t>
                  </w:r>
                </w:p>
              </w:tc>
              <w:tc>
                <w:tcPr/>
                <w:p>
                  <w:pPr>
                    <w:pStyle w:val="Compact"/>
                    <w:jc w:val="right"/>
                    <w:jc w:val="center"/>
                  </w:pPr>
                  <w:r>
                    <w:t xml:space="preserve">0.027</w:t>
                  </w:r>
                </w:p>
              </w:tc>
              <w:tc>
                <w:tcPr/>
                <w:p>
                  <w:pPr>
                    <w:pStyle w:val="Compact"/>
                    <w:jc w:val="left"/>
                    <w:jc w:val="center"/>
                  </w:pPr>
                  <w:r>
                    <w:t xml:space="preserve">TRUE</w:t>
                  </w:r>
                </w:p>
              </w:tc>
            </w:tr>
          </w:tbl>
          <w:bookmarkEnd w:id="22"/>
          <w:p/>
        </w:tc>
      </w:tr>
    </w:tbl>
    <w:p>
      <w:pPr>
        <w:pStyle w:val="BodyText"/>
      </w:pPr>
      <w:r>
        <w:t xml:space="preserve">In the frequency contrasts every controlled dimension is declared equivalent at</w:t>
      </w:r>
      <w:r>
        <w:t xml:space="preserve"> </w:t>
      </w:r>
      <w:r>
        <w:t xml:space="preserve">the 0.5-</w:t>
      </w:r>
      <w:r>
        <w:rPr>
          <w:i/>
          <w:iCs/>
        </w:rPr>
        <w:t xml:space="preserve">SD</w:t>
      </w:r>
      <w:r>
        <w:t xml:space="preserve"> </w:t>
      </w:r>
      <w:r>
        <w:t xml:space="preserve">bound (</w:t>
      </w:r>
      <w:r>
        <w:rPr>
          <w:i/>
          <w:iCs/>
        </w:rPr>
        <w:t xml:space="preserve">n</w:t>
      </w:r>
      <w:r>
        <w:t xml:space="preserve"> </w:t>
      </w:r>
      <w:r>
        <w:t xml:space="preserve">= 80 per condition). In the neighbourhood contrasts</w:t>
      </w:r>
      <w:r>
        <w:t xml:space="preserve"> </w:t>
      </w:r>
      <w:r>
        <w:t xml:space="preserve">frequency is equivalent but length retains a small residual difference (Cohen’s</w:t>
      </w:r>
      <w:r>
        <w:t xml:space="preserve"> </w:t>
      </w:r>
      <w:r>
        <w:rPr>
          <w:i/>
          <w:iCs/>
        </w:rPr>
        <w:t xml:space="preserve">d</w:t>
      </w:r>
      <w:r>
        <w:t xml:space="preserve"> </w:t>
      </w:r>
      <w:r>
        <w:t xml:space="preserve">≈ 0.25, just outside the bound): neighbourhood density is intrinsically</w:t>
      </w:r>
      <w:r>
        <w:t xml:space="preserve"> </w:t>
      </w:r>
      <w:r>
        <w:t xml:space="preserve">correlated with word length, so the two cannot be equated as tightly as the</w:t>
      </w:r>
      <w:r>
        <w:t xml:space="preserve"> </w:t>
      </w:r>
      <w:r>
        <w:t xml:space="preserve">independent dimensions of the frequency contrast. This is a property of the</w:t>
      </w:r>
      <w:r>
        <w:t xml:space="preserve"> </w:t>
      </w:r>
      <w:r>
        <w:t xml:space="preserve">manipulation rather than a matching failure — the residual is an order of</w:t>
      </w:r>
      <w:r>
        <w:t xml:space="preserve"> </w:t>
      </w:r>
      <w:r>
        <w:t xml:space="preserve">magnitude below the manipulated effect — and</w:t>
      </w:r>
      <w:r>
        <w:t xml:space="preserve"> </w:t>
      </w:r>
      <w:r>
        <w:t xml:space="preserve">‘lexsync’</w:t>
      </w:r>
      <w:r>
        <w:t xml:space="preserve"> </w:t>
      </w:r>
      <w:r>
        <w:t xml:space="preserve">reports it transparently.</w:t>
      </w:r>
      <w:r>
        <w:t xml:space="preserve"> </w:t>
      </w:r>
      <w:r>
        <w:t xml:space="preserve">We read the TOST as a conservative complement to the standardised mean difference</w:t>
      </w:r>
      <w:r>
        <w:t xml:space="preserve"> </w:t>
      </w:r>
      <w:r>
        <w:t xml:space="preserve">(Lakens, 2017)</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3"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 (letters)</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 (letters)</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10"/>
              <w:gridCol w:w="1870"/>
              <w:gridCol w:w="330"/>
              <w:gridCol w:w="770"/>
              <w:gridCol w:w="660"/>
              <w:gridCol w:w="550"/>
              <w:gridCol w:w="770"/>
              <w:gridCol w:w="660"/>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 (letters)</w:t>
                  </w:r>
                </w:p>
              </w:tc>
              <w:tc>
                <w:tcPr/>
                <w:p>
                  <w:pPr>
                    <w:pStyle w:val="Compact"/>
                    <w:jc w:val="right"/>
                    <w:jc w:val="center"/>
                  </w:pPr>
                  <w:r>
                    <w:t xml:space="preserve">80</w:t>
                  </w:r>
                </w:p>
              </w:tc>
              <w:tc>
                <w:tcPr/>
                <w:p>
                  <w:pPr>
                    <w:pStyle w:val="Compact"/>
                    <w:jc w:val="right"/>
                    <w:jc w:val="center"/>
                  </w:pPr>
                  <w:r>
                    <w:t xml:space="preserve">4.225</w:t>
                  </w:r>
                </w:p>
              </w:tc>
              <w:tc>
                <w:tcPr/>
                <w:p>
                  <w:pPr>
                    <w:pStyle w:val="Compact"/>
                    <w:jc w:val="right"/>
                    <w:jc w:val="center"/>
                  </w:pPr>
                  <w:r>
                    <w:t xml:space="preserve">0.856</w:t>
                  </w:r>
                </w:p>
              </w:tc>
              <w:tc>
                <w:tcPr/>
                <w:p>
                  <w:pPr>
                    <w:pStyle w:val="Compact"/>
                    <w:jc w:val="right"/>
                    <w:jc w:val="center"/>
                  </w:pPr>
                  <w:r>
                    <w:t xml:space="preserve">3.00</w:t>
                  </w:r>
                </w:p>
              </w:tc>
              <w:tc>
                <w:tcPr/>
                <w:p>
                  <w:pPr>
                    <w:pStyle w:val="Compact"/>
                    <w:jc w:val="right"/>
                    <w:jc w:val="center"/>
                  </w:pPr>
                  <w:r>
                    <w:t xml:space="preserve">4.00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4.502</w:t>
                  </w:r>
                </w:p>
              </w:tc>
              <w:tc>
                <w:tcPr/>
                <w:p>
                  <w:pPr>
                    <w:pStyle w:val="Compact"/>
                    <w:jc w:val="right"/>
                    <w:jc w:val="center"/>
                  </w:pPr>
                  <w:r>
                    <w:t xml:space="preserve">0.556</w:t>
                  </w:r>
                </w:p>
              </w:tc>
              <w:tc>
                <w:tcPr/>
                <w:p>
                  <w:pPr>
                    <w:pStyle w:val="Compact"/>
                    <w:jc w:val="right"/>
                    <w:jc w:val="center"/>
                  </w:pPr>
                  <w:r>
                    <w:t xml:space="preserve">3.80</w:t>
                  </w:r>
                </w:p>
              </w:tc>
              <w:tc>
                <w:tcPr/>
                <w:p>
                  <w:pPr>
                    <w:pStyle w:val="Compact"/>
                    <w:jc w:val="right"/>
                    <w:jc w:val="center"/>
                  </w:pPr>
                  <w:r>
                    <w:t xml:space="preserve">4.41</w:t>
                  </w:r>
                </w:p>
              </w:tc>
              <w:tc>
                <w:tcPr/>
                <w:p>
                  <w:pPr>
                    <w:pStyle w:val="Compact"/>
                    <w:jc w:val="right"/>
                    <w:jc w:val="center"/>
                  </w:pPr>
                  <w:r>
                    <w:t xml:space="preserve">6.07</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12.375</w:t>
                  </w:r>
                </w:p>
              </w:tc>
              <w:tc>
                <w:tcPr/>
                <w:p>
                  <w:pPr>
                    <w:pStyle w:val="Compact"/>
                    <w:jc w:val="right"/>
                    <w:jc w:val="center"/>
                  </w:pPr>
                  <w:r>
                    <w:t xml:space="preserve">7.903</w:t>
                  </w:r>
                </w:p>
              </w:tc>
              <w:tc>
                <w:tcPr/>
                <w:p>
                  <w:pPr>
                    <w:pStyle w:val="Compact"/>
                    <w:jc w:val="right"/>
                    <w:jc w:val="center"/>
                  </w:pPr>
                  <w:r>
                    <w:t xml:space="preserve">5.00</w:t>
                  </w:r>
                </w:p>
              </w:tc>
              <w:tc>
                <w:tcPr/>
                <w:p>
                  <w:pPr>
                    <w:pStyle w:val="Compact"/>
                    <w:jc w:val="right"/>
                    <w:jc w:val="center"/>
                  </w:pPr>
                  <w:r>
                    <w:t xml:space="preserve">10.00</w:t>
                  </w:r>
                </w:p>
              </w:tc>
              <w:tc>
                <w:tcPr/>
                <w:p>
                  <w:pPr>
                    <w:pStyle w:val="Compact"/>
                    <w:jc w:val="right"/>
                    <w:jc w:val="center"/>
                  </w:pPr>
                  <w:r>
                    <w:t xml:space="preserve">43.00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1.300</w:t>
                  </w:r>
                </w:p>
              </w:tc>
              <w:tc>
                <w:tcPr/>
                <w:p>
                  <w:pPr>
                    <w:pStyle w:val="Compact"/>
                    <w:jc w:val="right"/>
                    <w:jc w:val="center"/>
                  </w:pPr>
                  <w:r>
                    <w:t xml:space="preserve">0.251</w:t>
                  </w:r>
                </w:p>
              </w:tc>
              <w:tc>
                <w:tcPr/>
                <w:p>
                  <w:pPr>
                    <w:pStyle w:val="Compact"/>
                    <w:jc w:val="right"/>
                    <w:jc w:val="center"/>
                  </w:pPr>
                  <w:r>
                    <w:t xml:space="preserve">1.00</w:t>
                  </w:r>
                </w:p>
              </w:tc>
              <w:tc>
                <w:tcPr/>
                <w:p>
                  <w:pPr>
                    <w:pStyle w:val="Compact"/>
                    <w:jc w:val="right"/>
                    <w:jc w:val="center"/>
                  </w:pPr>
                  <w:r>
                    <w:t xml:space="preserve">1.30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 (letters)</w:t>
                  </w:r>
                </w:p>
              </w:tc>
              <w:tc>
                <w:tcPr/>
                <w:p>
                  <w:pPr>
                    <w:pStyle w:val="Compact"/>
                    <w:jc w:val="right"/>
                    <w:jc w:val="center"/>
                  </w:pPr>
                  <w:r>
                    <w:t xml:space="preserve">80</w:t>
                  </w:r>
                </w:p>
              </w:tc>
              <w:tc>
                <w:tcPr/>
                <w:p>
                  <w:pPr>
                    <w:pStyle w:val="Compact"/>
                    <w:jc w:val="right"/>
                    <w:jc w:val="center"/>
                  </w:pPr>
                  <w:r>
                    <w:t xml:space="preserve">4.400</w:t>
                  </w:r>
                </w:p>
              </w:tc>
              <w:tc>
                <w:tcPr/>
                <w:p>
                  <w:pPr>
                    <w:pStyle w:val="Compact"/>
                    <w:jc w:val="right"/>
                    <w:jc w:val="center"/>
                  </w:pPr>
                  <w:r>
                    <w:t xml:space="preserve">0.518</w:t>
                  </w:r>
                </w:p>
              </w:tc>
              <w:tc>
                <w:tcPr/>
                <w:p>
                  <w:pPr>
                    <w:pStyle w:val="Compact"/>
                    <w:jc w:val="right"/>
                    <w:jc w:val="center"/>
                  </w:pPr>
                  <w:r>
                    <w:t xml:space="preserve">3.00</w:t>
                  </w:r>
                </w:p>
              </w:tc>
              <w:tc>
                <w:tcPr/>
                <w:p>
                  <w:pPr>
                    <w:pStyle w:val="Compact"/>
                    <w:jc w:val="right"/>
                    <w:jc w:val="center"/>
                  </w:pPr>
                  <w:r>
                    <w:t xml:space="preserve">4.00</w:t>
                  </w:r>
                </w:p>
              </w:tc>
              <w:tc>
                <w:tcPr/>
                <w:p>
                  <w:pPr>
                    <w:pStyle w:val="Compact"/>
                    <w:jc w:val="right"/>
                    <w:jc w:val="center"/>
                  </w:pPr>
                  <w:r>
                    <w:t xml:space="preserve">5.00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4.432</w:t>
                  </w:r>
                </w:p>
              </w:tc>
              <w:tc>
                <w:tcPr/>
                <w:p>
                  <w:pPr>
                    <w:pStyle w:val="Compact"/>
                    <w:jc w:val="right"/>
                    <w:jc w:val="center"/>
                  </w:pPr>
                  <w:r>
                    <w:t xml:space="preserve">0.354</w:t>
                  </w:r>
                </w:p>
              </w:tc>
              <w:tc>
                <w:tcPr/>
                <w:p>
                  <w:pPr>
                    <w:pStyle w:val="Compact"/>
                    <w:jc w:val="right"/>
                    <w:jc w:val="center"/>
                  </w:pPr>
                  <w:r>
                    <w:t xml:space="preserve">3.95</w:t>
                  </w:r>
                </w:p>
              </w:tc>
              <w:tc>
                <w:tcPr/>
                <w:p>
                  <w:pPr>
                    <w:pStyle w:val="Compact"/>
                    <w:jc w:val="right"/>
                    <w:jc w:val="center"/>
                  </w:pPr>
                  <w:r>
                    <w:t xml:space="preserve">4.37</w:t>
                  </w:r>
                </w:p>
              </w:tc>
              <w:tc>
                <w:tcPr/>
                <w:p>
                  <w:pPr>
                    <w:pStyle w:val="Compact"/>
                    <w:jc w:val="right"/>
                    <w:jc w:val="center"/>
                  </w:pPr>
                  <w:r>
                    <w:t xml:space="preserve">5.05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0.562</w:t>
                  </w:r>
                </w:p>
              </w:tc>
              <w:tc>
                <w:tcPr/>
                <w:p>
                  <w:pPr>
                    <w:pStyle w:val="Compact"/>
                    <w:jc w:val="right"/>
                    <w:jc w:val="center"/>
                  </w:pPr>
                  <w:r>
                    <w:t xml:space="preserve">0.499</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1.893</w:t>
                  </w:r>
                </w:p>
              </w:tc>
              <w:tc>
                <w:tcPr/>
                <w:p>
                  <w:pPr>
                    <w:pStyle w:val="Compact"/>
                    <w:jc w:val="right"/>
                    <w:jc w:val="center"/>
                  </w:pPr>
                  <w:r>
                    <w:t xml:space="preserve">0.145</w:t>
                  </w:r>
                </w:p>
              </w:tc>
              <w:tc>
                <w:tcPr/>
                <w:p>
                  <w:pPr>
                    <w:pStyle w:val="Compact"/>
                    <w:jc w:val="right"/>
                    <w:jc w:val="center"/>
                  </w:pPr>
                  <w:r>
                    <w:t xml:space="preserve">1.60</w:t>
                  </w:r>
                </w:p>
              </w:tc>
              <w:tc>
                <w:tcPr/>
                <w:p>
                  <w:pPr>
                    <w:pStyle w:val="Compact"/>
                    <w:jc w:val="right"/>
                    <w:jc w:val="center"/>
                  </w:pPr>
                  <w:r>
                    <w:t xml:space="preserve">1.90</w:t>
                  </w:r>
                </w:p>
              </w:tc>
              <w:tc>
                <w:tcPr/>
                <w:p>
                  <w:pPr>
                    <w:pStyle w:val="Compact"/>
                    <w:jc w:val="right"/>
                    <w:jc w:val="center"/>
                  </w:pPr>
                  <w:r>
                    <w:t xml:space="preserve">2.55</w:t>
                  </w:r>
                </w:p>
              </w:tc>
            </w:tr>
          </w:tbl>
          <w:bookmarkEnd w:id="24"/>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four</w:t>
      </w:r>
      <w:r>
        <w:t xml:space="preserve"> </w:t>
      </w:r>
      <w:r>
        <w:t xml:space="preserve">demonstrations</w:t>
      </w:r>
      <w:r>
        <w:t xml:space="preserve"> </w:t>
      </w:r>
      <w:r>
        <w:t xml:space="preserve">all 640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5</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5" w:name="tbl-parity"/>
          <w:p>
            <w:pPr>
              <w:jc w:val="center"/>
            </w:pPr>
            <w:pPr>
              <w:jc w:val="left"/>
              <w:spacing w:before="200"/>
              <w:pStyle w:val="ImageCaption"/>
            </w:pPr>
            <w:r>
              <w:t xml:space="preserve">Table 5:</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 (letters)</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5"/>
          <w:p/>
        </w:tc>
      </w:tr>
    </w:tbl>
    <w:bookmarkEnd w:id="26"/>
    <w:bookmarkStart w:id="27"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w:t>
      </w:r>
      <w:r>
        <w:t xml:space="preserve">— a concrete</w:t>
      </w:r>
      <w:r>
        <w:t xml:space="preserve"> </w:t>
      </w:r>
      <w:r>
        <w:t xml:space="preserve">methodological improvement for ERP research.</w:t>
      </w:r>
    </w:p>
    <w:p>
      <w:pPr>
        <w:pStyle w:val="BodyText"/>
      </w:pPr>
      <w:r>
        <w:t xml:space="preserve">Some limitations remain. The orthographic-neighbourhood measures (Coltheart’s N</w:t>
      </w:r>
      <w:r>
        <w:t xml:space="preserve"> </w:t>
      </w:r>
      <w:r>
        <w:t xml:space="preserve">and OLD20) operate on character strings and are computed for any script, but</w:t>
      </w:r>
      <w:r>
        <w:t xml:space="preserve"> </w:t>
      </w:r>
      <w:r>
        <w:t xml:space="preserve">their psycholinguistic interpretation is established for alphabetic writing; the</w:t>
      </w:r>
      <w:r>
        <w:t xml:space="preserve"> </w:t>
      </w:r>
      <w:r>
        <w:t xml:space="preserve">extensible dimension system accommodates script-specific measures where a</w:t>
      </w:r>
      <w:r>
        <w:t xml:space="preserve"> </w:t>
      </w:r>
      <w:r>
        <w:t xml:space="preserve">logographic study requires them. The neighbourhood-density contrast cannot equate</w:t>
      </w:r>
      <w:r>
        <w:t xml:space="preserve"> </w:t>
      </w:r>
      <w:r>
        <w:t xml:space="preserve">word length as tightly as the frequency contrast does, because neighbourhood</w:t>
      </w:r>
      <w:r>
        <w:t xml:space="preserve"> </w:t>
      </w:r>
      <w:r>
        <w:t xml:space="preserve">density is intrinsically correlated with length — a property of the manipulation</w:t>
      </w:r>
      <w:r>
        <w:t xml:space="preserve"> </w:t>
      </w:r>
      <w:r>
        <w:t xml:space="preserve">that the tool reports rather than conceals. A photodiode check remains advisable</w:t>
      </w:r>
      <w:r>
        <w:t xml:space="preserve"> </w:t>
      </w:r>
      <w:r>
        <w:t xml:space="preserve">for any onset-critical study, as for any software trigger. Future work includes</w:t>
      </w:r>
      <w:r>
        <w:t xml:space="preserve"> </w:t>
      </w:r>
      <w:r>
        <w:t xml:space="preserve">additional presentation targets, a graphical interface and richer lexical</w:t>
      </w:r>
      <w:r>
        <w:t xml:space="preserve"> </w:t>
      </w:r>
      <w:r>
        <w:t xml:space="preserve">dimensions such as concreteness and age of acquisition, each of which slots into</w:t>
      </w:r>
      <w:r>
        <w:t xml:space="preserve"> </w:t>
      </w:r>
      <w:r>
        <w:t xml:space="preserve">the existing module structure.</w:t>
      </w:r>
    </w:p>
    <w:bookmarkEnd w:id="27"/>
    <w:bookmarkStart w:id="29"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28"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lexical dimension,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 table in</w:t>
      </w:r>
      <w:r>
        <w:t xml:space="preserve"> </w:t>
      </w:r>
      <w:r>
        <w:rPr>
          <w:rStyle w:val="VerbatimChar"/>
        </w:rPr>
        <w:t xml:space="preserve">config/schema.yaml</w:t>
      </w:r>
      <w:r>
        <w:t xml:space="preserve">) in both packages. To add a</w:t>
      </w:r>
      <w:r>
        <w:t xml:space="preserve"> </w:t>
      </w:r>
      <w:r>
        <w:t xml:space="preserve">presentation 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To add a</w:t>
      </w:r>
      <w:r>
        <w:t xml:space="preserve"> </w:t>
      </w:r>
      <w:r>
        <w:t xml:space="preserve">corpus or a language, add an entry to</w:t>
      </w:r>
      <w:r>
        <w:t xml:space="preserve"> </w:t>
      </w:r>
      <w:r>
        <w:rPr>
          <w:rStyle w:val="VerbatimChar"/>
        </w:rPr>
        <w:t xml:space="preserve">corpora/registry.yaml</w:t>
      </w:r>
      <w:r>
        <w:t xml:space="preserve">; no code change is</w:t>
      </w:r>
      <w:r>
        <w:t xml:space="preserve"> </w:t>
      </w:r>
      <w:r>
        <w:t xml:space="preserve">required for SUBTLEX-family or</w:t>
      </w:r>
      <w:r>
        <w:t xml:space="preserve"> </w:t>
      </w:r>
      <w:r>
        <w:t xml:space="preserve">‘wordfreq’</w:t>
      </w:r>
      <w:r>
        <w:t xml:space="preserve"> </w:t>
      </w:r>
      <w:r>
        <w:t xml:space="preserve">sources.</w:t>
      </w:r>
    </w:p>
    <w:p>
      <w:r>
        <w:br w:type="page"/>
      </w:r>
    </w:p>
    <w:bookmarkEnd w:id="28"/>
    <w:bookmarkEnd w:id="29"/>
    <w:bookmarkStart w:id="57" w:name="references"/>
    <w:p>
      <w:pPr>
        <w:pStyle w:val="Heading1"/>
      </w:pPr>
      <w:r>
        <w:t xml:space="preserve">References</w:t>
      </w:r>
    </w:p>
    <w:bookmarkStart w:id="56" w:name="refs"/>
    <w:bookmarkStart w:id="31"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30">
        <w:r>
          <w:rPr>
            <w:rStyle w:val="Hyperlink"/>
          </w:rPr>
          <w:t xml:space="preserve">https://doi.org/10.3758/BRM.41.4.977</w:t>
        </w:r>
      </w:hyperlink>
    </w:p>
    <w:bookmarkEnd w:id="31"/>
    <w:bookmarkStart w:id="32"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32"/>
    <w:bookmarkStart w:id="33"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33"/>
    <w:bookmarkStart w:id="35"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34">
        <w:r>
          <w:rPr>
            <w:rStyle w:val="Hyperlink"/>
          </w:rPr>
          <w:t xml:space="preserve">https://doi.org/10.1080/14790718.2024.2415993</w:t>
        </w:r>
      </w:hyperlink>
    </w:p>
    <w:bookmarkEnd w:id="35"/>
    <w:bookmarkStart w:id="37"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36">
        <w:r>
          <w:rPr>
            <w:rStyle w:val="Hyperlink"/>
          </w:rPr>
          <w:t xml:space="preserve">https://doi.org/10.1080/17470218.2013.850521</w:t>
        </w:r>
      </w:hyperlink>
    </w:p>
    <w:bookmarkEnd w:id="37"/>
    <w:bookmarkStart w:id="39"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38">
        <w:r>
          <w:rPr>
            <w:rStyle w:val="Hyperlink"/>
          </w:rPr>
          <w:t xml:space="preserve">https://doi.org/10.3758/s13428-024-02347-x</w:t>
        </w:r>
      </w:hyperlink>
    </w:p>
    <w:bookmarkEnd w:id="39"/>
    <w:bookmarkStart w:id="41"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40">
        <w:r>
          <w:rPr>
            <w:rStyle w:val="Hyperlink"/>
          </w:rPr>
          <w:t xml:space="preserve">https://doi.org/10.1177/1948550617697177</w:t>
        </w:r>
      </w:hyperlink>
    </w:p>
    <w:bookmarkEnd w:id="41"/>
    <w:bookmarkStart w:id="43"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42">
        <w:r>
          <w:rPr>
            <w:rStyle w:val="Hyperlink"/>
          </w:rPr>
          <w:t xml:space="preserve">https://doi.org/10.1016/j.mex.2021.101545</w:t>
        </w:r>
      </w:hyperlink>
    </w:p>
    <w:bookmarkEnd w:id="43"/>
    <w:bookmarkStart w:id="45"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44">
        <w:r>
          <w:rPr>
            <w:rStyle w:val="Hyperlink"/>
          </w:rPr>
          <w:t xml:space="preserve">https://doi.org/10.3758/s13428-011-0168-7</w:t>
        </w:r>
      </w:hyperlink>
    </w:p>
    <w:bookmarkEnd w:id="45"/>
    <w:bookmarkStart w:id="47"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46">
        <w:r>
          <w:rPr>
            <w:rStyle w:val="Hyperlink"/>
          </w:rPr>
          <w:t xml:space="preserve">https://doi.org/10.3758/s13428-018-01193-y</w:t>
        </w:r>
      </w:hyperlink>
    </w:p>
    <w:bookmarkEnd w:id="47"/>
    <w:bookmarkStart w:id="49"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48">
        <w:r>
          <w:rPr>
            <w:rStyle w:val="Hyperlink"/>
          </w:rPr>
          <w:t xml:space="preserve">https://doi.org/10.5281/zenodo.7199437</w:t>
        </w:r>
      </w:hyperlink>
    </w:p>
    <w:bookmarkEnd w:id="49"/>
    <w:bookmarkStart w:id="51"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50">
        <w:r>
          <w:rPr>
            <w:rStyle w:val="Hyperlink"/>
          </w:rPr>
          <w:t xml:space="preserve">https://doi.org/10.3758/s13428-020-01389-1</w:t>
        </w:r>
      </w:hyperlink>
    </w:p>
    <w:bookmarkEnd w:id="51"/>
    <w:bookmarkStart w:id="53"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52">
        <w:r>
          <w:rPr>
            <w:rStyle w:val="Hyperlink"/>
          </w:rPr>
          <w:t xml:space="preserve">https://doi.org/10.1038/sdata.2016.18</w:t>
        </w:r>
      </w:hyperlink>
    </w:p>
    <w:bookmarkEnd w:id="53"/>
    <w:bookmarkStart w:id="55"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54">
        <w:r>
          <w:rPr>
            <w:rStyle w:val="Hyperlink"/>
          </w:rPr>
          <w:t xml:space="preserve">https://doi.org/10.3758/pbr.15.5.971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42" Target="https://doi.org/10.1016/j.mex.2021.101545" TargetMode="External" /><Relationship Type="http://schemas.openxmlformats.org/officeDocument/2006/relationships/hyperlink" Id="rId52" Target="https://doi.org/10.1038/sdata.2016.18" TargetMode="External" /><Relationship Type="http://schemas.openxmlformats.org/officeDocument/2006/relationships/hyperlink" Id="rId34" Target="https://doi.org/10.1080/14790718.2024.2415993" TargetMode="External" /><Relationship Type="http://schemas.openxmlformats.org/officeDocument/2006/relationships/hyperlink" Id="rId36" Target="https://doi.org/10.1080/17470218.2013.850521" TargetMode="External" /><Relationship Type="http://schemas.openxmlformats.org/officeDocument/2006/relationships/hyperlink" Id="rId40" Target="https://doi.org/10.1177/1948550617697177" TargetMode="External" /><Relationship Type="http://schemas.openxmlformats.org/officeDocument/2006/relationships/hyperlink" Id="rId30" Target="https://doi.org/10.3758/BRM.41.4.977" TargetMode="External" /><Relationship Type="http://schemas.openxmlformats.org/officeDocument/2006/relationships/hyperlink" Id="rId54" Target="https://doi.org/10.3758/pbr.15.5.971" TargetMode="External" /><Relationship Type="http://schemas.openxmlformats.org/officeDocument/2006/relationships/hyperlink" Id="rId44" Target="https://doi.org/10.3758/s13428-011-0168-7" TargetMode="External" /><Relationship Type="http://schemas.openxmlformats.org/officeDocument/2006/relationships/hyperlink" Id="rId46" Target="https://doi.org/10.3758/s13428-018-01193-y" TargetMode="External" /><Relationship Type="http://schemas.openxmlformats.org/officeDocument/2006/relationships/hyperlink" Id="rId50" Target="https://doi.org/10.3758/s13428-020-01389-1" TargetMode="External" /><Relationship Type="http://schemas.openxmlformats.org/officeDocument/2006/relationships/hyperlink" Id="rId38" Target="https://doi.org/10.3758/s13428-024-02347-x" TargetMode="External" /><Relationship Type="http://schemas.openxmlformats.org/officeDocument/2006/relationships/hyperlink" Id="rId48" Target="https://doi.org/10.5281/zenodo.7199437"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16/j.mex.2021.101545" TargetMode="External" /><Relationship Type="http://schemas.openxmlformats.org/officeDocument/2006/relationships/hyperlink" Id="rId52" Target="https://doi.org/10.1038/sdata.2016.18" TargetMode="External" /><Relationship Type="http://schemas.openxmlformats.org/officeDocument/2006/relationships/hyperlink" Id="rId34" Target="https://doi.org/10.1080/14790718.2024.2415993" TargetMode="External" /><Relationship Type="http://schemas.openxmlformats.org/officeDocument/2006/relationships/hyperlink" Id="rId36" Target="https://doi.org/10.1080/17470218.2013.850521" TargetMode="External" /><Relationship Type="http://schemas.openxmlformats.org/officeDocument/2006/relationships/hyperlink" Id="rId40" Target="https://doi.org/10.1177/1948550617697177" TargetMode="External" /><Relationship Type="http://schemas.openxmlformats.org/officeDocument/2006/relationships/hyperlink" Id="rId30" Target="https://doi.org/10.3758/BRM.41.4.977" TargetMode="External" /><Relationship Type="http://schemas.openxmlformats.org/officeDocument/2006/relationships/hyperlink" Id="rId54" Target="https://doi.org/10.3758/pbr.15.5.971" TargetMode="External" /><Relationship Type="http://schemas.openxmlformats.org/officeDocument/2006/relationships/hyperlink" Id="rId44" Target="https://doi.org/10.3758/s13428-011-0168-7" TargetMode="External" /><Relationship Type="http://schemas.openxmlformats.org/officeDocument/2006/relationships/hyperlink" Id="rId46" Target="https://doi.org/10.3758/s13428-018-01193-y" TargetMode="External" /><Relationship Type="http://schemas.openxmlformats.org/officeDocument/2006/relationships/hyperlink" Id="rId50" Target="https://doi.org/10.3758/s13428-020-01389-1" TargetMode="External" /><Relationship Type="http://schemas.openxmlformats.org/officeDocument/2006/relationships/hyperlink" Id="rId38" Target="https://doi.org/10.3758/s13428-024-02347-x" TargetMode="External" /><Relationship Type="http://schemas.openxmlformats.org/officeDocument/2006/relationships/hyperlink" Id="rId48" Target="https://doi.org/10.5281/zenodo.7199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2026-06-07T23:25:38Z</dcterms:created>
  <dcterms:modified xsi:type="dcterms:W3CDTF">2026-06-07T23:25:38Z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and ‘OpenSesame’ experiment scripts whose hardware triggers for electroencephalography are time-locked to stimulus onset in both targets. The matching is deterministic, so the two engines select identical matched stimuli; we demonstrate this on four worked examples in English and Spanish.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2026-06-08</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