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2026-07-06</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is thus a reusable, FAIR-compliant tool for many</w:t>
      </w:r>
      <w:r>
        <w:t xml:space="preserve"> </w:t>
      </w:r>
      <w:r>
        <w:t xml:space="preserve">psycholinguistic paradigms and languages, not a single study’s script; the</w:t>
      </w:r>
      <w:r>
        <w:t xml:space="preserve"> </w:t>
      </w:r>
      <w:r>
        <w:t xml:space="preserve">longitudinal study above is one of twelve worked examples it reproduces.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 A</w:t>
      </w:r>
      <w:r>
        <w:t xml:space="preserve"> </w:t>
      </w:r>
      <w:r>
        <w:t xml:space="preserve">globally optimal assignment, for a two-condition design, minimises the total</w:t>
      </w:r>
      <w:r>
        <w:t xml:space="preserve"> </w:t>
      </w:r>
      <w:r>
        <w:t xml:space="preserve">distance over the whole pairing instead of taking the locally cheapest pair at each</w:t>
      </w:r>
      <w:r>
        <w:t xml:space="preserve"> </w:t>
      </w:r>
      <w:r>
        <w:t xml:space="preserve">step. Both rely on a linear-algebra routine, a matrix inverse and an assignment</w:t>
      </w:r>
      <w:r>
        <w:t xml:space="preserve"> </w:t>
      </w:r>
      <w:r>
        <w:t xml:space="preserve">solver respectively, whose last bits differ between the R and Python backends, so</w:t>
      </w:r>
      <w:r>
        <w:t xml:space="preserve"> </w:t>
      </w:r>
      <w:r>
        <w:t xml:space="preserve">on these two methods the engines select equivalent but not byte-identical</w:t>
      </w:r>
      <w:r>
        <w:t xml:space="preserve"> </w:t>
      </w:r>
      <w:r>
        <w:t xml:space="preserve">materials; each datasheet records which case applies.</w:t>
      </w:r>
    </w:p>
    <w:p>
      <w:pPr>
        <w:pStyle w:val="BodyText"/>
      </w:pPr>
      <w:r>
        <w:t xml:space="preserve">A design may also be declared</w:t>
      </w:r>
      <w:r>
        <w:t xml:space="preserve"> </w:t>
      </w:r>
      <w:r>
        <w:rPr>
          <w:i/>
          <w:iCs/>
        </w:rPr>
        <w:t xml:space="preserve">continuous</w:t>
      </w:r>
      <w:r>
        <w:t xml:space="preserve"> </w:t>
      </w:r>
      <w:r>
        <w:t xml:space="preserve">rather than dichotomised. Instead of</w:t>
      </w:r>
      <w:r>
        <w:t xml:space="preserve"> </w:t>
      </w:r>
      <w:r>
        <w:t xml:space="preserve">splitting a variable into conditions and matching, lexsync selects a set that</w:t>
      </w:r>
      <w:r>
        <w:t xml:space="preserve"> </w:t>
      </w:r>
      <w:r>
        <w:t xml:space="preserve">spans the variable’s range evenly while holding the control dimensions</w:t>
      </w:r>
      <w:r>
        <w:t xml:space="preserve"> </w:t>
      </w:r>
      <w:r>
        <w:t xml:space="preserve">near-constant, so the variable stays continuous and is analysed by regression or a</w:t>
      </w:r>
      <w:r>
        <w:t xml:space="preserve"> </w:t>
      </w:r>
      <w:r>
        <w:t xml:space="preserve">mixed model rather than a between-condition contrast. This is the recommended</w:t>
      </w:r>
      <w:r>
        <w:t xml:space="preserve"> </w:t>
      </w:r>
      <w:r>
        <w:t xml:space="preserve">alternative to matched dichotomies, which lose power and admit selection</w:t>
      </w:r>
      <w:r>
        <w:t xml:space="preserve"> </w:t>
      </w:r>
      <w:r>
        <w:t xml:space="preserve">artefacts; the datasheet reports the realised span, the predictor-control</w:t>
      </w:r>
      <w:r>
        <w:t xml:space="preserve"> </w:t>
      </w:r>
      <w:r>
        <w:t xml:space="preserve">correlations and a suggested regression model.</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and their intervals, a variance-ratio check on the spread, and the</w:t>
      </w:r>
      <w:r>
        <w:t xml:space="preserve"> </w:t>
      </w:r>
      <w:r>
        <w:t xml:space="preserve">equivalence verdicts),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2026-07-06T07:29:40Z</dcterms:created>
  <dcterms:modified xsi:type="dcterms:W3CDTF">2026-07-06T07:29:40Z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2026-07-06</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