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593C"/>
          <w:sz w:val="24"/>
        </w:rPr>
        <w:t>ECONOMYGAME</w:t>
      </w:r>
    </w:p>
    <w:p>
      <w:pPr>
        <w:pStyle w:val="Title"/>
        <w:jc w:val="center"/>
      </w:pPr>
      <w:r>
        <w:t>Supplier &amp; Client Issue Pressure System</w:t>
      </w:r>
    </w:p>
    <w:p>
      <w:pPr>
        <w:jc w:val="center"/>
      </w:pPr>
      <w:r>
        <w:rPr>
          <w:i/>
          <w:color w:val="5A5A5A"/>
          <w:sz w:val="30"/>
        </w:rPr>
        <w:t>Detailed Implementation Specification</w:t>
      </w:r>
    </w:p>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2E593C"/>
          </w:tcPr>
          <w:p>
            <w:r/>
            <w:r>
              <w:rPr>
                <w:b/>
                <w:color w:val="FFFFFF"/>
                <w:sz w:val="20"/>
              </w:rPr>
              <w:t>Purpose</w:t>
            </w:r>
          </w:p>
        </w:tc>
        <w:tc>
          <w:tcPr>
            <w:tcW w:type="dxa" w:w="5040"/>
            <w:vAlign w:val="center"/>
          </w:tcPr>
          <w:p>
            <w:r/>
            <w:r>
              <w:rPr>
                <w:b w:val="0"/>
                <w:sz w:val="20"/>
              </w:rPr>
              <w:t>Deterministic generation of supplier/client urgencies and negotiation issues.</w:t>
            </w:r>
          </w:p>
        </w:tc>
      </w:tr>
      <w:tr>
        <w:trPr>
          <w:cantSplit/>
        </w:trPr>
        <w:tc>
          <w:tcPr>
            <w:tcW w:type="dxa" w:w="5040"/>
            <w:vAlign w:val="center"/>
            <w:shd w:fill="2E593C"/>
          </w:tcPr>
          <w:p>
            <w:r/>
            <w:r>
              <w:rPr>
                <w:b/>
                <w:color w:val="FFFFFF"/>
                <w:sz w:val="20"/>
              </w:rPr>
              <w:t>Primary Goal</w:t>
            </w:r>
          </w:p>
        </w:tc>
        <w:tc>
          <w:tcPr>
            <w:tcW w:type="dxa" w:w="5040"/>
            <w:vAlign w:val="center"/>
          </w:tcPr>
          <w:p>
            <w:r/>
            <w:r>
              <w:rPr>
                <w:b w:val="0"/>
                <w:sz w:val="20"/>
              </w:rPr>
              <w:t>Events should be infrequent, explainable, and guaranteed at least once every five rounds unless Customer Service improvements prevent them.</w:t>
            </w:r>
          </w:p>
        </w:tc>
      </w:tr>
      <w:tr>
        <w:trPr>
          <w:cantSplit/>
        </w:trPr>
        <w:tc>
          <w:tcPr>
            <w:tcW w:type="dxa" w:w="5040"/>
            <w:vAlign w:val="center"/>
            <w:shd w:fill="2E593C"/>
          </w:tcPr>
          <w:p>
            <w:r/>
            <w:r>
              <w:rPr>
                <w:b/>
                <w:color w:val="FFFFFF"/>
                <w:sz w:val="20"/>
              </w:rPr>
              <w:t>Applies To</w:t>
            </w:r>
          </w:p>
        </w:tc>
        <w:tc>
          <w:tcPr>
            <w:tcW w:type="dxa" w:w="5040"/>
            <w:vAlign w:val="center"/>
          </w:tcPr>
          <w:p>
            <w:r/>
            <w:r>
              <w:rPr>
                <w:b w:val="0"/>
                <w:sz w:val="20"/>
              </w:rPr>
              <w:t>Every active supplier-client relationship in the game.</w:t>
            </w:r>
          </w:p>
        </w:tc>
      </w:tr>
      <w:tr>
        <w:trPr>
          <w:cantSplit/>
        </w:trPr>
        <w:tc>
          <w:tcPr>
            <w:tcW w:type="dxa" w:w="5040"/>
            <w:vAlign w:val="center"/>
            <w:shd w:fill="2E593C"/>
          </w:tcPr>
          <w:p>
            <w:r/>
            <w:r>
              <w:rPr>
                <w:b/>
                <w:color w:val="FFFFFF"/>
                <w:sz w:val="20"/>
              </w:rPr>
              <w:t>Implementation Status</w:t>
            </w:r>
          </w:p>
        </w:tc>
        <w:tc>
          <w:tcPr>
            <w:tcW w:type="dxa" w:w="5040"/>
            <w:vAlign w:val="center"/>
          </w:tcPr>
          <w:p>
            <w:r/>
            <w:r>
              <w:rPr>
                <w:b w:val="0"/>
                <w:sz w:val="20"/>
              </w:rPr>
              <w:t>Ready for development and balancing.</w:t>
            </w:r>
          </w:p>
        </w:tc>
      </w:tr>
    </w:tbl>
    <w:p>
      <w:r>
        <w:br w:type="page"/>
      </w:r>
    </w:p>
    <w:p>
      <w:pPr>
        <w:pStyle w:val="Heading1"/>
      </w:pPr>
      <w:r>
        <w:t>1. Executive Summary</w:t>
      </w:r>
    </w:p>
    <w:p>
      <w:r>
        <w:t>The system replaces random supplier and client negotiation events with a deterministic pressure model. Each commercial relationship accumulates Issue Pressure every round from operational, financial, relational, and dependency conditions. Customer Service improvements reduce that accumulation and create a Service Buffer capable of preventing or downgrading events. A mandatory review after five rounds guarantees that unmanaged relationships do not remain silent indefinitely.</w:t>
      </w:r>
    </w:p>
    <w:p>
      <w:pPr>
        <w:pStyle w:val="ListBullet"/>
      </w:pPr>
      <w:r>
        <w:t>No event is triggered by a pure random roll.</w:t>
      </w:r>
    </w:p>
    <w:p>
      <w:pPr>
        <w:pStyle w:val="ListBullet"/>
      </w:pPr>
      <w:r>
        <w:t>Every event has a visible, explainable gameplay cause.</w:t>
      </w:r>
    </w:p>
    <w:p>
      <w:pPr>
        <w:pStyle w:val="ListBullet"/>
      </w:pPr>
      <w:r>
        <w:t>Stable relationships normally reach review around round five.</w:t>
      </w:r>
    </w:p>
    <w:p>
      <w:pPr>
        <w:pStyle w:val="ListBullet"/>
      </w:pPr>
      <w:r>
        <w:t>Poor performance causes earlier issues, generally in rounds two through four.</w:t>
      </w:r>
    </w:p>
    <w:p>
      <w:pPr>
        <w:pStyle w:val="ListBullet"/>
      </w:pPr>
      <w:r>
        <w:t>Customer Service investments can prevent, delay, or soften issues.</w:t>
      </w:r>
    </w:p>
    <w:p>
      <w:pPr>
        <w:pStyle w:val="ListBullet"/>
      </w:pPr>
      <w:r>
        <w:t>A global queue prevents several negotiations from overwhelming the player in one round.</w:t>
      </w:r>
    </w:p>
    <w:p>
      <w:pPr>
        <w:pStyle w:val="Heading1"/>
      </w:pPr>
      <w:r>
        <w:t>2. Design Goals and Non-Goals</w:t>
      </w:r>
    </w:p>
    <w:p>
      <w:pPr>
        <w:pStyle w:val="Heading2"/>
      </w:pPr>
      <w:r>
        <w:t>2.1 Goals</w:t>
      </w:r>
    </w:p>
    <w:p>
      <w:pPr>
        <w:pStyle w:val="ListBullet"/>
      </w:pPr>
      <w:r>
        <w:t>Create recurring supplier and client negotiations that feel causally connected to the economy simulation.</w:t>
      </w:r>
    </w:p>
    <w:p>
      <w:pPr>
        <w:pStyle w:val="ListBullet"/>
      </w:pPr>
      <w:r>
        <w:t>Keep normal frequency low enough that negotiations remain meaningful.</w:t>
      </w:r>
    </w:p>
    <w:p>
      <w:pPr>
        <w:pStyle w:val="ListBullet"/>
      </w:pPr>
      <w:r>
        <w:t>Guarantee at least one relationship review every five rounds unless service improvements resolve the issue beforehand.</w:t>
      </w:r>
    </w:p>
    <w:p>
      <w:pPr>
        <w:pStyle w:val="ListBullet"/>
      </w:pPr>
      <w:r>
        <w:t>Differentiate supplier demands from client complaints.</w:t>
      </w:r>
    </w:p>
    <w:p>
      <w:pPr>
        <w:pStyle w:val="ListBullet"/>
      </w:pPr>
      <w:r>
        <w:t>Use existing relationship, reputation, morality, operational, and financial variables.</w:t>
      </w:r>
    </w:p>
    <w:p>
      <w:pPr>
        <w:pStyle w:val="ListBullet"/>
      </w:pPr>
      <w:r>
        <w:t>Make Customer Service improvements mechanically valuable.</w:t>
      </w:r>
    </w:p>
    <w:p>
      <w:pPr>
        <w:pStyle w:val="ListBullet"/>
      </w:pPr>
      <w:r>
        <w:t>Support clear UI explanations and AI-generated dialogue grounded in game state.</w:t>
      </w:r>
    </w:p>
    <w:p>
      <w:pPr>
        <w:pStyle w:val="Heading2"/>
      </w:pPr>
      <w:r>
        <w:t>2.2 Non-Goals</w:t>
      </w:r>
    </w:p>
    <w:p>
      <w:pPr>
        <w:pStyle w:val="ListBullet"/>
      </w:pPr>
      <w:r>
        <w:t>This system does not define the negotiation dialogue engine itself.</w:t>
      </w:r>
    </w:p>
    <w:p>
      <w:pPr>
        <w:pStyle w:val="ListBullet"/>
      </w:pPr>
      <w:r>
        <w:t>This system does not rebalance all business profitability variables.</w:t>
      </w:r>
    </w:p>
    <w:p>
      <w:pPr>
        <w:pStyle w:val="ListBullet"/>
      </w:pPr>
      <w:r>
        <w:t>This system does not use opaque randomness to decide whether an issue exists.</w:t>
      </w:r>
    </w:p>
    <w:p>
      <w:pPr>
        <w:pStyle w:val="ListBullet"/>
      </w:pPr>
      <w:r>
        <w:t>This system does not assume owning one endpoint automatically means a commercial link is controlled.</w:t>
      </w:r>
    </w:p>
    <w:p>
      <w:pPr>
        <w:pStyle w:val="Heading1"/>
      </w:pPr>
      <w:r>
        <w:t>3. Core Data Model</w:t>
      </w:r>
    </w:p>
    <w:p>
      <w:r>
        <w:t>Store state on each active commercial relationship. Do not store this only on businesses, because the same business may have several suppliers and clients with different histories.</w:t>
      </w:r>
    </w:p>
    <w:p>
      <w:pPr>
        <w:pStyle w:val="CodeBlock"/>
      </w:pPr>
      <w:r>
        <w:t>interface RelationshipIssueState {</w:t>
        <w:br/>
        <w:t xml:space="preserve">  relationshipId: string;</w:t>
        <w:br/>
        <w:t xml:space="preserve">  issuePressure: number;       // Recommended range: 0-200+</w:t>
        <w:br/>
        <w:t xml:space="preserve">  roundsSinceIssue: number;</w:t>
        <w:br/>
        <w:t xml:space="preserve">  serviceBuffer: number;       // Consumable prevention resource</w:t>
        <w:br/>
        <w:t xml:space="preserve">  lastIssueType?: IssueType;</w:t>
        <w:br/>
        <w:t xml:space="preserve">  recentIssueTypes: IssueType[];</w:t>
        <w:br/>
        <w:t xml:space="preserve">  consecutiveIssues: number;</w:t>
        <w:br/>
        <w:t xml:space="preserve">  pendingIssueId?: string;</w:t>
        <w:br/>
        <w:t xml:space="preserve">  lastReviewedRound: number;</w:t>
        <w:br/>
        <w:t xml:space="preserve">  lastPressureBreakdown?: PressureBreakdown;</w:t>
        <w:br/>
        <w:t>}</w:t>
      </w:r>
    </w:p>
    <w:p>
      <w:pPr>
        <w:pStyle w:val="CodeBlock"/>
      </w:pPr>
      <w:r>
        <w:t>interface PressureBreakdown {</w:t>
        <w:br/>
        <w:t xml:space="preserve">  base: number;</w:t>
        <w:br/>
        <w:t xml:space="preserve">  operational: number;</w:t>
        <w:br/>
        <w:t xml:space="preserve">  financial: number;</w:t>
        <w:br/>
        <w:t xml:space="preserve">  relationship: number;</w:t>
        <w:br/>
        <w:t xml:space="preserve">  dependency: number;</w:t>
        <w:br/>
        <w:t xml:space="preserve">  serviceMitigation: number;</w:t>
        <w:br/>
        <w:t xml:space="preserve">  totalGain: number;</w:t>
        <w:br/>
        <w:t xml:space="preserve">  reasons: PressureReason[];</w:t>
        <w:br/>
        <w:t>}</w:t>
      </w:r>
    </w:p>
    <w:p>
      <w:pPr>
        <w:pStyle w:val="CodeBlock"/>
      </w:pPr>
      <w:r>
        <w:t>interface PressureReason {</w:t>
        <w:br/>
        <w:t xml:space="preserve">  code: string;</w:t>
        <w:br/>
        <w:t xml:space="preserve">  label: string;</w:t>
        <w:br/>
        <w:t xml:space="preserve">  value: number;</w:t>
        <w:br/>
        <w:t xml:space="preserve">  sourceVariable: string;</w:t>
        <w:br/>
        <w:t>}</w:t>
      </w:r>
    </w:p>
    <w:p>
      <w:pPr>
        <w:pStyle w:val="Heading2"/>
      </w:pPr>
      <w:r>
        <w:t>3.1 Required Relationship Inputs</w:t>
      </w:r>
    </w:p>
    <w:p>
      <w:pPr>
        <w:pStyle w:val="ListBullet"/>
      </w:pPr>
      <w:r>
        <w:t>Supplier business ID and client business ID.</w:t>
      </w:r>
    </w:p>
    <w:p>
      <w:pPr>
        <w:pStyle w:val="ListBullet"/>
      </w:pPr>
      <w:r>
        <w:t>Resource or service transferred.</w:t>
      </w:r>
    </w:p>
    <w:p>
      <w:pPr>
        <w:pStyle w:val="ListBullet"/>
      </w:pPr>
      <w:r>
        <w:t>Contract price, volume, frequency, payment terms, and service-level terms.</w:t>
      </w:r>
    </w:p>
    <w:p>
      <w:pPr>
        <w:pStyle w:val="ListBullet"/>
      </w:pPr>
      <w:r>
        <w:t>Delivery performance, fill rate, quality rate, stockouts, and order volatility.</w:t>
      </w:r>
    </w:p>
    <w:p>
      <w:pPr>
        <w:pStyle w:val="ListBullet"/>
      </w:pPr>
      <w:r>
        <w:t>Relationship score, trust, memory flags, broken promises, reputation, and morality effects.</w:t>
      </w:r>
    </w:p>
    <w:p>
      <w:pPr>
        <w:pStyle w:val="ListBullet"/>
      </w:pPr>
      <w:r>
        <w:t>Dependency percentages for supplier and client.</w:t>
      </w:r>
    </w:p>
    <w:p>
      <w:pPr>
        <w:pStyle w:val="ListBullet"/>
      </w:pPr>
      <w:r>
        <w:t>Customer Service improvement levels and available Service Buffer.</w:t>
      </w:r>
    </w:p>
    <w:p>
      <w:pPr>
        <w:pStyle w:val="ListBullet"/>
      </w:pPr>
      <w:r>
        <w:t>Whether an issue is already pending or unresolved.</w:t>
      </w:r>
    </w:p>
    <w:p>
      <w:pPr>
        <w:pStyle w:val="Heading1"/>
      </w:pPr>
      <w:r>
        <w:t>4. Issue Pressure Calculation</w:t>
      </w:r>
    </w:p>
    <w:p>
      <w:r>
        <w:t>At the end of each round, calculate pressure once for every active relationship that is not currently blocked by an unresolved negotiation.</w:t>
      </w:r>
    </w:p>
    <w:p>
      <w:pPr>
        <w:pStyle w:val="CodeBlock"/>
      </w:pPr>
      <w:r>
        <w:t>newPressure = currentPressure</w:t>
        <w:br/>
        <w:t xml:space="preserve">            + basePressure</w:t>
        <w:br/>
        <w:t xml:space="preserve">            + operationalRisk</w:t>
        <w:br/>
        <w:t xml:space="preserve">            + financialRisk</w:t>
        <w:br/>
        <w:t xml:space="preserve">            + relationshipRisk</w:t>
        <w:br/>
        <w:t xml:space="preserve">            + dependencyRisk</w:t>
        <w:br/>
        <w:t xml:space="preserve">            - customerServiceMitigation</w:t>
      </w:r>
    </w:p>
    <w:p>
      <w:r>
        <w:t>Recommended initial base pressure: 16 points per round. This value is deliberately below the normal trigger threshold so stable relationships do not automatically generate events before the five-round review.</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2E593C"/>
          </w:tcPr>
          <w:p>
            <w:r/>
            <w:r>
              <w:rPr>
                <w:b/>
                <w:color w:val="FFFFFF"/>
                <w:sz w:val="18"/>
              </w:rPr>
              <w:t>Component</w:t>
            </w:r>
          </w:p>
        </w:tc>
        <w:tc>
          <w:tcPr>
            <w:tcW w:type="dxa" w:w="2520"/>
            <w:vAlign w:val="center"/>
            <w:shd w:fill="2E593C"/>
          </w:tcPr>
          <w:p>
            <w:r/>
            <w:r>
              <w:rPr>
                <w:b/>
                <w:color w:val="FFFFFF"/>
                <w:sz w:val="18"/>
              </w:rPr>
              <w:t>Purpose</w:t>
            </w:r>
          </w:p>
        </w:tc>
        <w:tc>
          <w:tcPr>
            <w:tcW w:type="dxa" w:w="2520"/>
            <w:vAlign w:val="center"/>
            <w:shd w:fill="2E593C"/>
          </w:tcPr>
          <w:p>
            <w:r/>
            <w:r>
              <w:rPr>
                <w:b/>
                <w:color w:val="FFFFFF"/>
                <w:sz w:val="18"/>
              </w:rPr>
              <w:t>Typical Range / Round</w:t>
            </w:r>
          </w:p>
        </w:tc>
        <w:tc>
          <w:tcPr>
            <w:tcW w:type="dxa" w:w="2520"/>
            <w:vAlign w:val="center"/>
            <w:shd w:fill="2E593C"/>
          </w:tcPr>
          <w:p>
            <w:r/>
            <w:r>
              <w:rPr>
                <w:b/>
                <w:color w:val="FFFFFF"/>
                <w:sz w:val="18"/>
              </w:rPr>
              <w:t>Primary Variables</w:t>
            </w:r>
          </w:p>
        </w:tc>
      </w:tr>
      <w:tr>
        <w:trPr>
          <w:cantSplit/>
        </w:trPr>
        <w:tc>
          <w:tcPr>
            <w:tcW w:type="dxa" w:w="2520"/>
            <w:vAlign w:val="center"/>
          </w:tcPr>
          <w:p>
            <w:r/>
            <w:r>
              <w:rPr>
                <w:b w:val="0"/>
                <w:sz w:val="17"/>
              </w:rPr>
              <w:t>Base Pressure</w:t>
            </w:r>
          </w:p>
        </w:tc>
        <w:tc>
          <w:tcPr>
            <w:tcW w:type="dxa" w:w="2520"/>
            <w:vAlign w:val="center"/>
          </w:tcPr>
          <w:p>
            <w:r/>
            <w:r>
              <w:rPr>
                <w:b w:val="0"/>
                <w:sz w:val="17"/>
              </w:rPr>
              <w:t>Ensures all unmanaged relationships gradually require attention.</w:t>
            </w:r>
          </w:p>
        </w:tc>
        <w:tc>
          <w:tcPr>
            <w:tcW w:type="dxa" w:w="2520"/>
            <w:vAlign w:val="center"/>
          </w:tcPr>
          <w:p>
            <w:r/>
            <w:r>
              <w:rPr>
                <w:b w:val="0"/>
                <w:sz w:val="17"/>
              </w:rPr>
              <w:t>+16</w:t>
            </w:r>
          </w:p>
        </w:tc>
        <w:tc>
          <w:tcPr>
            <w:tcW w:type="dxa" w:w="2520"/>
            <w:vAlign w:val="center"/>
          </w:tcPr>
          <w:p>
            <w:r/>
            <w:r>
              <w:rPr>
                <w:b w:val="0"/>
                <w:sz w:val="17"/>
              </w:rPr>
              <w:t>Always applied.</w:t>
            </w:r>
          </w:p>
        </w:tc>
      </w:tr>
      <w:tr>
        <w:trPr>
          <w:cantSplit/>
        </w:trPr>
        <w:tc>
          <w:tcPr>
            <w:tcW w:type="dxa" w:w="2520"/>
            <w:vAlign w:val="center"/>
          </w:tcPr>
          <w:p>
            <w:r/>
            <w:r>
              <w:rPr>
                <w:b w:val="0"/>
                <w:sz w:val="17"/>
              </w:rPr>
              <w:t>Operational Risk</w:t>
            </w:r>
          </w:p>
        </w:tc>
        <w:tc>
          <w:tcPr>
            <w:tcW w:type="dxa" w:w="2520"/>
            <w:vAlign w:val="center"/>
          </w:tcPr>
          <w:p>
            <w:r/>
            <w:r>
              <w:rPr>
                <w:b w:val="0"/>
                <w:sz w:val="17"/>
              </w:rPr>
              <w:t>Reflects failures in execution.</w:t>
            </w:r>
          </w:p>
        </w:tc>
        <w:tc>
          <w:tcPr>
            <w:tcW w:type="dxa" w:w="2520"/>
            <w:vAlign w:val="center"/>
          </w:tcPr>
          <w:p>
            <w:r/>
            <w:r>
              <w:rPr>
                <w:b w:val="0"/>
                <w:sz w:val="17"/>
              </w:rPr>
              <w:t>0 to +30</w:t>
            </w:r>
          </w:p>
        </w:tc>
        <w:tc>
          <w:tcPr>
            <w:tcW w:type="dxa" w:w="2520"/>
            <w:vAlign w:val="center"/>
          </w:tcPr>
          <w:p>
            <w:r/>
            <w:r>
              <w:rPr>
                <w:b w:val="0"/>
                <w:sz w:val="17"/>
              </w:rPr>
              <w:t>Late deliveries, stockouts, quality, capacity, downtime.</w:t>
            </w:r>
          </w:p>
        </w:tc>
      </w:tr>
      <w:tr>
        <w:trPr>
          <w:cantSplit/>
        </w:trPr>
        <w:tc>
          <w:tcPr>
            <w:tcW w:type="dxa" w:w="2520"/>
            <w:vAlign w:val="center"/>
          </w:tcPr>
          <w:p>
            <w:r/>
            <w:r>
              <w:rPr>
                <w:b w:val="0"/>
                <w:sz w:val="17"/>
              </w:rPr>
              <w:t>Financial Risk</w:t>
            </w:r>
          </w:p>
        </w:tc>
        <w:tc>
          <w:tcPr>
            <w:tcW w:type="dxa" w:w="2520"/>
            <w:vAlign w:val="center"/>
          </w:tcPr>
          <w:p>
            <w:r/>
            <w:r>
              <w:rPr>
                <w:b w:val="0"/>
                <w:sz w:val="17"/>
              </w:rPr>
              <w:t>Reflects economic strain.</w:t>
            </w:r>
          </w:p>
        </w:tc>
        <w:tc>
          <w:tcPr>
            <w:tcW w:type="dxa" w:w="2520"/>
            <w:vAlign w:val="center"/>
          </w:tcPr>
          <w:p>
            <w:r/>
            <w:r>
              <w:rPr>
                <w:b w:val="0"/>
                <w:sz w:val="17"/>
              </w:rPr>
              <w:t>0 to +30</w:t>
            </w:r>
          </w:p>
        </w:tc>
        <w:tc>
          <w:tcPr>
            <w:tcW w:type="dxa" w:w="2520"/>
            <w:vAlign w:val="center"/>
          </w:tcPr>
          <w:p>
            <w:r/>
            <w:r>
              <w:rPr>
                <w:b w:val="0"/>
                <w:sz w:val="17"/>
              </w:rPr>
              <w:t>Late payment, margin gap, price changes, cash stress.</w:t>
            </w:r>
          </w:p>
        </w:tc>
      </w:tr>
      <w:tr>
        <w:trPr>
          <w:cantSplit/>
        </w:trPr>
        <w:tc>
          <w:tcPr>
            <w:tcW w:type="dxa" w:w="2520"/>
            <w:vAlign w:val="center"/>
          </w:tcPr>
          <w:p>
            <w:r/>
            <w:r>
              <w:rPr>
                <w:b w:val="0"/>
                <w:sz w:val="17"/>
              </w:rPr>
              <w:t>Relationship Risk</w:t>
            </w:r>
          </w:p>
        </w:tc>
        <w:tc>
          <w:tcPr>
            <w:tcW w:type="dxa" w:w="2520"/>
            <w:vAlign w:val="center"/>
          </w:tcPr>
          <w:p>
            <w:r/>
            <w:r>
              <w:rPr>
                <w:b w:val="0"/>
                <w:sz w:val="17"/>
              </w:rPr>
              <w:t>Reflects trust and behavior.</w:t>
            </w:r>
          </w:p>
        </w:tc>
        <w:tc>
          <w:tcPr>
            <w:tcW w:type="dxa" w:w="2520"/>
            <w:vAlign w:val="center"/>
          </w:tcPr>
          <w:p>
            <w:r/>
            <w:r>
              <w:rPr>
                <w:b w:val="0"/>
                <w:sz w:val="17"/>
              </w:rPr>
              <w:t>-5 to +35</w:t>
            </w:r>
          </w:p>
        </w:tc>
        <w:tc>
          <w:tcPr>
            <w:tcW w:type="dxa" w:w="2520"/>
            <w:vAlign w:val="center"/>
          </w:tcPr>
          <w:p>
            <w:r/>
            <w:r>
              <w:rPr>
                <w:b w:val="0"/>
                <w:sz w:val="17"/>
              </w:rPr>
              <w:t>Relationship score, promises, reputation, memory.</w:t>
            </w:r>
          </w:p>
        </w:tc>
      </w:tr>
      <w:tr>
        <w:trPr>
          <w:cantSplit/>
        </w:trPr>
        <w:tc>
          <w:tcPr>
            <w:tcW w:type="dxa" w:w="2520"/>
            <w:vAlign w:val="center"/>
          </w:tcPr>
          <w:p>
            <w:r/>
            <w:r>
              <w:rPr>
                <w:b w:val="0"/>
                <w:sz w:val="17"/>
              </w:rPr>
              <w:t>Dependency Risk</w:t>
            </w:r>
          </w:p>
        </w:tc>
        <w:tc>
          <w:tcPr>
            <w:tcW w:type="dxa" w:w="2520"/>
            <w:vAlign w:val="center"/>
          </w:tcPr>
          <w:p>
            <w:r/>
            <w:r>
              <w:rPr>
                <w:b w:val="0"/>
                <w:sz w:val="17"/>
              </w:rPr>
              <w:t>Reflects leverage and concentration.</w:t>
            </w:r>
          </w:p>
        </w:tc>
        <w:tc>
          <w:tcPr>
            <w:tcW w:type="dxa" w:w="2520"/>
            <w:vAlign w:val="center"/>
          </w:tcPr>
          <w:p>
            <w:r/>
            <w:r>
              <w:rPr>
                <w:b w:val="0"/>
                <w:sz w:val="17"/>
              </w:rPr>
              <w:t>0 to +15</w:t>
            </w:r>
          </w:p>
        </w:tc>
        <w:tc>
          <w:tcPr>
            <w:tcW w:type="dxa" w:w="2520"/>
            <w:vAlign w:val="center"/>
          </w:tcPr>
          <w:p>
            <w:r/>
            <w:r>
              <w:rPr>
                <w:b w:val="0"/>
                <w:sz w:val="17"/>
              </w:rPr>
              <w:t>Single-source or single-client dependence.</w:t>
            </w:r>
          </w:p>
        </w:tc>
      </w:tr>
      <w:tr>
        <w:trPr>
          <w:cantSplit/>
        </w:trPr>
        <w:tc>
          <w:tcPr>
            <w:tcW w:type="dxa" w:w="2520"/>
            <w:vAlign w:val="center"/>
          </w:tcPr>
          <w:p>
            <w:r/>
            <w:r>
              <w:rPr>
                <w:b w:val="0"/>
                <w:sz w:val="17"/>
              </w:rPr>
              <w:t>Service Mitigation</w:t>
            </w:r>
          </w:p>
        </w:tc>
        <w:tc>
          <w:tcPr>
            <w:tcW w:type="dxa" w:w="2520"/>
            <w:vAlign w:val="center"/>
          </w:tcPr>
          <w:p>
            <w:r/>
            <w:r>
              <w:rPr>
                <w:b w:val="0"/>
                <w:sz w:val="17"/>
              </w:rPr>
              <w:t>Rewards Customer Service investment.</w:t>
            </w:r>
          </w:p>
        </w:tc>
        <w:tc>
          <w:tcPr>
            <w:tcW w:type="dxa" w:w="2520"/>
            <w:vAlign w:val="center"/>
          </w:tcPr>
          <w:p>
            <w:r/>
            <w:r>
              <w:rPr>
                <w:b w:val="0"/>
                <w:sz w:val="17"/>
              </w:rPr>
              <w:t>0 to -8</w:t>
            </w:r>
          </w:p>
        </w:tc>
        <w:tc>
          <w:tcPr>
            <w:tcW w:type="dxa" w:w="2520"/>
            <w:vAlign w:val="center"/>
          </w:tcPr>
          <w:p>
            <w:r/>
            <w:r>
              <w:rPr>
                <w:b w:val="0"/>
                <w:sz w:val="17"/>
              </w:rPr>
              <w:t>Account management, communication, QA, priority dispatch.</w:t>
            </w:r>
          </w:p>
        </w:tc>
      </w:tr>
    </w:tbl>
    <w:p>
      <w:pPr>
        <w:pStyle w:val="Heading1"/>
      </w:pPr>
      <w:r>
        <w:t>5. Component Rules</w:t>
      </w:r>
    </w:p>
    <w:p>
      <w:pPr>
        <w:pStyle w:val="Heading2"/>
      </w:pPr>
      <w:r>
        <w:t>5.1 Operational Risk</w:t>
      </w:r>
    </w:p>
    <w:p>
      <w:r>
        <w:t>Operational risk should be based on actual contract performance over a rolling window, preferably the last three rounds. Use normalized ratios so businesses of different sizes are comparable.</w:t>
      </w:r>
    </w:p>
    <w:tbl>
      <w:tblPr>
        <w:tblStyle w:val="TableGrid"/>
        <w:tblW w:type="auto" w:w="0"/>
        <w:tblLook w:firstColumn="1" w:firstRow="1" w:lastColumn="0" w:lastRow="0" w:noHBand="0" w:noVBand="1" w:val="04A0"/>
      </w:tblPr>
      <w:tblGrid>
        <w:gridCol w:w="3360"/>
        <w:gridCol w:w="3360"/>
        <w:gridCol w:w="3360"/>
      </w:tblGrid>
      <w:tr>
        <w:trPr>
          <w:cantSplit/>
        </w:trPr>
        <w:tc>
          <w:tcPr>
            <w:tcW w:type="dxa" w:w="3360"/>
            <w:vAlign w:val="center"/>
            <w:shd w:fill="7A2D1C"/>
          </w:tcPr>
          <w:p>
            <w:r/>
            <w:r>
              <w:rPr>
                <w:b/>
                <w:color w:val="FFFFFF"/>
                <w:sz w:val="18"/>
              </w:rPr>
              <w:t>Metric</w:t>
            </w:r>
          </w:p>
        </w:tc>
        <w:tc>
          <w:tcPr>
            <w:tcW w:type="dxa" w:w="3360"/>
            <w:vAlign w:val="center"/>
            <w:shd w:fill="7A2D1C"/>
          </w:tcPr>
          <w:p>
            <w:r/>
            <w:r>
              <w:rPr>
                <w:b/>
                <w:color w:val="FFFFFF"/>
                <w:sz w:val="18"/>
              </w:rPr>
              <w:t>Band</w:t>
            </w:r>
          </w:p>
        </w:tc>
        <w:tc>
          <w:tcPr>
            <w:tcW w:type="dxa" w:w="3360"/>
            <w:vAlign w:val="center"/>
            <w:shd w:fill="7A2D1C"/>
          </w:tcPr>
          <w:p>
            <w:r/>
            <w:r>
              <w:rPr>
                <w:b/>
                <w:color w:val="FFFFFF"/>
                <w:sz w:val="18"/>
              </w:rPr>
              <w:t>Pressure</w:t>
            </w:r>
          </w:p>
        </w:tc>
      </w:tr>
      <w:tr>
        <w:trPr>
          <w:cantSplit/>
        </w:trPr>
        <w:tc>
          <w:tcPr>
            <w:tcW w:type="dxa" w:w="3360"/>
            <w:vAlign w:val="center"/>
          </w:tcPr>
          <w:p>
            <w:r/>
            <w:r>
              <w:rPr>
                <w:b w:val="0"/>
                <w:sz w:val="17"/>
              </w:rPr>
              <w:t>Late delivery rate</w:t>
            </w:r>
          </w:p>
        </w:tc>
        <w:tc>
          <w:tcPr>
            <w:tcW w:type="dxa" w:w="3360"/>
            <w:vAlign w:val="center"/>
          </w:tcPr>
          <w:p>
            <w:r/>
            <w:r>
              <w:rPr>
                <w:b w:val="0"/>
                <w:sz w:val="17"/>
              </w:rPr>
              <w:t>0-5%</w:t>
            </w:r>
          </w:p>
        </w:tc>
        <w:tc>
          <w:tcPr>
            <w:tcW w:type="dxa" w:w="3360"/>
            <w:vAlign w:val="center"/>
          </w:tcPr>
          <w:p>
            <w:r/>
            <w:r>
              <w:rPr>
                <w:b w:val="0"/>
                <w:sz w:val="17"/>
              </w:rPr>
              <w:t>+0</w:t>
            </w:r>
          </w:p>
        </w:tc>
      </w:tr>
      <w:tr>
        <w:trPr>
          <w:cantSplit/>
        </w:trPr>
        <w:tc>
          <w:tcPr>
            <w:tcW w:type="dxa" w:w="3360"/>
            <w:vAlign w:val="center"/>
          </w:tcPr>
          <w:p>
            <w:r/>
            <w:r>
              <w:rPr>
                <w:b w:val="0"/>
                <w:sz w:val="17"/>
              </w:rPr>
              <w:t>Late delivery rate</w:t>
            </w:r>
          </w:p>
        </w:tc>
        <w:tc>
          <w:tcPr>
            <w:tcW w:type="dxa" w:w="3360"/>
            <w:vAlign w:val="center"/>
          </w:tcPr>
          <w:p>
            <w:r/>
            <w:r>
              <w:rPr>
                <w:b w:val="0"/>
                <w:sz w:val="17"/>
              </w:rPr>
              <w:t>6-10%</w:t>
            </w:r>
          </w:p>
        </w:tc>
        <w:tc>
          <w:tcPr>
            <w:tcW w:type="dxa" w:w="3360"/>
            <w:vAlign w:val="center"/>
          </w:tcPr>
          <w:p>
            <w:r/>
            <w:r>
              <w:rPr>
                <w:b w:val="0"/>
                <w:sz w:val="17"/>
              </w:rPr>
              <w:t>+4</w:t>
            </w:r>
          </w:p>
        </w:tc>
      </w:tr>
      <w:tr>
        <w:trPr>
          <w:cantSplit/>
        </w:trPr>
        <w:tc>
          <w:tcPr>
            <w:tcW w:type="dxa" w:w="3360"/>
            <w:vAlign w:val="center"/>
          </w:tcPr>
          <w:p>
            <w:r/>
            <w:r>
              <w:rPr>
                <w:b w:val="0"/>
                <w:sz w:val="17"/>
              </w:rPr>
              <w:t>Late delivery rate</w:t>
            </w:r>
          </w:p>
        </w:tc>
        <w:tc>
          <w:tcPr>
            <w:tcW w:type="dxa" w:w="3360"/>
            <w:vAlign w:val="center"/>
          </w:tcPr>
          <w:p>
            <w:r/>
            <w:r>
              <w:rPr>
                <w:b w:val="0"/>
                <w:sz w:val="17"/>
              </w:rPr>
              <w:t>11-20%</w:t>
            </w:r>
          </w:p>
        </w:tc>
        <w:tc>
          <w:tcPr>
            <w:tcW w:type="dxa" w:w="3360"/>
            <w:vAlign w:val="center"/>
          </w:tcPr>
          <w:p>
            <w:r/>
            <w:r>
              <w:rPr>
                <w:b w:val="0"/>
                <w:sz w:val="17"/>
              </w:rPr>
              <w:t>+9</w:t>
            </w:r>
          </w:p>
        </w:tc>
      </w:tr>
      <w:tr>
        <w:trPr>
          <w:cantSplit/>
        </w:trPr>
        <w:tc>
          <w:tcPr>
            <w:tcW w:type="dxa" w:w="3360"/>
            <w:vAlign w:val="center"/>
          </w:tcPr>
          <w:p>
            <w:r/>
            <w:r>
              <w:rPr>
                <w:b w:val="0"/>
                <w:sz w:val="17"/>
              </w:rPr>
              <w:t>Late delivery rate</w:t>
            </w:r>
          </w:p>
        </w:tc>
        <w:tc>
          <w:tcPr>
            <w:tcW w:type="dxa" w:w="3360"/>
            <w:vAlign w:val="center"/>
          </w:tcPr>
          <w:p>
            <w:r/>
            <w:r>
              <w:rPr>
                <w:b w:val="0"/>
                <w:sz w:val="17"/>
              </w:rPr>
              <w:t>21%+</w:t>
            </w:r>
          </w:p>
        </w:tc>
        <w:tc>
          <w:tcPr>
            <w:tcW w:type="dxa" w:w="3360"/>
            <w:vAlign w:val="center"/>
          </w:tcPr>
          <w:p>
            <w:r/>
            <w:r>
              <w:rPr>
                <w:b w:val="0"/>
                <w:sz w:val="17"/>
              </w:rPr>
              <w:t>+16</w:t>
            </w:r>
          </w:p>
        </w:tc>
      </w:tr>
      <w:tr>
        <w:trPr>
          <w:cantSplit/>
        </w:trPr>
        <w:tc>
          <w:tcPr>
            <w:tcW w:type="dxa" w:w="3360"/>
            <w:vAlign w:val="center"/>
          </w:tcPr>
          <w:p>
            <w:r/>
            <w:r>
              <w:rPr>
                <w:b w:val="0"/>
                <w:sz w:val="17"/>
              </w:rPr>
              <w:t>Capacity utilization</w:t>
            </w:r>
          </w:p>
        </w:tc>
        <w:tc>
          <w:tcPr>
            <w:tcW w:type="dxa" w:w="3360"/>
            <w:vAlign w:val="center"/>
          </w:tcPr>
          <w:p>
            <w:r/>
            <w:r>
              <w:rPr>
                <w:b w:val="0"/>
                <w:sz w:val="17"/>
              </w:rPr>
              <w:t>Below 75%</w:t>
            </w:r>
          </w:p>
        </w:tc>
        <w:tc>
          <w:tcPr>
            <w:tcW w:type="dxa" w:w="3360"/>
            <w:vAlign w:val="center"/>
          </w:tcPr>
          <w:p>
            <w:r/>
            <w:r>
              <w:rPr>
                <w:b w:val="0"/>
                <w:sz w:val="17"/>
              </w:rPr>
              <w:t>+0</w:t>
            </w:r>
          </w:p>
        </w:tc>
      </w:tr>
      <w:tr>
        <w:trPr>
          <w:cantSplit/>
        </w:trPr>
        <w:tc>
          <w:tcPr>
            <w:tcW w:type="dxa" w:w="3360"/>
            <w:vAlign w:val="center"/>
          </w:tcPr>
          <w:p>
            <w:r/>
            <w:r>
              <w:rPr>
                <w:b w:val="0"/>
                <w:sz w:val="17"/>
              </w:rPr>
              <w:t>Capacity utilization</w:t>
            </w:r>
          </w:p>
        </w:tc>
        <w:tc>
          <w:tcPr>
            <w:tcW w:type="dxa" w:w="3360"/>
            <w:vAlign w:val="center"/>
          </w:tcPr>
          <w:p>
            <w:r/>
            <w:r>
              <w:rPr>
                <w:b w:val="0"/>
                <w:sz w:val="17"/>
              </w:rPr>
              <w:t>75-90%</w:t>
            </w:r>
          </w:p>
        </w:tc>
        <w:tc>
          <w:tcPr>
            <w:tcW w:type="dxa" w:w="3360"/>
            <w:vAlign w:val="center"/>
          </w:tcPr>
          <w:p>
            <w:r/>
            <w:r>
              <w:rPr>
                <w:b w:val="0"/>
                <w:sz w:val="17"/>
              </w:rPr>
              <w:t>+3</w:t>
            </w:r>
          </w:p>
        </w:tc>
      </w:tr>
      <w:tr>
        <w:trPr>
          <w:cantSplit/>
        </w:trPr>
        <w:tc>
          <w:tcPr>
            <w:tcW w:type="dxa" w:w="3360"/>
            <w:vAlign w:val="center"/>
          </w:tcPr>
          <w:p>
            <w:r/>
            <w:r>
              <w:rPr>
                <w:b w:val="0"/>
                <w:sz w:val="17"/>
              </w:rPr>
              <w:t>Capacity utilization</w:t>
            </w:r>
          </w:p>
        </w:tc>
        <w:tc>
          <w:tcPr>
            <w:tcW w:type="dxa" w:w="3360"/>
            <w:vAlign w:val="center"/>
          </w:tcPr>
          <w:p>
            <w:r/>
            <w:r>
              <w:rPr>
                <w:b w:val="0"/>
                <w:sz w:val="17"/>
              </w:rPr>
              <w:t>91-100%</w:t>
            </w:r>
          </w:p>
        </w:tc>
        <w:tc>
          <w:tcPr>
            <w:tcW w:type="dxa" w:w="3360"/>
            <w:vAlign w:val="center"/>
          </w:tcPr>
          <w:p>
            <w:r/>
            <w:r>
              <w:rPr>
                <w:b w:val="0"/>
                <w:sz w:val="17"/>
              </w:rPr>
              <w:t>+8</w:t>
            </w:r>
          </w:p>
        </w:tc>
      </w:tr>
      <w:tr>
        <w:trPr>
          <w:cantSplit/>
        </w:trPr>
        <w:tc>
          <w:tcPr>
            <w:tcW w:type="dxa" w:w="3360"/>
            <w:vAlign w:val="center"/>
          </w:tcPr>
          <w:p>
            <w:r/>
            <w:r>
              <w:rPr>
                <w:b w:val="0"/>
                <w:sz w:val="17"/>
              </w:rPr>
              <w:t>Capacity utilization</w:t>
            </w:r>
          </w:p>
        </w:tc>
        <w:tc>
          <w:tcPr>
            <w:tcW w:type="dxa" w:w="3360"/>
            <w:vAlign w:val="center"/>
          </w:tcPr>
          <w:p>
            <w:r/>
            <w:r>
              <w:rPr>
                <w:b w:val="0"/>
                <w:sz w:val="17"/>
              </w:rPr>
              <w:t>Over 100%</w:t>
            </w:r>
          </w:p>
        </w:tc>
        <w:tc>
          <w:tcPr>
            <w:tcW w:type="dxa" w:w="3360"/>
            <w:vAlign w:val="center"/>
          </w:tcPr>
          <w:p>
            <w:r/>
            <w:r>
              <w:rPr>
                <w:b w:val="0"/>
                <w:sz w:val="17"/>
              </w:rPr>
              <w:t>+15</w:t>
            </w:r>
          </w:p>
        </w:tc>
      </w:tr>
    </w:tbl>
    <w:p>
      <w:pPr>
        <w:pStyle w:val="ListBullet"/>
      </w:pPr>
      <w:r>
        <w:t>Add quality-failure pressure when accepted quality falls below the contract standard.</w:t>
      </w:r>
    </w:p>
    <w:p>
      <w:pPr>
        <w:pStyle w:val="ListBullet"/>
      </w:pPr>
      <w:r>
        <w:t>Add stockout pressure only when the relationship is responsible for the shortage.</w:t>
      </w:r>
    </w:p>
    <w:p>
      <w:pPr>
        <w:pStyle w:val="ListBullet"/>
      </w:pPr>
      <w:r>
        <w:t>Cap the combined operational component at +30 per round for the first balancing pass.</w:t>
      </w:r>
    </w:p>
    <w:p>
      <w:pPr>
        <w:pStyle w:val="Heading2"/>
      </w:pPr>
      <w:r>
        <w:t>5.2 Financial Risk</w:t>
      </w:r>
    </w:p>
    <w:tbl>
      <w:tblPr>
        <w:tblStyle w:val="TableGrid"/>
        <w:tblW w:type="auto" w:w="0"/>
        <w:tblLook w:firstColumn="1" w:firstRow="1" w:lastColumn="0" w:lastRow="0" w:noHBand="0" w:noVBand="1" w:val="04A0"/>
      </w:tblPr>
      <w:tblGrid>
        <w:gridCol w:w="3360"/>
        <w:gridCol w:w="3360"/>
        <w:gridCol w:w="3360"/>
      </w:tblGrid>
      <w:tr>
        <w:trPr>
          <w:cantSplit/>
        </w:trPr>
        <w:tc>
          <w:tcPr>
            <w:tcW w:type="dxa" w:w="3360"/>
            <w:vAlign w:val="center"/>
            <w:shd w:fill="7A2D1C"/>
          </w:tcPr>
          <w:p>
            <w:r/>
            <w:r>
              <w:rPr>
                <w:b/>
                <w:color w:val="FFFFFF"/>
                <w:sz w:val="18"/>
              </w:rPr>
              <w:t>Metric</w:t>
            </w:r>
          </w:p>
        </w:tc>
        <w:tc>
          <w:tcPr>
            <w:tcW w:type="dxa" w:w="3360"/>
            <w:vAlign w:val="center"/>
            <w:shd w:fill="7A2D1C"/>
          </w:tcPr>
          <w:p>
            <w:r/>
            <w:r>
              <w:rPr>
                <w:b/>
                <w:color w:val="FFFFFF"/>
                <w:sz w:val="18"/>
              </w:rPr>
              <w:t>Band</w:t>
            </w:r>
          </w:p>
        </w:tc>
        <w:tc>
          <w:tcPr>
            <w:tcW w:type="dxa" w:w="3360"/>
            <w:vAlign w:val="center"/>
            <w:shd w:fill="7A2D1C"/>
          </w:tcPr>
          <w:p>
            <w:r/>
            <w:r>
              <w:rPr>
                <w:b/>
                <w:color w:val="FFFFFF"/>
                <w:sz w:val="18"/>
              </w:rPr>
              <w:t>Pressure</w:t>
            </w:r>
          </w:p>
        </w:tc>
      </w:tr>
      <w:tr>
        <w:trPr>
          <w:cantSplit/>
        </w:trPr>
        <w:tc>
          <w:tcPr>
            <w:tcW w:type="dxa" w:w="3360"/>
            <w:vAlign w:val="center"/>
          </w:tcPr>
          <w:p>
            <w:r/>
            <w:r>
              <w:rPr>
                <w:b w:val="0"/>
                <w:sz w:val="17"/>
              </w:rPr>
              <w:t>Payment status</w:t>
            </w:r>
          </w:p>
        </w:tc>
        <w:tc>
          <w:tcPr>
            <w:tcW w:type="dxa" w:w="3360"/>
            <w:vAlign w:val="center"/>
          </w:tcPr>
          <w:p>
            <w:r/>
            <w:r>
              <w:rPr>
                <w:b w:val="0"/>
                <w:sz w:val="17"/>
              </w:rPr>
              <w:t>On time</w:t>
            </w:r>
          </w:p>
        </w:tc>
        <w:tc>
          <w:tcPr>
            <w:tcW w:type="dxa" w:w="3360"/>
            <w:vAlign w:val="center"/>
          </w:tcPr>
          <w:p>
            <w:r/>
            <w:r>
              <w:rPr>
                <w:b w:val="0"/>
                <w:sz w:val="17"/>
              </w:rPr>
              <w:t>+0</w:t>
            </w:r>
          </w:p>
        </w:tc>
      </w:tr>
      <w:tr>
        <w:trPr>
          <w:cantSplit/>
        </w:trPr>
        <w:tc>
          <w:tcPr>
            <w:tcW w:type="dxa" w:w="3360"/>
            <w:vAlign w:val="center"/>
          </w:tcPr>
          <w:p>
            <w:r/>
            <w:r>
              <w:rPr>
                <w:b w:val="0"/>
                <w:sz w:val="17"/>
              </w:rPr>
              <w:t>Payment status</w:t>
            </w:r>
          </w:p>
        </w:tc>
        <w:tc>
          <w:tcPr>
            <w:tcW w:type="dxa" w:w="3360"/>
            <w:vAlign w:val="center"/>
          </w:tcPr>
          <w:p>
            <w:r/>
            <w:r>
              <w:rPr>
                <w:b w:val="0"/>
                <w:sz w:val="17"/>
              </w:rPr>
              <w:t>1 round late</w:t>
            </w:r>
          </w:p>
        </w:tc>
        <w:tc>
          <w:tcPr>
            <w:tcW w:type="dxa" w:w="3360"/>
            <w:vAlign w:val="center"/>
          </w:tcPr>
          <w:p>
            <w:r/>
            <w:r>
              <w:rPr>
                <w:b w:val="0"/>
                <w:sz w:val="17"/>
              </w:rPr>
              <w:t>+6</w:t>
            </w:r>
          </w:p>
        </w:tc>
      </w:tr>
      <w:tr>
        <w:trPr>
          <w:cantSplit/>
        </w:trPr>
        <w:tc>
          <w:tcPr>
            <w:tcW w:type="dxa" w:w="3360"/>
            <w:vAlign w:val="center"/>
          </w:tcPr>
          <w:p>
            <w:r/>
            <w:r>
              <w:rPr>
                <w:b w:val="0"/>
                <w:sz w:val="17"/>
              </w:rPr>
              <w:t>Payment status</w:t>
            </w:r>
          </w:p>
        </w:tc>
        <w:tc>
          <w:tcPr>
            <w:tcW w:type="dxa" w:w="3360"/>
            <w:vAlign w:val="center"/>
          </w:tcPr>
          <w:p>
            <w:r/>
            <w:r>
              <w:rPr>
                <w:b w:val="0"/>
                <w:sz w:val="17"/>
              </w:rPr>
              <w:t>2 rounds late</w:t>
            </w:r>
          </w:p>
        </w:tc>
        <w:tc>
          <w:tcPr>
            <w:tcW w:type="dxa" w:w="3360"/>
            <w:vAlign w:val="center"/>
          </w:tcPr>
          <w:p>
            <w:r/>
            <w:r>
              <w:rPr>
                <w:b w:val="0"/>
                <w:sz w:val="17"/>
              </w:rPr>
              <w:t>+14</w:t>
            </w:r>
          </w:p>
        </w:tc>
      </w:tr>
      <w:tr>
        <w:trPr>
          <w:cantSplit/>
        </w:trPr>
        <w:tc>
          <w:tcPr>
            <w:tcW w:type="dxa" w:w="3360"/>
            <w:vAlign w:val="center"/>
          </w:tcPr>
          <w:p>
            <w:r/>
            <w:r>
              <w:rPr>
                <w:b w:val="0"/>
                <w:sz w:val="17"/>
              </w:rPr>
              <w:t>Payment status</w:t>
            </w:r>
          </w:p>
        </w:tc>
        <w:tc>
          <w:tcPr>
            <w:tcW w:type="dxa" w:w="3360"/>
            <w:vAlign w:val="center"/>
          </w:tcPr>
          <w:p>
            <w:r/>
            <w:r>
              <w:rPr>
                <w:b w:val="0"/>
                <w:sz w:val="17"/>
              </w:rPr>
              <w:t>3+ rounds late</w:t>
            </w:r>
          </w:p>
        </w:tc>
        <w:tc>
          <w:tcPr>
            <w:tcW w:type="dxa" w:w="3360"/>
            <w:vAlign w:val="center"/>
          </w:tcPr>
          <w:p>
            <w:r/>
            <w:r>
              <w:rPr>
                <w:b w:val="0"/>
                <w:sz w:val="17"/>
              </w:rPr>
              <w:t>+25</w:t>
            </w:r>
          </w:p>
        </w:tc>
      </w:tr>
      <w:tr>
        <w:trPr>
          <w:cantSplit/>
        </w:trPr>
        <w:tc>
          <w:tcPr>
            <w:tcW w:type="dxa" w:w="3360"/>
            <w:vAlign w:val="center"/>
          </w:tcPr>
          <w:p>
            <w:r/>
            <w:r>
              <w:rPr>
                <w:b w:val="0"/>
                <w:sz w:val="17"/>
              </w:rPr>
              <w:t>Relationship margin</w:t>
            </w:r>
          </w:p>
        </w:tc>
        <w:tc>
          <w:tcPr>
            <w:tcW w:type="dxa" w:w="3360"/>
            <w:vAlign w:val="center"/>
          </w:tcPr>
          <w:p>
            <w:r/>
            <w:r>
              <w:rPr>
                <w:b w:val="0"/>
                <w:sz w:val="17"/>
              </w:rPr>
              <w:t>Healthy</w:t>
            </w:r>
          </w:p>
        </w:tc>
        <w:tc>
          <w:tcPr>
            <w:tcW w:type="dxa" w:w="3360"/>
            <w:vAlign w:val="center"/>
          </w:tcPr>
          <w:p>
            <w:r/>
            <w:r>
              <w:rPr>
                <w:b w:val="0"/>
                <w:sz w:val="17"/>
              </w:rPr>
              <w:t>+0</w:t>
            </w:r>
          </w:p>
        </w:tc>
      </w:tr>
      <w:tr>
        <w:trPr>
          <w:cantSplit/>
        </w:trPr>
        <w:tc>
          <w:tcPr>
            <w:tcW w:type="dxa" w:w="3360"/>
            <w:vAlign w:val="center"/>
          </w:tcPr>
          <w:p>
            <w:r/>
            <w:r>
              <w:rPr>
                <w:b w:val="0"/>
                <w:sz w:val="17"/>
              </w:rPr>
              <w:t>Relationship margin</w:t>
            </w:r>
          </w:p>
        </w:tc>
        <w:tc>
          <w:tcPr>
            <w:tcW w:type="dxa" w:w="3360"/>
            <w:vAlign w:val="center"/>
          </w:tcPr>
          <w:p>
            <w:r/>
            <w:r>
              <w:rPr>
                <w:b w:val="0"/>
                <w:sz w:val="17"/>
              </w:rPr>
              <w:t>Below target</w:t>
            </w:r>
          </w:p>
        </w:tc>
        <w:tc>
          <w:tcPr>
            <w:tcW w:type="dxa" w:w="3360"/>
            <w:vAlign w:val="center"/>
          </w:tcPr>
          <w:p>
            <w:r/>
            <w:r>
              <w:rPr>
                <w:b w:val="0"/>
                <w:sz w:val="17"/>
              </w:rPr>
              <w:t>+5</w:t>
            </w:r>
          </w:p>
        </w:tc>
      </w:tr>
      <w:tr>
        <w:trPr>
          <w:cantSplit/>
        </w:trPr>
        <w:tc>
          <w:tcPr>
            <w:tcW w:type="dxa" w:w="3360"/>
            <w:vAlign w:val="center"/>
          </w:tcPr>
          <w:p>
            <w:r/>
            <w:r>
              <w:rPr>
                <w:b w:val="0"/>
                <w:sz w:val="17"/>
              </w:rPr>
              <w:t>Relationship margin</w:t>
            </w:r>
          </w:p>
        </w:tc>
        <w:tc>
          <w:tcPr>
            <w:tcW w:type="dxa" w:w="3360"/>
            <w:vAlign w:val="center"/>
          </w:tcPr>
          <w:p>
            <w:r/>
            <w:r>
              <w:rPr>
                <w:b w:val="0"/>
                <w:sz w:val="17"/>
              </w:rPr>
              <w:t>Near break-even</w:t>
            </w:r>
          </w:p>
        </w:tc>
        <w:tc>
          <w:tcPr>
            <w:tcW w:type="dxa" w:w="3360"/>
            <w:vAlign w:val="center"/>
          </w:tcPr>
          <w:p>
            <w:r/>
            <w:r>
              <w:rPr>
                <w:b w:val="0"/>
                <w:sz w:val="17"/>
              </w:rPr>
              <w:t>+12</w:t>
            </w:r>
          </w:p>
        </w:tc>
      </w:tr>
      <w:tr>
        <w:trPr>
          <w:cantSplit/>
        </w:trPr>
        <w:tc>
          <w:tcPr>
            <w:tcW w:type="dxa" w:w="3360"/>
            <w:vAlign w:val="center"/>
          </w:tcPr>
          <w:p>
            <w:r/>
            <w:r>
              <w:rPr>
                <w:b w:val="0"/>
                <w:sz w:val="17"/>
              </w:rPr>
              <w:t>Relationship margin</w:t>
            </w:r>
          </w:p>
        </w:tc>
        <w:tc>
          <w:tcPr>
            <w:tcW w:type="dxa" w:w="3360"/>
            <w:vAlign w:val="center"/>
          </w:tcPr>
          <w:p>
            <w:r/>
            <w:r>
              <w:rPr>
                <w:b w:val="0"/>
                <w:sz w:val="17"/>
              </w:rPr>
              <w:t>Negative</w:t>
            </w:r>
          </w:p>
        </w:tc>
        <w:tc>
          <w:tcPr>
            <w:tcW w:type="dxa" w:w="3360"/>
            <w:vAlign w:val="center"/>
          </w:tcPr>
          <w:p>
            <w:r/>
            <w:r>
              <w:rPr>
                <w:b w:val="0"/>
                <w:sz w:val="17"/>
              </w:rPr>
              <w:t>+22</w:t>
            </w:r>
          </w:p>
        </w:tc>
      </w:tr>
    </w:tbl>
    <w:p>
      <w:pPr>
        <w:pStyle w:val="ListBullet"/>
      </w:pPr>
      <w:r>
        <w:t>Supplier pressure emphasizes late payment, low margin, unstable orders, and input-cost inflation.</w:t>
      </w:r>
    </w:p>
    <w:p>
      <w:pPr>
        <w:pStyle w:val="ListBullet"/>
      </w:pPr>
      <w:r>
        <w:t>Client pressure emphasizes high price, poor value, missed volume commitments, and competitor alternatives.</w:t>
      </w:r>
    </w:p>
    <w:p>
      <w:pPr>
        <w:pStyle w:val="ListBullet"/>
      </w:pPr>
      <w:r>
        <w:t>Cap the combined financial component at +30 per round initially.</w:t>
      </w:r>
    </w:p>
    <w:p>
      <w:pPr>
        <w:pStyle w:val="Heading2"/>
      </w:pPr>
      <w:r>
        <w:t>5.3 Relationship Risk</w:t>
      </w:r>
    </w:p>
    <w:tbl>
      <w:tblPr>
        <w:tblStyle w:val="TableGrid"/>
        <w:tblW w:type="auto" w:w="0"/>
        <w:tblLook w:firstColumn="1" w:firstRow="1" w:lastColumn="0" w:lastRow="0" w:noHBand="0" w:noVBand="1" w:val="04A0"/>
      </w:tblPr>
      <w:tblGrid>
        <w:gridCol w:w="3360"/>
        <w:gridCol w:w="3360"/>
        <w:gridCol w:w="3360"/>
      </w:tblGrid>
      <w:tr>
        <w:trPr>
          <w:cantSplit/>
        </w:trPr>
        <w:tc>
          <w:tcPr>
            <w:tcW w:type="dxa" w:w="3360"/>
            <w:vAlign w:val="center"/>
            <w:shd w:fill="7A2D1C"/>
          </w:tcPr>
          <w:p>
            <w:r/>
            <w:r>
              <w:rPr>
                <w:b/>
                <w:color w:val="FFFFFF"/>
                <w:sz w:val="18"/>
              </w:rPr>
              <w:t>Relationship Score</w:t>
            </w:r>
          </w:p>
        </w:tc>
        <w:tc>
          <w:tcPr>
            <w:tcW w:type="dxa" w:w="3360"/>
            <w:vAlign w:val="center"/>
            <w:shd w:fill="7A2D1C"/>
          </w:tcPr>
          <w:p>
            <w:r/>
            <w:r>
              <w:rPr>
                <w:b/>
                <w:color w:val="FFFFFF"/>
                <w:sz w:val="18"/>
              </w:rPr>
              <w:t>Pressure</w:t>
            </w:r>
          </w:p>
        </w:tc>
        <w:tc>
          <w:tcPr>
            <w:tcW w:type="dxa" w:w="3360"/>
            <w:vAlign w:val="center"/>
            <w:shd w:fill="7A2D1C"/>
          </w:tcPr>
          <w:p>
            <w:r/>
            <w:r>
              <w:rPr>
                <w:b/>
                <w:color w:val="FFFFFF"/>
                <w:sz w:val="18"/>
              </w:rPr>
              <w:t>Interpretation</w:t>
            </w:r>
          </w:p>
        </w:tc>
      </w:tr>
      <w:tr>
        <w:trPr>
          <w:cantSplit/>
        </w:trPr>
        <w:tc>
          <w:tcPr>
            <w:tcW w:type="dxa" w:w="3360"/>
            <w:vAlign w:val="center"/>
          </w:tcPr>
          <w:p>
            <w:r/>
            <w:r>
              <w:rPr>
                <w:b w:val="0"/>
                <w:sz w:val="17"/>
              </w:rPr>
              <w:t>80-100</w:t>
            </w:r>
          </w:p>
        </w:tc>
        <w:tc>
          <w:tcPr>
            <w:tcW w:type="dxa" w:w="3360"/>
            <w:vAlign w:val="center"/>
          </w:tcPr>
          <w:p>
            <w:r/>
            <w:r>
              <w:rPr>
                <w:b w:val="0"/>
                <w:sz w:val="17"/>
              </w:rPr>
              <w:t>-5</w:t>
            </w:r>
          </w:p>
        </w:tc>
        <w:tc>
          <w:tcPr>
            <w:tcW w:type="dxa" w:w="3360"/>
            <w:vAlign w:val="center"/>
          </w:tcPr>
          <w:p>
            <w:r/>
            <w:r>
              <w:rPr>
                <w:b w:val="0"/>
                <w:sz w:val="17"/>
              </w:rPr>
              <w:t>Strong trust slows issue creation.</w:t>
            </w:r>
          </w:p>
        </w:tc>
      </w:tr>
      <w:tr>
        <w:trPr>
          <w:cantSplit/>
        </w:trPr>
        <w:tc>
          <w:tcPr>
            <w:tcW w:type="dxa" w:w="3360"/>
            <w:vAlign w:val="center"/>
          </w:tcPr>
          <w:p>
            <w:r/>
            <w:r>
              <w:rPr>
                <w:b w:val="0"/>
                <w:sz w:val="17"/>
              </w:rPr>
              <w:t>60-79</w:t>
            </w:r>
          </w:p>
        </w:tc>
        <w:tc>
          <w:tcPr>
            <w:tcW w:type="dxa" w:w="3360"/>
            <w:vAlign w:val="center"/>
          </w:tcPr>
          <w:p>
            <w:r/>
            <w:r>
              <w:rPr>
                <w:b w:val="0"/>
                <w:sz w:val="17"/>
              </w:rPr>
              <w:t>-2</w:t>
            </w:r>
          </w:p>
        </w:tc>
        <w:tc>
          <w:tcPr>
            <w:tcW w:type="dxa" w:w="3360"/>
            <w:vAlign w:val="center"/>
          </w:tcPr>
          <w:p>
            <w:r/>
            <w:r>
              <w:rPr>
                <w:b w:val="0"/>
                <w:sz w:val="17"/>
              </w:rPr>
              <w:t>Healthy relationship.</w:t>
            </w:r>
          </w:p>
        </w:tc>
      </w:tr>
      <w:tr>
        <w:trPr>
          <w:cantSplit/>
        </w:trPr>
        <w:tc>
          <w:tcPr>
            <w:tcW w:type="dxa" w:w="3360"/>
            <w:vAlign w:val="center"/>
          </w:tcPr>
          <w:p>
            <w:r/>
            <w:r>
              <w:rPr>
                <w:b w:val="0"/>
                <w:sz w:val="17"/>
              </w:rPr>
              <w:t>40-59</w:t>
            </w:r>
          </w:p>
        </w:tc>
        <w:tc>
          <w:tcPr>
            <w:tcW w:type="dxa" w:w="3360"/>
            <w:vAlign w:val="center"/>
          </w:tcPr>
          <w:p>
            <w:r/>
            <w:r>
              <w:rPr>
                <w:b w:val="0"/>
                <w:sz w:val="17"/>
              </w:rPr>
              <w:t>0</w:t>
            </w:r>
          </w:p>
        </w:tc>
        <w:tc>
          <w:tcPr>
            <w:tcW w:type="dxa" w:w="3360"/>
            <w:vAlign w:val="center"/>
          </w:tcPr>
          <w:p>
            <w:r/>
            <w:r>
              <w:rPr>
                <w:b w:val="0"/>
                <w:sz w:val="17"/>
              </w:rPr>
              <w:t>Neutral.</w:t>
            </w:r>
          </w:p>
        </w:tc>
      </w:tr>
      <w:tr>
        <w:trPr>
          <w:cantSplit/>
        </w:trPr>
        <w:tc>
          <w:tcPr>
            <w:tcW w:type="dxa" w:w="3360"/>
            <w:vAlign w:val="center"/>
          </w:tcPr>
          <w:p>
            <w:r/>
            <w:r>
              <w:rPr>
                <w:b w:val="0"/>
                <w:sz w:val="17"/>
              </w:rPr>
              <w:t>20-39</w:t>
            </w:r>
          </w:p>
        </w:tc>
        <w:tc>
          <w:tcPr>
            <w:tcW w:type="dxa" w:w="3360"/>
            <w:vAlign w:val="center"/>
          </w:tcPr>
          <w:p>
            <w:r/>
            <w:r>
              <w:rPr>
                <w:b w:val="0"/>
                <w:sz w:val="17"/>
              </w:rPr>
              <w:t>+7</w:t>
            </w:r>
          </w:p>
        </w:tc>
        <w:tc>
          <w:tcPr>
            <w:tcW w:type="dxa" w:w="3360"/>
            <w:vAlign w:val="center"/>
          </w:tcPr>
          <w:p>
            <w:r/>
            <w:r>
              <w:rPr>
                <w:b w:val="0"/>
                <w:sz w:val="17"/>
              </w:rPr>
              <w:t>Tension and skepticism.</w:t>
            </w:r>
          </w:p>
        </w:tc>
      </w:tr>
      <w:tr>
        <w:trPr>
          <w:cantSplit/>
        </w:trPr>
        <w:tc>
          <w:tcPr>
            <w:tcW w:type="dxa" w:w="3360"/>
            <w:vAlign w:val="center"/>
          </w:tcPr>
          <w:p>
            <w:r/>
            <w:r>
              <w:rPr>
                <w:b w:val="0"/>
                <w:sz w:val="17"/>
              </w:rPr>
              <w:t>0-19</w:t>
            </w:r>
          </w:p>
        </w:tc>
        <w:tc>
          <w:tcPr>
            <w:tcW w:type="dxa" w:w="3360"/>
            <w:vAlign w:val="center"/>
          </w:tcPr>
          <w:p>
            <w:r/>
            <w:r>
              <w:rPr>
                <w:b w:val="0"/>
                <w:sz w:val="17"/>
              </w:rPr>
              <w:t>+15</w:t>
            </w:r>
          </w:p>
        </w:tc>
        <w:tc>
          <w:tcPr>
            <w:tcW w:type="dxa" w:w="3360"/>
            <w:vAlign w:val="center"/>
          </w:tcPr>
          <w:p>
            <w:r/>
            <w:r>
              <w:rPr>
                <w:b w:val="0"/>
                <w:sz w:val="17"/>
              </w:rPr>
              <w:t>Severe distrust.</w:t>
            </w:r>
          </w:p>
        </w:tc>
      </w:tr>
    </w:tbl>
    <w:p>
      <w:pPr>
        <w:pStyle w:val="ListBullet"/>
      </w:pPr>
      <w:r>
        <w:t>Broken promise: immediate +20 pressure.</w:t>
      </w:r>
    </w:p>
    <w:p>
      <w:pPr>
        <w:pStyle w:val="ListBullet"/>
      </w:pPr>
      <w:r>
        <w:t>Repeated broken promise: immediate +35 pressure.</w:t>
      </w:r>
    </w:p>
    <w:p>
      <w:pPr>
        <w:pStyle w:val="ListBullet"/>
      </w:pPr>
      <w:r>
        <w:t>Positive memory or fulfilled favor may reduce pressure by 3-8 points.</w:t>
      </w:r>
    </w:p>
    <w:p>
      <w:pPr>
        <w:pStyle w:val="ListBullet"/>
      </w:pPr>
      <w:r>
        <w:t>Morality and reputation should modify the relationship component only when the NPC knows or cares about the relevant behavior.</w:t>
      </w:r>
    </w:p>
    <w:p>
      <w:pPr>
        <w:pStyle w:val="Heading2"/>
      </w:pPr>
      <w:r>
        <w:t>5.4 Dependency Risk</w:t>
      </w:r>
    </w:p>
    <w:tbl>
      <w:tblPr>
        <w:tblStyle w:val="TableGrid"/>
        <w:tblW w:type="auto" w:w="0"/>
        <w:tblLook w:firstColumn="1" w:firstRow="1" w:lastColumn="0" w:lastRow="0" w:noHBand="0" w:noVBand="1" w:val="04A0"/>
      </w:tblPr>
      <w:tblGrid>
        <w:gridCol w:w="3360"/>
        <w:gridCol w:w="3360"/>
        <w:gridCol w:w="3360"/>
      </w:tblGrid>
      <w:tr>
        <w:trPr>
          <w:cantSplit/>
        </w:trPr>
        <w:tc>
          <w:tcPr>
            <w:tcW w:type="dxa" w:w="3360"/>
            <w:vAlign w:val="center"/>
            <w:shd w:fill="7A2D1C"/>
          </w:tcPr>
          <w:p>
            <w:r/>
            <w:r>
              <w:rPr>
                <w:b/>
                <w:color w:val="FFFFFF"/>
                <w:sz w:val="18"/>
              </w:rPr>
              <w:t>Dependency Share</w:t>
            </w:r>
          </w:p>
        </w:tc>
        <w:tc>
          <w:tcPr>
            <w:tcW w:type="dxa" w:w="3360"/>
            <w:vAlign w:val="center"/>
            <w:shd w:fill="7A2D1C"/>
          </w:tcPr>
          <w:p>
            <w:r/>
            <w:r>
              <w:rPr>
                <w:b/>
                <w:color w:val="FFFFFF"/>
                <w:sz w:val="18"/>
              </w:rPr>
              <w:t>Pressure</w:t>
            </w:r>
          </w:p>
        </w:tc>
        <w:tc>
          <w:tcPr>
            <w:tcW w:type="dxa" w:w="3360"/>
            <w:vAlign w:val="center"/>
            <w:shd w:fill="7A2D1C"/>
          </w:tcPr>
          <w:p>
            <w:r/>
            <w:r>
              <w:rPr>
                <w:b/>
                <w:color w:val="FFFFFF"/>
                <w:sz w:val="18"/>
              </w:rPr>
              <w:t>Meaning</w:t>
            </w:r>
          </w:p>
        </w:tc>
      </w:tr>
      <w:tr>
        <w:trPr>
          <w:cantSplit/>
        </w:trPr>
        <w:tc>
          <w:tcPr>
            <w:tcW w:type="dxa" w:w="3360"/>
            <w:vAlign w:val="center"/>
          </w:tcPr>
          <w:p>
            <w:r/>
            <w:r>
              <w:rPr>
                <w:b w:val="0"/>
                <w:sz w:val="17"/>
              </w:rPr>
              <w:t>Below 25%</w:t>
            </w:r>
          </w:p>
        </w:tc>
        <w:tc>
          <w:tcPr>
            <w:tcW w:type="dxa" w:w="3360"/>
            <w:vAlign w:val="center"/>
          </w:tcPr>
          <w:p>
            <w:r/>
            <w:r>
              <w:rPr>
                <w:b w:val="0"/>
                <w:sz w:val="17"/>
              </w:rPr>
              <w:t>+0</w:t>
            </w:r>
          </w:p>
        </w:tc>
        <w:tc>
          <w:tcPr>
            <w:tcW w:type="dxa" w:w="3360"/>
            <w:vAlign w:val="center"/>
          </w:tcPr>
          <w:p>
            <w:r/>
            <w:r>
              <w:rPr>
                <w:b w:val="0"/>
                <w:sz w:val="17"/>
              </w:rPr>
              <w:t>Low concentration.</w:t>
            </w:r>
          </w:p>
        </w:tc>
      </w:tr>
      <w:tr>
        <w:trPr>
          <w:cantSplit/>
        </w:trPr>
        <w:tc>
          <w:tcPr>
            <w:tcW w:type="dxa" w:w="3360"/>
            <w:vAlign w:val="center"/>
          </w:tcPr>
          <w:p>
            <w:r/>
            <w:r>
              <w:rPr>
                <w:b w:val="0"/>
                <w:sz w:val="17"/>
              </w:rPr>
              <w:t>25-49%</w:t>
            </w:r>
          </w:p>
        </w:tc>
        <w:tc>
          <w:tcPr>
            <w:tcW w:type="dxa" w:w="3360"/>
            <w:vAlign w:val="center"/>
          </w:tcPr>
          <w:p>
            <w:r/>
            <w:r>
              <w:rPr>
                <w:b w:val="0"/>
                <w:sz w:val="17"/>
              </w:rPr>
              <w:t>+3</w:t>
            </w:r>
          </w:p>
        </w:tc>
        <w:tc>
          <w:tcPr>
            <w:tcW w:type="dxa" w:w="3360"/>
            <w:vAlign w:val="center"/>
          </w:tcPr>
          <w:p>
            <w:r/>
            <w:r>
              <w:rPr>
                <w:b w:val="0"/>
                <w:sz w:val="17"/>
              </w:rPr>
              <w:t>Moderate dependence.</w:t>
            </w:r>
          </w:p>
        </w:tc>
      </w:tr>
      <w:tr>
        <w:trPr>
          <w:cantSplit/>
        </w:trPr>
        <w:tc>
          <w:tcPr>
            <w:tcW w:type="dxa" w:w="3360"/>
            <w:vAlign w:val="center"/>
          </w:tcPr>
          <w:p>
            <w:r/>
            <w:r>
              <w:rPr>
                <w:b w:val="0"/>
                <w:sz w:val="17"/>
              </w:rPr>
              <w:t>50-74%</w:t>
            </w:r>
          </w:p>
        </w:tc>
        <w:tc>
          <w:tcPr>
            <w:tcW w:type="dxa" w:w="3360"/>
            <w:vAlign w:val="center"/>
          </w:tcPr>
          <w:p>
            <w:r/>
            <w:r>
              <w:rPr>
                <w:b w:val="0"/>
                <w:sz w:val="17"/>
              </w:rPr>
              <w:t>+8</w:t>
            </w:r>
          </w:p>
        </w:tc>
        <w:tc>
          <w:tcPr>
            <w:tcW w:type="dxa" w:w="3360"/>
            <w:vAlign w:val="center"/>
          </w:tcPr>
          <w:p>
            <w:r/>
            <w:r>
              <w:rPr>
                <w:b w:val="0"/>
                <w:sz w:val="17"/>
              </w:rPr>
              <w:t>High dependence.</w:t>
            </w:r>
          </w:p>
        </w:tc>
      </w:tr>
      <w:tr>
        <w:trPr>
          <w:cantSplit/>
        </w:trPr>
        <w:tc>
          <w:tcPr>
            <w:tcW w:type="dxa" w:w="3360"/>
            <w:vAlign w:val="center"/>
          </w:tcPr>
          <w:p>
            <w:r/>
            <w:r>
              <w:rPr>
                <w:b w:val="0"/>
                <w:sz w:val="17"/>
              </w:rPr>
              <w:t>75%+</w:t>
            </w:r>
          </w:p>
        </w:tc>
        <w:tc>
          <w:tcPr>
            <w:tcW w:type="dxa" w:w="3360"/>
            <w:vAlign w:val="center"/>
          </w:tcPr>
          <w:p>
            <w:r/>
            <w:r>
              <w:rPr>
                <w:b w:val="0"/>
                <w:sz w:val="17"/>
              </w:rPr>
              <w:t>+15</w:t>
            </w:r>
          </w:p>
        </w:tc>
        <w:tc>
          <w:tcPr>
            <w:tcW w:type="dxa" w:w="3360"/>
            <w:vAlign w:val="center"/>
          </w:tcPr>
          <w:p>
            <w:r/>
            <w:r>
              <w:rPr>
                <w:b w:val="0"/>
                <w:sz w:val="17"/>
              </w:rPr>
              <w:t>Critical dependence and leverage.</w:t>
            </w:r>
          </w:p>
        </w:tc>
      </w:tr>
    </w:tbl>
    <w:p>
      <w:pPr>
        <w:pStyle w:val="Heading1"/>
      </w:pPr>
      <w:r>
        <w:t>6. Customer Service Improvements</w:t>
      </w:r>
    </w:p>
    <w:p>
      <w:r>
        <w:t>Customer Service improvements must have two separate effects: passive mitigation every round and a consumable Service Buffer used during mandatory reviews or severe triggers.</w:t>
      </w:r>
    </w:p>
    <w:p>
      <w:pPr>
        <w:pStyle w:val="Heading2"/>
      </w:pPr>
      <w:r>
        <w:t>6.1 Passive Mitigation</w:t>
      </w:r>
    </w:p>
    <w:tbl>
      <w:tblPr>
        <w:tblStyle w:val="TableGrid"/>
        <w:tblW w:type="auto" w:w="0"/>
        <w:tblLook w:firstColumn="1" w:firstRow="1" w:lastColumn="0" w:lastRow="0" w:noHBand="0" w:noVBand="1" w:val="04A0"/>
      </w:tblPr>
      <w:tblGrid>
        <w:gridCol w:w="3360"/>
        <w:gridCol w:w="3360"/>
        <w:gridCol w:w="3360"/>
      </w:tblGrid>
      <w:tr>
        <w:trPr>
          <w:cantSplit/>
        </w:trPr>
        <w:tc>
          <w:tcPr>
            <w:tcW w:type="dxa" w:w="3360"/>
            <w:vAlign w:val="center"/>
            <w:shd w:fill="2E593C"/>
          </w:tcPr>
          <w:p>
            <w:r/>
            <w:r>
              <w:rPr>
                <w:b/>
                <w:color w:val="FFFFFF"/>
                <w:sz w:val="18"/>
              </w:rPr>
              <w:t>Improvement Tier</w:t>
            </w:r>
          </w:p>
        </w:tc>
        <w:tc>
          <w:tcPr>
            <w:tcW w:type="dxa" w:w="3360"/>
            <w:vAlign w:val="center"/>
            <w:shd w:fill="2E593C"/>
          </w:tcPr>
          <w:p>
            <w:r/>
            <w:r>
              <w:rPr>
                <w:b/>
                <w:color w:val="FFFFFF"/>
                <w:sz w:val="18"/>
              </w:rPr>
              <w:t>Pressure Reduction / Round</w:t>
            </w:r>
          </w:p>
        </w:tc>
        <w:tc>
          <w:tcPr>
            <w:tcW w:type="dxa" w:w="3360"/>
            <w:vAlign w:val="center"/>
            <w:shd w:fill="2E593C"/>
          </w:tcPr>
          <w:p>
            <w:r/>
            <w:r>
              <w:rPr>
                <w:b/>
                <w:color w:val="FFFFFF"/>
                <w:sz w:val="18"/>
              </w:rPr>
              <w:t>Examples</w:t>
            </w:r>
          </w:p>
        </w:tc>
      </w:tr>
      <w:tr>
        <w:trPr>
          <w:cantSplit/>
        </w:trPr>
        <w:tc>
          <w:tcPr>
            <w:tcW w:type="dxa" w:w="3360"/>
            <w:vAlign w:val="center"/>
          </w:tcPr>
          <w:p>
            <w:r/>
            <w:r>
              <w:rPr>
                <w:b w:val="0"/>
                <w:sz w:val="17"/>
              </w:rPr>
              <w:t>Basic</w:t>
            </w:r>
          </w:p>
        </w:tc>
        <w:tc>
          <w:tcPr>
            <w:tcW w:type="dxa" w:w="3360"/>
            <w:vAlign w:val="center"/>
          </w:tcPr>
          <w:p>
            <w:r/>
            <w:r>
              <w:rPr>
                <w:b w:val="0"/>
                <w:sz w:val="17"/>
              </w:rPr>
              <w:t>-2</w:t>
            </w:r>
          </w:p>
        </w:tc>
        <w:tc>
          <w:tcPr>
            <w:tcW w:type="dxa" w:w="3360"/>
            <w:vAlign w:val="center"/>
          </w:tcPr>
          <w:p>
            <w:r/>
            <w:r>
              <w:rPr>
                <w:b w:val="0"/>
                <w:sz w:val="17"/>
              </w:rPr>
              <w:t>Better communication, simple complaint process.</w:t>
            </w:r>
          </w:p>
        </w:tc>
      </w:tr>
      <w:tr>
        <w:trPr>
          <w:cantSplit/>
        </w:trPr>
        <w:tc>
          <w:tcPr>
            <w:tcW w:type="dxa" w:w="3360"/>
            <w:vAlign w:val="center"/>
          </w:tcPr>
          <w:p>
            <w:r/>
            <w:r>
              <w:rPr>
                <w:b w:val="0"/>
                <w:sz w:val="17"/>
              </w:rPr>
              <w:t>Moderate</w:t>
            </w:r>
          </w:p>
        </w:tc>
        <w:tc>
          <w:tcPr>
            <w:tcW w:type="dxa" w:w="3360"/>
            <w:vAlign w:val="center"/>
          </w:tcPr>
          <w:p>
            <w:r/>
            <w:r>
              <w:rPr>
                <w:b w:val="0"/>
                <w:sz w:val="17"/>
              </w:rPr>
              <w:t>-4</w:t>
            </w:r>
          </w:p>
        </w:tc>
        <w:tc>
          <w:tcPr>
            <w:tcW w:type="dxa" w:w="3360"/>
            <w:vAlign w:val="center"/>
          </w:tcPr>
          <w:p>
            <w:r/>
            <w:r>
              <w:rPr>
                <w:b w:val="0"/>
                <w:sz w:val="17"/>
              </w:rPr>
              <w:t>Dedicated account manager, inventory visibility.</w:t>
            </w:r>
          </w:p>
        </w:tc>
      </w:tr>
      <w:tr>
        <w:trPr>
          <w:cantSplit/>
        </w:trPr>
        <w:tc>
          <w:tcPr>
            <w:tcW w:type="dxa" w:w="3360"/>
            <w:vAlign w:val="center"/>
          </w:tcPr>
          <w:p>
            <w:r/>
            <w:r>
              <w:rPr>
                <w:b w:val="0"/>
                <w:sz w:val="17"/>
              </w:rPr>
              <w:t>Advanced</w:t>
            </w:r>
          </w:p>
        </w:tc>
        <w:tc>
          <w:tcPr>
            <w:tcW w:type="dxa" w:w="3360"/>
            <w:vAlign w:val="center"/>
          </w:tcPr>
          <w:p>
            <w:r/>
            <w:r>
              <w:rPr>
                <w:b w:val="0"/>
                <w:sz w:val="17"/>
              </w:rPr>
              <w:t>-6</w:t>
            </w:r>
          </w:p>
        </w:tc>
        <w:tc>
          <w:tcPr>
            <w:tcW w:type="dxa" w:w="3360"/>
            <w:vAlign w:val="center"/>
          </w:tcPr>
          <w:p>
            <w:r/>
            <w:r>
              <w:rPr>
                <w:b w:val="0"/>
                <w:sz w:val="17"/>
              </w:rPr>
              <w:t>Priority dispatch, quality assurance team.</w:t>
            </w:r>
          </w:p>
        </w:tc>
      </w:tr>
      <w:tr>
        <w:trPr>
          <w:cantSplit/>
        </w:trPr>
        <w:tc>
          <w:tcPr>
            <w:tcW w:type="dxa" w:w="3360"/>
            <w:vAlign w:val="center"/>
          </w:tcPr>
          <w:p>
            <w:r/>
            <w:r>
              <w:rPr>
                <w:b w:val="0"/>
                <w:sz w:val="17"/>
              </w:rPr>
              <w:t>Exceptional</w:t>
            </w:r>
          </w:p>
        </w:tc>
        <w:tc>
          <w:tcPr>
            <w:tcW w:type="dxa" w:w="3360"/>
            <w:vAlign w:val="center"/>
          </w:tcPr>
          <w:p>
            <w:r/>
            <w:r>
              <w:rPr>
                <w:b w:val="0"/>
                <w:sz w:val="17"/>
              </w:rPr>
              <w:t>-8</w:t>
            </w:r>
          </w:p>
        </w:tc>
        <w:tc>
          <w:tcPr>
            <w:tcW w:type="dxa" w:w="3360"/>
            <w:vAlign w:val="center"/>
          </w:tcPr>
          <w:p>
            <w:r/>
            <w:r>
              <w:rPr>
                <w:b w:val="0"/>
                <w:sz w:val="17"/>
              </w:rPr>
              <w:t>Integrated service operations and proactive intervention.</w:t>
            </w:r>
          </w:p>
        </w:tc>
      </w:tr>
    </w:tbl>
    <w:p>
      <w:pPr>
        <w:pStyle w:val="Heading2"/>
      </w:pPr>
      <w:r>
        <w:t>6.2 Service Buffer</w:t>
      </w:r>
    </w:p>
    <w:p>
      <w:pPr>
        <w:pStyle w:val="CodeBlock"/>
      </w:pPr>
      <w:r>
        <w:t>serviceBufferGain = sum(improvement.bufferContribution)</w:t>
        <w:br/>
        <w:t>requiredBuffer = 30 + unresolvedRiskModifier</w:t>
      </w:r>
    </w:p>
    <w:p>
      <w:pPr>
        <w:pStyle w:val="ListBullet"/>
      </w:pPr>
      <w:r>
        <w:t>Basic improvement: +15 buffer capacity.</w:t>
      </w:r>
    </w:p>
    <w:p>
      <w:pPr>
        <w:pStyle w:val="ListBullet"/>
      </w:pPr>
      <w:r>
        <w:t>Moderate improvement: +30 buffer capacity.</w:t>
      </w:r>
    </w:p>
    <w:p>
      <w:pPr>
        <w:pStyle w:val="ListBullet"/>
      </w:pPr>
      <w:r>
        <w:t>Advanced improvement: +45 buffer capacity.</w:t>
      </w:r>
    </w:p>
    <w:p>
      <w:pPr>
        <w:pStyle w:val="ListBullet"/>
      </w:pPr>
      <w:r>
        <w:t>Buffer can be relationship-specific or allocated from a business-level pool; relationship-specific is easier to explain and balance.</w:t>
      </w:r>
    </w:p>
    <w:p>
      <w:pPr>
        <w:pStyle w:val="ListBullet"/>
      </w:pPr>
      <w:r>
        <w:t>Buffer is consumed only when it actively prevents or downgrades a pending issue.</w:t>
      </w:r>
    </w:p>
    <w:p>
      <w:pPr>
        <w:pStyle w:val="CodeBlock"/>
      </w:pPr>
      <w:r>
        <w:t>if (roundsSinceIssue &gt;= 5 &amp;&amp; serviceBuffer &gt;= requiredBuffer) {</w:t>
        <w:br/>
        <w:t xml:space="preserve">  serviceBuffer -= requiredBuffer;</w:t>
        <w:br/>
        <w:t xml:space="preserve">  issuePressure = Math.floor(issuePressure * 0.40);</w:t>
        <w:br/>
        <w:t xml:space="preserve">  roundsSinceIssue = 0;</w:t>
        <w:br/>
        <w:t xml:space="preserve">  recordPreventedIssue();</w:t>
        <w:br/>
        <w:t>}</w:t>
      </w:r>
    </w:p>
    <w:p>
      <w:r>
        <w:t>The game should log a prevented issue so the player receives feedback such as: “Your account manager resolved a delivery concern before it became a negotiation.”</w:t>
      </w:r>
    </w:p>
    <w:p>
      <w:pPr>
        <w:pStyle w:val="Heading1"/>
      </w:pPr>
      <w:r>
        <w:t>7. Trigger and Five-Round Safeguard</w:t>
      </w:r>
    </w:p>
    <w:p>
      <w:pPr>
        <w:pStyle w:val="Heading2"/>
      </w:pPr>
      <w:r>
        <w:t>7.1 Normal Trigger</w:t>
      </w:r>
    </w:p>
    <w:p>
      <w:pPr>
        <w:pStyle w:val="CodeBlock"/>
      </w:pPr>
      <w:r>
        <w:t>normalTrigger = issuePressure &gt;= 100</w:t>
      </w:r>
    </w:p>
    <w:p>
      <w:r>
        <w:t>When pressure reaches 100, create an issue candidate immediately. Customer Service may still prevent or downgrade the event depending on available buffer and severity.</w:t>
      </w:r>
    </w:p>
    <w:p>
      <w:pPr>
        <w:pStyle w:val="Heading2"/>
      </w:pPr>
      <w:r>
        <w:t>7.2 Mandatory Review</w:t>
      </w:r>
    </w:p>
    <w:p>
      <w:pPr>
        <w:pStyle w:val="CodeBlock"/>
      </w:pPr>
      <w:r>
        <w:t>mandatoryReview = roundsSinceIssue &gt;= 5</w:t>
      </w:r>
    </w:p>
    <w:p>
      <w:r>
        <w:t>At five rounds without an issue, the relationship must be reviewed. If service protection is sufficient, consume it and prevent the event. Otherwise generate the strongest valid issue. This rule guarantees at least one issue every five rounds for unmanaged relationships.</w:t>
      </w:r>
    </w:p>
    <w:p>
      <w:pPr>
        <w:pStyle w:val="Heading2"/>
      </w:pPr>
      <w:r>
        <w:t>7.3 Evaluation Order</w:t>
      </w:r>
    </w:p>
    <w:p>
      <w:pPr>
        <w:pStyle w:val="ListNumber"/>
      </w:pPr>
      <w:r>
        <w:t>Increment roundsSinceIssue.</w:t>
      </w:r>
    </w:p>
    <w:p>
      <w:pPr>
        <w:pStyle w:val="ListNumber"/>
      </w:pPr>
      <w:r>
        <w:t>Calculate and store the pressure breakdown.</w:t>
      </w:r>
    </w:p>
    <w:p>
      <w:pPr>
        <w:pStyle w:val="ListNumber"/>
      </w:pPr>
      <w:r>
        <w:t>Apply passive Customer Service mitigation.</w:t>
      </w:r>
    </w:p>
    <w:p>
      <w:pPr>
        <w:pStyle w:val="ListNumber"/>
      </w:pPr>
      <w:r>
        <w:t>Check normal threshold and mandatory review.</w:t>
      </w:r>
    </w:p>
    <w:p>
      <w:pPr>
        <w:pStyle w:val="ListNumber"/>
      </w:pPr>
      <w:r>
        <w:t>Determine whether Service Buffer prevents or downgrades the event.</w:t>
      </w:r>
    </w:p>
    <w:p>
      <w:pPr>
        <w:pStyle w:val="ListNumber"/>
      </w:pPr>
      <w:r>
        <w:t>Create an issue candidate if still required.</w:t>
      </w:r>
    </w:p>
    <w:p>
      <w:pPr>
        <w:pStyle w:val="ListNumber"/>
      </w:pPr>
      <w:r>
        <w:t>Insert the candidate into the global event queue.</w:t>
      </w:r>
    </w:p>
    <w:p>
      <w:pPr>
        <w:pStyle w:val="ListNumber"/>
      </w:pPr>
      <w:r>
        <w:t>Present the highest-priority eligible event.</w:t>
      </w:r>
    </w:p>
    <w:p>
      <w:pPr>
        <w:pStyle w:val="Heading1"/>
      </w:pPr>
      <w:r>
        <w:t>8. Deterministic Issue Selection</w:t>
      </w:r>
    </w:p>
    <w:p>
      <w:r>
        <w:t>When a trigger occurs, score every issue type that is valid for that relationship. Select the highest-scoring issue. Do not roll randomly.</w:t>
      </w:r>
    </w:p>
    <w:p>
      <w:pPr>
        <w:pStyle w:val="CodeBlock"/>
      </w:pPr>
      <w:r>
        <w:t>const issueScores = {</w:t>
        <w:br/>
        <w:t xml:space="preserve">  priceIncrease:</w:t>
        <w:br/>
        <w:t xml:space="preserve">    supplierMarginGap * 1.5 + inputCostGrowth + marketPriceGap,</w:t>
        <w:br/>
        <w:t xml:space="preserve">  paymentTerms:</w:t>
        <w:br/>
        <w:t xml:space="preserve">    overdueBalanceWeight + supplierCashStress,</w:t>
        <w:br/>
        <w:t xml:space="preserve">  deliveryComplaint:</w:t>
        <w:br/>
        <w:t xml:space="preserve">    lateDeliveryWeight + stockoutImpact + missedOrders,</w:t>
        <w:br/>
        <w:t xml:space="preserve">  volumeCommitment:</w:t>
        <w:br/>
        <w:t xml:space="preserve">    unusedCapacity + orderVolatility + dependencyRisk</w:t>
        <w:br/>
        <w:t>};</w:t>
        <w:br/>
        <w:br/>
        <w:t>selectedIssue = highestScore(issueScores);</w:t>
      </w:r>
    </w:p>
    <w:p>
      <w:pPr>
        <w:pStyle w:val="Heading2"/>
      </w:pPr>
      <w:r>
        <w:t>8.1 Repetition Penalties</w:t>
      </w:r>
    </w:p>
    <w:p>
      <w:pPr>
        <w:pStyle w:val="ListBullet"/>
      </w:pPr>
      <w:r>
        <w:t>Same issue as the immediately previous event: -30 score.</w:t>
      </w:r>
    </w:p>
    <w:p>
      <w:pPr>
        <w:pStyle w:val="ListBullet"/>
      </w:pPr>
      <w:r>
        <w:t>Used within the previous two events: -15 score.</w:t>
      </w:r>
    </w:p>
    <w:p>
      <w:pPr>
        <w:pStyle w:val="ListBullet"/>
      </w:pPr>
      <w:r>
        <w:t>Never used before: +5 score.</w:t>
      </w:r>
    </w:p>
    <w:p>
      <w:pPr>
        <w:pStyle w:val="ListBullet"/>
      </w:pPr>
      <w:r>
        <w:t>Do not block repetition when the dominant problem remains materially unresolved.</w:t>
      </w:r>
    </w:p>
    <w:p>
      <w:pPr>
        <w:pStyle w:val="Heading1"/>
      </w:pPr>
      <w:r>
        <w:t>9. Supplier and Client Issue Catalogs</w:t>
      </w:r>
    </w:p>
    <w:p>
      <w:pPr>
        <w:pStyle w:val="Heading2"/>
      </w:pPr>
      <w:r>
        <w:t>9.1 Supplier-Initiated Issues</w:t>
      </w:r>
    </w:p>
    <w:tbl>
      <w:tblPr>
        <w:tblStyle w:val="TableGrid"/>
        <w:tblW w:type="auto" w:w="0"/>
        <w:tblLook w:firstColumn="1" w:firstRow="1" w:lastColumn="0" w:lastRow="0" w:noHBand="0" w:noVBand="1" w:val="04A0"/>
      </w:tblPr>
      <w:tblGrid>
        <w:gridCol w:w="3360"/>
        <w:gridCol w:w="3360"/>
        <w:gridCol w:w="3360"/>
      </w:tblGrid>
      <w:tr>
        <w:trPr>
          <w:cantSplit/>
        </w:trPr>
        <w:tc>
          <w:tcPr>
            <w:tcW w:type="dxa" w:w="3360"/>
            <w:vAlign w:val="center"/>
            <w:shd w:fill="2E593C"/>
          </w:tcPr>
          <w:p>
            <w:r/>
            <w:r>
              <w:rPr>
                <w:b/>
                <w:color w:val="FFFFFF"/>
                <w:sz w:val="18"/>
              </w:rPr>
              <w:t>Issue</w:t>
            </w:r>
          </w:p>
        </w:tc>
        <w:tc>
          <w:tcPr>
            <w:tcW w:type="dxa" w:w="3360"/>
            <w:vAlign w:val="center"/>
            <w:shd w:fill="2E593C"/>
          </w:tcPr>
          <w:p>
            <w:r/>
            <w:r>
              <w:rPr>
                <w:b/>
                <w:color w:val="FFFFFF"/>
                <w:sz w:val="18"/>
              </w:rPr>
              <w:t>Primary Triggers</w:t>
            </w:r>
          </w:p>
        </w:tc>
        <w:tc>
          <w:tcPr>
            <w:tcW w:type="dxa" w:w="3360"/>
            <w:vAlign w:val="center"/>
            <w:shd w:fill="2E593C"/>
          </w:tcPr>
          <w:p>
            <w:r/>
            <w:r>
              <w:rPr>
                <w:b/>
                <w:color w:val="FFFFFF"/>
                <w:sz w:val="18"/>
              </w:rPr>
              <w:t>Typical Demands</w:t>
            </w:r>
          </w:p>
        </w:tc>
      </w:tr>
      <w:tr>
        <w:trPr>
          <w:cantSplit/>
        </w:trPr>
        <w:tc>
          <w:tcPr>
            <w:tcW w:type="dxa" w:w="3360"/>
            <w:vAlign w:val="center"/>
          </w:tcPr>
          <w:p>
            <w:r/>
            <w:r>
              <w:rPr>
                <w:b w:val="0"/>
                <w:sz w:val="16"/>
              </w:rPr>
              <w:t>Price Increase</w:t>
            </w:r>
          </w:p>
        </w:tc>
        <w:tc>
          <w:tcPr>
            <w:tcW w:type="dxa" w:w="3360"/>
            <w:vAlign w:val="center"/>
          </w:tcPr>
          <w:p>
            <w:r/>
            <w:r>
              <w:rPr>
                <w:b w:val="0"/>
                <w:sz w:val="16"/>
              </w:rPr>
              <w:t>Input costs, margin compression, market price gap.</w:t>
            </w:r>
          </w:p>
        </w:tc>
        <w:tc>
          <w:tcPr>
            <w:tcW w:type="dxa" w:w="3360"/>
            <w:vAlign w:val="center"/>
          </w:tcPr>
          <w:p>
            <w:r/>
            <w:r>
              <w:rPr>
                <w:b w:val="0"/>
                <w:sz w:val="16"/>
              </w:rPr>
              <w:t>Higher price, indexed pricing.</w:t>
            </w:r>
          </w:p>
        </w:tc>
      </w:tr>
      <w:tr>
        <w:trPr>
          <w:cantSplit/>
        </w:trPr>
        <w:tc>
          <w:tcPr>
            <w:tcW w:type="dxa" w:w="3360"/>
            <w:vAlign w:val="center"/>
          </w:tcPr>
          <w:p>
            <w:r/>
            <w:r>
              <w:rPr>
                <w:b w:val="0"/>
                <w:sz w:val="16"/>
              </w:rPr>
              <w:t>Payment Terms</w:t>
            </w:r>
          </w:p>
        </w:tc>
        <w:tc>
          <w:tcPr>
            <w:tcW w:type="dxa" w:w="3360"/>
            <w:vAlign w:val="center"/>
          </w:tcPr>
          <w:p>
            <w:r/>
            <w:r>
              <w:rPr>
                <w:b w:val="0"/>
                <w:sz w:val="16"/>
              </w:rPr>
              <w:t>Late invoices, buyer cash behavior, supplier cash stress.</w:t>
            </w:r>
          </w:p>
        </w:tc>
        <w:tc>
          <w:tcPr>
            <w:tcW w:type="dxa" w:w="3360"/>
            <w:vAlign w:val="center"/>
          </w:tcPr>
          <w:p>
            <w:r/>
            <w:r>
              <w:rPr>
                <w:b w:val="0"/>
                <w:sz w:val="16"/>
              </w:rPr>
              <w:t>Faster payment, deposit, shorter terms.</w:t>
            </w:r>
          </w:p>
        </w:tc>
      </w:tr>
      <w:tr>
        <w:trPr>
          <w:cantSplit/>
        </w:trPr>
        <w:tc>
          <w:tcPr>
            <w:tcW w:type="dxa" w:w="3360"/>
            <w:vAlign w:val="center"/>
          </w:tcPr>
          <w:p>
            <w:r/>
            <w:r>
              <w:rPr>
                <w:b w:val="0"/>
                <w:sz w:val="16"/>
              </w:rPr>
              <w:t>Volume Commitment</w:t>
            </w:r>
          </w:p>
        </w:tc>
        <w:tc>
          <w:tcPr>
            <w:tcW w:type="dxa" w:w="3360"/>
            <w:vAlign w:val="center"/>
          </w:tcPr>
          <w:p>
            <w:r/>
            <w:r>
              <w:rPr>
                <w:b w:val="0"/>
                <w:sz w:val="16"/>
              </w:rPr>
              <w:t>Unused capacity, volatile orders, high dependency.</w:t>
            </w:r>
          </w:p>
        </w:tc>
        <w:tc>
          <w:tcPr>
            <w:tcW w:type="dxa" w:w="3360"/>
            <w:vAlign w:val="center"/>
          </w:tcPr>
          <w:p>
            <w:r/>
            <w:r>
              <w:rPr>
                <w:b w:val="0"/>
                <w:sz w:val="16"/>
              </w:rPr>
              <w:t>Minimum order, volume guarantee.</w:t>
            </w:r>
          </w:p>
        </w:tc>
      </w:tr>
      <w:tr>
        <w:trPr>
          <w:cantSplit/>
        </w:trPr>
        <w:tc>
          <w:tcPr>
            <w:tcW w:type="dxa" w:w="3360"/>
            <w:vAlign w:val="center"/>
          </w:tcPr>
          <w:p>
            <w:r/>
            <w:r>
              <w:rPr>
                <w:b w:val="0"/>
                <w:sz w:val="16"/>
              </w:rPr>
              <w:t>Delivery Frequency</w:t>
            </w:r>
          </w:p>
        </w:tc>
        <w:tc>
          <w:tcPr>
            <w:tcW w:type="dxa" w:w="3360"/>
            <w:vAlign w:val="center"/>
          </w:tcPr>
          <w:p>
            <w:r/>
            <w:r>
              <w:rPr>
                <w:b w:val="0"/>
                <w:sz w:val="16"/>
              </w:rPr>
              <w:t>Rush orders, inefficient routing, capacity stress.</w:t>
            </w:r>
          </w:p>
        </w:tc>
        <w:tc>
          <w:tcPr>
            <w:tcW w:type="dxa" w:w="3360"/>
            <w:vAlign w:val="center"/>
          </w:tcPr>
          <w:p>
            <w:r/>
            <w:r>
              <w:rPr>
                <w:b w:val="0"/>
                <w:sz w:val="16"/>
              </w:rPr>
              <w:t>Fewer deliveries, scheduled windows.</w:t>
            </w:r>
          </w:p>
        </w:tc>
      </w:tr>
      <w:tr>
        <w:trPr>
          <w:cantSplit/>
        </w:trPr>
        <w:tc>
          <w:tcPr>
            <w:tcW w:type="dxa" w:w="3360"/>
            <w:vAlign w:val="center"/>
          </w:tcPr>
          <w:p>
            <w:r/>
            <w:r>
              <w:rPr>
                <w:b w:val="0"/>
                <w:sz w:val="16"/>
              </w:rPr>
              <w:t>Contract Security</w:t>
            </w:r>
          </w:p>
        </w:tc>
        <w:tc>
          <w:tcPr>
            <w:tcW w:type="dxa" w:w="3360"/>
            <w:vAlign w:val="center"/>
          </w:tcPr>
          <w:p>
            <w:r/>
            <w:r>
              <w:rPr>
                <w:b w:val="0"/>
                <w:sz w:val="16"/>
              </w:rPr>
              <w:t>High dependency, competitor offer, unstable relationship.</w:t>
            </w:r>
          </w:p>
        </w:tc>
        <w:tc>
          <w:tcPr>
            <w:tcW w:type="dxa" w:w="3360"/>
            <w:vAlign w:val="center"/>
          </w:tcPr>
          <w:p>
            <w:r/>
            <w:r>
              <w:rPr>
                <w:b w:val="0"/>
                <w:sz w:val="16"/>
              </w:rPr>
              <w:t>Longer contract, exclusivity.</w:t>
            </w:r>
          </w:p>
        </w:tc>
      </w:tr>
      <w:tr>
        <w:trPr>
          <w:cantSplit/>
        </w:trPr>
        <w:tc>
          <w:tcPr>
            <w:tcW w:type="dxa" w:w="3360"/>
            <w:vAlign w:val="center"/>
          </w:tcPr>
          <w:p>
            <w:r/>
            <w:r>
              <w:rPr>
                <w:b w:val="0"/>
                <w:sz w:val="16"/>
              </w:rPr>
              <w:t>Cost Sharing</w:t>
            </w:r>
          </w:p>
        </w:tc>
        <w:tc>
          <w:tcPr>
            <w:tcW w:type="dxa" w:w="3360"/>
            <w:vAlign w:val="center"/>
          </w:tcPr>
          <w:p>
            <w:r/>
            <w:r>
              <w:rPr>
                <w:b w:val="0"/>
                <w:sz w:val="16"/>
              </w:rPr>
              <w:t>Special handling, packaging, transport, compliance costs.</w:t>
            </w:r>
          </w:p>
        </w:tc>
        <w:tc>
          <w:tcPr>
            <w:tcW w:type="dxa" w:w="3360"/>
            <w:vAlign w:val="center"/>
          </w:tcPr>
          <w:p>
            <w:r/>
            <w:r>
              <w:rPr>
                <w:b w:val="0"/>
                <w:sz w:val="16"/>
              </w:rPr>
              <w:t>Shared investment or surcharge.</w:t>
            </w:r>
          </w:p>
        </w:tc>
      </w:tr>
    </w:tbl>
    <w:p>
      <w:pPr>
        <w:pStyle w:val="Heading2"/>
      </w:pPr>
      <w:r>
        <w:t>9.2 Client-Initiated Issues</w:t>
      </w:r>
    </w:p>
    <w:tbl>
      <w:tblPr>
        <w:tblStyle w:val="TableGrid"/>
        <w:tblW w:type="auto" w:w="0"/>
        <w:tblLook w:firstColumn="1" w:firstRow="1" w:lastColumn="0" w:lastRow="0" w:noHBand="0" w:noVBand="1" w:val="04A0"/>
      </w:tblPr>
      <w:tblGrid>
        <w:gridCol w:w="3360"/>
        <w:gridCol w:w="3360"/>
        <w:gridCol w:w="3360"/>
      </w:tblGrid>
      <w:tr>
        <w:trPr>
          <w:cantSplit/>
        </w:trPr>
        <w:tc>
          <w:tcPr>
            <w:tcW w:type="dxa" w:w="3360"/>
            <w:vAlign w:val="center"/>
            <w:shd w:fill="2E593C"/>
          </w:tcPr>
          <w:p>
            <w:r/>
            <w:r>
              <w:rPr>
                <w:b/>
                <w:color w:val="FFFFFF"/>
                <w:sz w:val="18"/>
              </w:rPr>
              <w:t>Issue</w:t>
            </w:r>
          </w:p>
        </w:tc>
        <w:tc>
          <w:tcPr>
            <w:tcW w:type="dxa" w:w="3360"/>
            <w:vAlign w:val="center"/>
            <w:shd w:fill="2E593C"/>
          </w:tcPr>
          <w:p>
            <w:r/>
            <w:r>
              <w:rPr>
                <w:b/>
                <w:color w:val="FFFFFF"/>
                <w:sz w:val="18"/>
              </w:rPr>
              <w:t>Primary Triggers</w:t>
            </w:r>
          </w:p>
        </w:tc>
        <w:tc>
          <w:tcPr>
            <w:tcW w:type="dxa" w:w="3360"/>
            <w:vAlign w:val="center"/>
            <w:shd w:fill="2E593C"/>
          </w:tcPr>
          <w:p>
            <w:r/>
            <w:r>
              <w:rPr>
                <w:b/>
                <w:color w:val="FFFFFF"/>
                <w:sz w:val="18"/>
              </w:rPr>
              <w:t>Typical Demands</w:t>
            </w:r>
          </w:p>
        </w:tc>
      </w:tr>
      <w:tr>
        <w:trPr>
          <w:cantSplit/>
        </w:trPr>
        <w:tc>
          <w:tcPr>
            <w:tcW w:type="dxa" w:w="3360"/>
            <w:vAlign w:val="center"/>
          </w:tcPr>
          <w:p>
            <w:r/>
            <w:r>
              <w:rPr>
                <w:b w:val="0"/>
                <w:sz w:val="16"/>
              </w:rPr>
              <w:t>Price Reduction</w:t>
            </w:r>
          </w:p>
        </w:tc>
        <w:tc>
          <w:tcPr>
            <w:tcW w:type="dxa" w:w="3360"/>
            <w:vAlign w:val="center"/>
          </w:tcPr>
          <w:p>
            <w:r/>
            <w:r>
              <w:rPr>
                <w:b w:val="0"/>
                <w:sz w:val="16"/>
              </w:rPr>
              <w:t>Price disadvantage, competitor offer, low value.</w:t>
            </w:r>
          </w:p>
        </w:tc>
        <w:tc>
          <w:tcPr>
            <w:tcW w:type="dxa" w:w="3360"/>
            <w:vAlign w:val="center"/>
          </w:tcPr>
          <w:p>
            <w:r/>
            <w:r>
              <w:rPr>
                <w:b w:val="0"/>
                <w:sz w:val="16"/>
              </w:rPr>
              <w:t>Discount, rebate, price lock.</w:t>
            </w:r>
          </w:p>
        </w:tc>
      </w:tr>
      <w:tr>
        <w:trPr>
          <w:cantSplit/>
        </w:trPr>
        <w:tc>
          <w:tcPr>
            <w:tcW w:type="dxa" w:w="3360"/>
            <w:vAlign w:val="center"/>
          </w:tcPr>
          <w:p>
            <w:r/>
            <w:r>
              <w:rPr>
                <w:b w:val="0"/>
                <w:sz w:val="16"/>
              </w:rPr>
              <w:t>Delivery Guarantee</w:t>
            </w:r>
          </w:p>
        </w:tc>
        <w:tc>
          <w:tcPr>
            <w:tcW w:type="dxa" w:w="3360"/>
            <w:vAlign w:val="center"/>
          </w:tcPr>
          <w:p>
            <w:r/>
            <w:r>
              <w:rPr>
                <w:b w:val="0"/>
                <w:sz w:val="16"/>
              </w:rPr>
              <w:t>Late deliveries, missed orders, stockouts.</w:t>
            </w:r>
          </w:p>
        </w:tc>
        <w:tc>
          <w:tcPr>
            <w:tcW w:type="dxa" w:w="3360"/>
            <w:vAlign w:val="center"/>
          </w:tcPr>
          <w:p>
            <w:r/>
            <w:r>
              <w:rPr>
                <w:b w:val="0"/>
                <w:sz w:val="16"/>
              </w:rPr>
              <w:t>SLA, compensation, priority dispatch.</w:t>
            </w:r>
          </w:p>
        </w:tc>
      </w:tr>
      <w:tr>
        <w:trPr>
          <w:cantSplit/>
        </w:trPr>
        <w:tc>
          <w:tcPr>
            <w:tcW w:type="dxa" w:w="3360"/>
            <w:vAlign w:val="center"/>
          </w:tcPr>
          <w:p>
            <w:r/>
            <w:r>
              <w:rPr>
                <w:b w:val="0"/>
                <w:sz w:val="16"/>
              </w:rPr>
              <w:t>Quality Commitment</w:t>
            </w:r>
          </w:p>
        </w:tc>
        <w:tc>
          <w:tcPr>
            <w:tcW w:type="dxa" w:w="3360"/>
            <w:vAlign w:val="center"/>
          </w:tcPr>
          <w:p>
            <w:r/>
            <w:r>
              <w:rPr>
                <w:b w:val="0"/>
                <w:sz w:val="16"/>
              </w:rPr>
              <w:t>Defects, returns, low satisfaction.</w:t>
            </w:r>
          </w:p>
        </w:tc>
        <w:tc>
          <w:tcPr>
            <w:tcW w:type="dxa" w:w="3360"/>
            <w:vAlign w:val="center"/>
          </w:tcPr>
          <w:p>
            <w:r/>
            <w:r>
              <w:rPr>
                <w:b w:val="0"/>
                <w:sz w:val="16"/>
              </w:rPr>
              <w:t>QA threshold, replacement terms.</w:t>
            </w:r>
          </w:p>
        </w:tc>
      </w:tr>
      <w:tr>
        <w:trPr>
          <w:cantSplit/>
        </w:trPr>
        <w:tc>
          <w:tcPr>
            <w:tcW w:type="dxa" w:w="3360"/>
            <w:vAlign w:val="center"/>
          </w:tcPr>
          <w:p>
            <w:r/>
            <w:r>
              <w:rPr>
                <w:b w:val="0"/>
                <w:sz w:val="16"/>
              </w:rPr>
              <w:t>Higher Volume</w:t>
            </w:r>
          </w:p>
        </w:tc>
        <w:tc>
          <w:tcPr>
            <w:tcW w:type="dxa" w:w="3360"/>
            <w:vAlign w:val="center"/>
          </w:tcPr>
          <w:p>
            <w:r/>
            <w:r>
              <w:rPr>
                <w:b w:val="0"/>
                <w:sz w:val="16"/>
              </w:rPr>
              <w:t>Demand growth, insufficient allocation.</w:t>
            </w:r>
          </w:p>
        </w:tc>
        <w:tc>
          <w:tcPr>
            <w:tcW w:type="dxa" w:w="3360"/>
            <w:vAlign w:val="center"/>
          </w:tcPr>
          <w:p>
            <w:r/>
            <w:r>
              <w:rPr>
                <w:b w:val="0"/>
                <w:sz w:val="16"/>
              </w:rPr>
              <w:t>Reserved capacity, guaranteed supply.</w:t>
            </w:r>
          </w:p>
        </w:tc>
      </w:tr>
      <w:tr>
        <w:trPr>
          <w:cantSplit/>
        </w:trPr>
        <w:tc>
          <w:tcPr>
            <w:tcW w:type="dxa" w:w="3360"/>
            <w:vAlign w:val="center"/>
          </w:tcPr>
          <w:p>
            <w:r/>
            <w:r>
              <w:rPr>
                <w:b w:val="0"/>
                <w:sz w:val="16"/>
              </w:rPr>
              <w:t>Flexible Payment</w:t>
            </w:r>
          </w:p>
        </w:tc>
        <w:tc>
          <w:tcPr>
            <w:tcW w:type="dxa" w:w="3360"/>
            <w:vAlign w:val="center"/>
          </w:tcPr>
          <w:p>
            <w:r/>
            <w:r>
              <w:rPr>
                <w:b w:val="0"/>
                <w:sz w:val="16"/>
              </w:rPr>
              <w:t>Client cash stress, seasonal demand.</w:t>
            </w:r>
          </w:p>
        </w:tc>
        <w:tc>
          <w:tcPr>
            <w:tcW w:type="dxa" w:w="3360"/>
            <w:vAlign w:val="center"/>
          </w:tcPr>
          <w:p>
            <w:r/>
            <w:r>
              <w:rPr>
                <w:b w:val="0"/>
                <w:sz w:val="16"/>
              </w:rPr>
              <w:t>Longer terms, staged payments.</w:t>
            </w:r>
          </w:p>
        </w:tc>
      </w:tr>
      <w:tr>
        <w:trPr>
          <w:cantSplit/>
        </w:trPr>
        <w:tc>
          <w:tcPr>
            <w:tcW w:type="dxa" w:w="3360"/>
            <w:vAlign w:val="center"/>
          </w:tcPr>
          <w:p>
            <w:r/>
            <w:r>
              <w:rPr>
                <w:b w:val="0"/>
                <w:sz w:val="16"/>
              </w:rPr>
              <w:t>Exclusive Territory</w:t>
            </w:r>
          </w:p>
        </w:tc>
        <w:tc>
          <w:tcPr>
            <w:tcW w:type="dxa" w:w="3360"/>
            <w:vAlign w:val="center"/>
          </w:tcPr>
          <w:p>
            <w:r/>
            <w:r>
              <w:rPr>
                <w:b w:val="0"/>
                <w:sz w:val="16"/>
              </w:rPr>
              <w:t>Competitive pressure, strategic dependence.</w:t>
            </w:r>
          </w:p>
        </w:tc>
        <w:tc>
          <w:tcPr>
            <w:tcW w:type="dxa" w:w="3360"/>
            <w:vAlign w:val="center"/>
          </w:tcPr>
          <w:p>
            <w:r/>
            <w:r>
              <w:rPr>
                <w:b w:val="0"/>
                <w:sz w:val="16"/>
              </w:rPr>
              <w:t>Territory or customer exclusivity.</w:t>
            </w:r>
          </w:p>
        </w:tc>
      </w:tr>
    </w:tbl>
    <w:p>
      <w:pPr>
        <w:pStyle w:val="Heading1"/>
      </w:pPr>
      <w:r>
        <w:t>10. Severity and Consequences</w:t>
      </w:r>
    </w:p>
    <w:tbl>
      <w:tblPr>
        <w:tblStyle w:val="TableGrid"/>
        <w:tblW w:type="auto" w:w="0"/>
        <w:tblLook w:firstColumn="1" w:firstRow="1" w:lastColumn="0" w:lastRow="0" w:noHBand="0" w:noVBand="1" w:val="04A0"/>
      </w:tblPr>
      <w:tblGrid>
        <w:gridCol w:w="2520"/>
        <w:gridCol w:w="2520"/>
        <w:gridCol w:w="2520"/>
        <w:gridCol w:w="2520"/>
      </w:tblGrid>
      <w:tr>
        <w:trPr>
          <w:cantSplit/>
        </w:trPr>
        <w:tc>
          <w:tcPr>
            <w:tcW w:type="dxa" w:w="2520"/>
            <w:vAlign w:val="center"/>
            <w:shd w:fill="7A2D1C"/>
          </w:tcPr>
          <w:p>
            <w:r/>
            <w:r>
              <w:rPr>
                <w:b/>
                <w:color w:val="FFFFFF"/>
                <w:sz w:val="18"/>
              </w:rPr>
              <w:t>Pressure</w:t>
            </w:r>
          </w:p>
        </w:tc>
        <w:tc>
          <w:tcPr>
            <w:tcW w:type="dxa" w:w="2520"/>
            <w:vAlign w:val="center"/>
            <w:shd w:fill="7A2D1C"/>
          </w:tcPr>
          <w:p>
            <w:r/>
            <w:r>
              <w:rPr>
                <w:b/>
                <w:color w:val="FFFFFF"/>
                <w:sz w:val="18"/>
              </w:rPr>
              <w:t>Severity</w:t>
            </w:r>
          </w:p>
        </w:tc>
        <w:tc>
          <w:tcPr>
            <w:tcW w:type="dxa" w:w="2520"/>
            <w:vAlign w:val="center"/>
            <w:shd w:fill="7A2D1C"/>
          </w:tcPr>
          <w:p>
            <w:r/>
            <w:r>
              <w:rPr>
                <w:b/>
                <w:color w:val="FFFFFF"/>
                <w:sz w:val="18"/>
              </w:rPr>
              <w:t>Player Experience</w:t>
            </w:r>
          </w:p>
        </w:tc>
        <w:tc>
          <w:tcPr>
            <w:tcW w:type="dxa" w:w="2520"/>
            <w:vAlign w:val="center"/>
            <w:shd w:fill="7A2D1C"/>
          </w:tcPr>
          <w:p>
            <w:r/>
            <w:r>
              <w:rPr>
                <w:b/>
                <w:color w:val="FFFFFF"/>
                <w:sz w:val="18"/>
              </w:rPr>
              <w:t>Possible Consequence</w:t>
            </w:r>
          </w:p>
        </w:tc>
      </w:tr>
      <w:tr>
        <w:trPr>
          <w:cantSplit/>
        </w:trPr>
        <w:tc>
          <w:tcPr>
            <w:tcW w:type="dxa" w:w="2520"/>
            <w:vAlign w:val="center"/>
          </w:tcPr>
          <w:p>
            <w:r/>
            <w:r>
              <w:rPr>
                <w:b w:val="0"/>
                <w:sz w:val="17"/>
              </w:rPr>
              <w:t>100-119</w:t>
            </w:r>
          </w:p>
        </w:tc>
        <w:tc>
          <w:tcPr>
            <w:tcW w:type="dxa" w:w="2520"/>
            <w:vAlign w:val="center"/>
          </w:tcPr>
          <w:p>
            <w:r/>
            <w:r>
              <w:rPr>
                <w:b w:val="0"/>
                <w:sz w:val="17"/>
              </w:rPr>
              <w:t>Concern</w:t>
            </w:r>
          </w:p>
        </w:tc>
        <w:tc>
          <w:tcPr>
            <w:tcW w:type="dxa" w:w="2520"/>
            <w:vAlign w:val="center"/>
          </w:tcPr>
          <w:p>
            <w:r/>
            <w:r>
              <w:rPr>
                <w:b w:val="0"/>
                <w:sz w:val="17"/>
              </w:rPr>
              <w:t>Normal negotiation.</w:t>
            </w:r>
          </w:p>
        </w:tc>
        <w:tc>
          <w:tcPr>
            <w:tcW w:type="dxa" w:w="2520"/>
            <w:vAlign w:val="center"/>
          </w:tcPr>
          <w:p>
            <w:r/>
            <w:r>
              <w:rPr>
                <w:b w:val="0"/>
                <w:sz w:val="17"/>
              </w:rPr>
              <w:t>Small relationship or economic effect.</w:t>
            </w:r>
          </w:p>
        </w:tc>
      </w:tr>
      <w:tr>
        <w:trPr>
          <w:cantSplit/>
        </w:trPr>
        <w:tc>
          <w:tcPr>
            <w:tcW w:type="dxa" w:w="2520"/>
            <w:vAlign w:val="center"/>
          </w:tcPr>
          <w:p>
            <w:r/>
            <w:r>
              <w:rPr>
                <w:b w:val="0"/>
                <w:sz w:val="17"/>
              </w:rPr>
              <w:t>120-149</w:t>
            </w:r>
          </w:p>
        </w:tc>
        <w:tc>
          <w:tcPr>
            <w:tcW w:type="dxa" w:w="2520"/>
            <w:vAlign w:val="center"/>
          </w:tcPr>
          <w:p>
            <w:r/>
            <w:r>
              <w:rPr>
                <w:b w:val="0"/>
                <w:sz w:val="17"/>
              </w:rPr>
              <w:t>Urgent Request</w:t>
            </w:r>
          </w:p>
        </w:tc>
        <w:tc>
          <w:tcPr>
            <w:tcW w:type="dxa" w:w="2520"/>
            <w:vAlign w:val="center"/>
          </w:tcPr>
          <w:p>
            <w:r/>
            <w:r>
              <w:rPr>
                <w:b w:val="0"/>
                <w:sz w:val="17"/>
              </w:rPr>
              <w:t>Short response window, firmer demand.</w:t>
            </w:r>
          </w:p>
        </w:tc>
        <w:tc>
          <w:tcPr>
            <w:tcW w:type="dxa" w:w="2520"/>
            <w:vAlign w:val="center"/>
          </w:tcPr>
          <w:p>
            <w:r/>
            <w:r>
              <w:rPr>
                <w:b w:val="0"/>
                <w:sz w:val="17"/>
              </w:rPr>
              <w:t>Volume reduction, temporary surcharge.</w:t>
            </w:r>
          </w:p>
        </w:tc>
      </w:tr>
      <w:tr>
        <w:trPr>
          <w:cantSplit/>
        </w:trPr>
        <w:tc>
          <w:tcPr>
            <w:tcW w:type="dxa" w:w="2520"/>
            <w:vAlign w:val="center"/>
          </w:tcPr>
          <w:p>
            <w:r/>
            <w:r>
              <w:rPr>
                <w:b w:val="0"/>
                <w:sz w:val="17"/>
              </w:rPr>
              <w:t>150+</w:t>
            </w:r>
          </w:p>
        </w:tc>
        <w:tc>
          <w:tcPr>
            <w:tcW w:type="dxa" w:w="2520"/>
            <w:vAlign w:val="center"/>
          </w:tcPr>
          <w:p>
            <w:r/>
            <w:r>
              <w:rPr>
                <w:b w:val="0"/>
                <w:sz w:val="17"/>
              </w:rPr>
              <w:t>Crisis</w:t>
            </w:r>
          </w:p>
        </w:tc>
        <w:tc>
          <w:tcPr>
            <w:tcW w:type="dxa" w:w="2520"/>
            <w:vAlign w:val="center"/>
          </w:tcPr>
          <w:p>
            <w:r/>
            <w:r>
              <w:rPr>
                <w:b w:val="0"/>
                <w:sz w:val="17"/>
              </w:rPr>
              <w:t>Immediate intervention required.</w:t>
            </w:r>
          </w:p>
        </w:tc>
        <w:tc>
          <w:tcPr>
            <w:tcW w:type="dxa" w:w="2520"/>
            <w:vAlign w:val="center"/>
          </w:tcPr>
          <w:p>
            <w:r/>
            <w:r>
              <w:rPr>
                <w:b w:val="0"/>
                <w:sz w:val="17"/>
              </w:rPr>
              <w:t>Delivery suspension, contract risk, supply interruption.</w:t>
            </w:r>
          </w:p>
        </w:tc>
      </w:tr>
    </w:tbl>
    <w:p>
      <w:pPr>
        <w:pStyle w:val="ListBullet"/>
      </w:pPr>
      <w:r>
        <w:t>If Service Buffer is insufficient to prevent an issue, it may downgrade severity by one level.</w:t>
      </w:r>
    </w:p>
    <w:p>
      <w:pPr>
        <w:pStyle w:val="ListBullet"/>
      </w:pPr>
      <w:r>
        <w:t>A crisis may bypass the normal one-event-per-round limit if the affected relationship is critical to a complete supply chain.</w:t>
      </w:r>
    </w:p>
    <w:p>
      <w:pPr>
        <w:pStyle w:val="ListBullet"/>
      </w:pPr>
      <w:r>
        <w:t>Consequences should be defined by issue type, severity, and negotiation outcome.</w:t>
      </w:r>
    </w:p>
    <w:p>
      <w:pPr>
        <w:pStyle w:val="Heading1"/>
      </w:pPr>
      <w:r>
        <w:t>11. Global Event Queue</w:t>
      </w:r>
    </w:p>
    <w:p>
      <w:r>
        <w:t>Independent relationship checks can generate too many events. All valid candidates should enter a global priority queue.</w:t>
      </w:r>
    </w:p>
    <w:p>
      <w:pPr>
        <w:pStyle w:val="CodeBlock"/>
      </w:pPr>
      <w:r>
        <w:t>priority = issuePressure</w:t>
        <w:br/>
        <w:t xml:space="preserve">         + severityBonus</w:t>
        <w:br/>
        <w:t xml:space="preserve">         + roundsSinceIssue * 5</w:t>
        <w:br/>
        <w:t xml:space="preserve">         + criticalSupplyChainBonus</w:t>
        <w:br/>
        <w:t xml:space="preserve">         + unresolvedPromiseBonus</w:t>
      </w:r>
    </w:p>
    <w:p>
      <w:pPr>
        <w:pStyle w:val="ListBullet"/>
      </w:pPr>
      <w:r>
        <w:t>Maximum normal relationship issues presented per round: 1.</w:t>
      </w:r>
    </w:p>
    <w:p>
      <w:pPr>
        <w:pStyle w:val="ListBullet"/>
      </w:pPr>
      <w:r>
        <w:t>Maximum severe or crisis issues presented per round: 2.</w:t>
      </w:r>
    </w:p>
    <w:p>
      <w:pPr>
        <w:pStyle w:val="ListBullet"/>
      </w:pPr>
      <w:r>
        <w:t>Maximum unresolved pending issues shown to the player: 3.</w:t>
      </w:r>
    </w:p>
    <w:p>
      <w:pPr>
        <w:pStyle w:val="ListBullet"/>
      </w:pPr>
      <w:r>
        <w:t>A mandatory five-round issue may be delayed by no more than one additional round.</w:t>
      </w:r>
    </w:p>
    <w:p>
      <w:pPr>
        <w:pStyle w:val="ListBullet"/>
      </w:pPr>
      <w:r>
        <w:t>Pending pressure should continue to exist, but do not repeatedly generate duplicate issue records.</w:t>
      </w:r>
    </w:p>
    <w:p>
      <w:pPr>
        <w:pStyle w:val="Heading1"/>
      </w:pPr>
      <w:r>
        <w:t>12. Round Processing Flow</w:t>
      </w:r>
    </w:p>
    <w:p>
      <w:pPr>
        <w:pStyle w:val="CodeBlock"/>
      </w:pPr>
      <w:r>
        <w:t>function processRelationshipIssues(round: number): void {</w:t>
        <w:br/>
        <w:t xml:space="preserve">  for (const relationship of getActiveRelationships()) {</w:t>
        <w:br/>
        <w:t xml:space="preserve">    if (relationship.hasBlockingUnresolvedIssue) continue;</w:t>
        <w:br/>
        <w:br/>
        <w:t xml:space="preserve">    const state = getIssueState(relationship.id);</w:t>
        <w:br/>
        <w:t xml:space="preserve">    state.roundsSinceIssue += 1;</w:t>
        <w:br/>
        <w:br/>
        <w:t xml:space="preserve">    const breakdown = calculatePressureBreakdown(relationship);</w:t>
        <w:br/>
        <w:t xml:space="preserve">    state.lastPressureBreakdown = breakdown;</w:t>
        <w:br/>
        <w:t xml:space="preserve">    state.issuePressure += breakdown.totalGain;</w:t>
        <w:br/>
        <w:br/>
        <w:t xml:space="preserve">    const needsEvaluation =</w:t>
        <w:br/>
        <w:t xml:space="preserve">      state.issuePressure &gt;= 100 || state.roundsSinceIssue &gt;= 5;</w:t>
        <w:br/>
        <w:br/>
        <w:t xml:space="preserve">    if (!needsEvaluation) continue;</w:t>
        <w:br/>
        <w:br/>
        <w:t xml:space="preserve">    const prevention = evaluateServiceProtection(relationship, state);</w:t>
        <w:br/>
        <w:t xml:space="preserve">    if (prevention.prevented) {</w:t>
        <w:br/>
        <w:t xml:space="preserve">      applyPrevention(state, prevention);</w:t>
        <w:br/>
        <w:t xml:space="preserve">      continue;</w:t>
        <w:br/>
        <w:t xml:space="preserve">    }</w:t>
        <w:br/>
        <w:br/>
        <w:t xml:space="preserve">    const issue = buildHighestScoringIssue(relationship, state);</w:t>
        <w:br/>
        <w:t xml:space="preserve">    enqueueRelationshipIssue(issue);</w:t>
        <w:br/>
        <w:t xml:space="preserve">  }</w:t>
        <w:br/>
        <w:br/>
        <w:t xml:space="preserve">  presentEligibleQueuedIssues();</w:t>
        <w:br/>
        <w:t>}</w:t>
      </w:r>
    </w:p>
    <w:p>
      <w:pPr>
        <w:pStyle w:val="Heading2"/>
      </w:pPr>
      <w:r>
        <w:t>12.1 Post-Negotiation State</w:t>
      </w:r>
    </w:p>
    <w:p>
      <w:pPr>
        <w:pStyle w:val="CodeBlock"/>
      </w:pPr>
      <w:r>
        <w:t>// Successful negotiation</w:t>
        <w:br/>
        <w:t>issuePressure = 20;</w:t>
        <w:br/>
        <w:t>roundsSinceIssue = 0;</w:t>
        <w:br/>
        <w:t>consecutiveIssues = 0;</w:t>
        <w:br/>
        <w:br/>
        <w:t>// Failed negotiation</w:t>
        <w:br/>
        <w:t>issuePressure = 35;</w:t>
        <w:br/>
        <w:t>roundsSinceIssue = 0;</w:t>
        <w:br/>
        <w:t>consecutiveIssues += 1;</w:t>
      </w:r>
    </w:p>
    <w:p>
      <w:r>
        <w:t>Residual pressure prevents a failed or barely resolved relationship from becoming unrealistically healthy immediately.</w:t>
      </w:r>
    </w:p>
    <w:p>
      <w:pPr>
        <w:pStyle w:val="Heading1"/>
      </w:pPr>
      <w:r>
        <w:t>13. UI and Dialogue Integration</w:t>
      </w:r>
    </w:p>
    <w:p>
      <w:r>
        <w:t>Every issue must expose a structured explanation to both the UI and the local LLM. The LLM should not invent the reason for the negotiation.</w:t>
      </w:r>
    </w:p>
    <w:p>
      <w:pPr>
        <w:pStyle w:val="CodeBlock"/>
      </w:pPr>
      <w:r>
        <w:t>interface RelationshipIssueContext {</w:t>
        <w:br/>
        <w:t xml:space="preserve">  issueType: IssueType;</w:t>
        <w:br/>
        <w:t xml:space="preserve">  severity: IssueSeverity;</w:t>
        <w:br/>
        <w:t xml:space="preserve">  initiatorNpcId: string;</w:t>
        <w:br/>
        <w:t xml:space="preserve">  relationshipId: string;</w:t>
        <w:br/>
        <w:t xml:space="preserve">  pressure: number;</w:t>
        <w:br/>
        <w:t xml:space="preserve">  topReasons: PressureReason[];</w:t>
        <w:br/>
        <w:t xml:space="preserve">  requestedTerms: NegotiationTerm[];</w:t>
        <w:br/>
        <w:t xml:space="preserve">  fallbackTerms: NegotiationTerm[];</w:t>
        <w:br/>
        <w:t xml:space="preserve">  consequencesIfIgnored: Consequence[];</w:t>
        <w:br/>
        <w:t>}</w:t>
      </w:r>
    </w:p>
    <w:p>
      <w:pPr>
        <w:pStyle w:val="ListBullet"/>
      </w:pPr>
      <w:r>
        <w:t>Show a concise player-facing reason: “Two invoices are overdue and the supplier margin is below target.”</w:t>
      </w:r>
    </w:p>
    <w:p>
      <w:pPr>
        <w:pStyle w:val="ListBullet"/>
      </w:pPr>
      <w:r>
        <w:t>Pass the same reasons into the negotiation prompt as immutable facts.</w:t>
      </w:r>
    </w:p>
    <w:p>
      <w:pPr>
        <w:pStyle w:val="ListBullet"/>
      </w:pPr>
      <w:r>
        <w:t>Use NPC personality to change tone and tactics, not the underlying issue cause.</w:t>
      </w:r>
    </w:p>
    <w:p>
      <w:pPr>
        <w:pStyle w:val="ListBullet"/>
      </w:pPr>
      <w:r>
        <w:t>Show whether Customer Service prevented or downgraded a problem.</w:t>
      </w:r>
    </w:p>
    <w:p>
      <w:pPr>
        <w:pStyle w:val="ListBullet"/>
      </w:pPr>
      <w:r>
        <w:t>Allow the notebook/due-diligence panel to reveal relevant leverage tied to the issue.</w:t>
      </w:r>
    </w:p>
    <w:p>
      <w:pPr>
        <w:pStyle w:val="Heading1"/>
      </w:pPr>
      <w:r>
        <w:t>14. Telemetry and Balancing</w:t>
      </w:r>
    </w:p>
    <w:p>
      <w:r>
        <w:t>Log the following fields for every pressure update and issue outcome. This is necessary to tune frequency without guessing.</w:t>
      </w:r>
    </w:p>
    <w:p>
      <w:pPr>
        <w:pStyle w:val="ListBullet"/>
      </w:pPr>
      <w:r>
        <w:t>Relationship ID, supplier ID, client ID, and resource type.</w:t>
      </w:r>
    </w:p>
    <w:p>
      <w:pPr>
        <w:pStyle w:val="ListBullet"/>
      </w:pPr>
      <w:r>
        <w:t>Pressure before and after update.</w:t>
      </w:r>
    </w:p>
    <w:p>
      <w:pPr>
        <w:pStyle w:val="ListBullet"/>
      </w:pPr>
      <w:r>
        <w:t>Full pressure breakdown.</w:t>
      </w:r>
    </w:p>
    <w:p>
      <w:pPr>
        <w:pStyle w:val="ListBullet"/>
      </w:pPr>
      <w:r>
        <w:t>Rounds since previous issue.</w:t>
      </w:r>
    </w:p>
    <w:p>
      <w:pPr>
        <w:pStyle w:val="ListBullet"/>
      </w:pPr>
      <w:r>
        <w:t>Whether the trigger was threshold-based or mandatory review.</w:t>
      </w:r>
    </w:p>
    <w:p>
      <w:pPr>
        <w:pStyle w:val="ListBullet"/>
      </w:pPr>
      <w:r>
        <w:t>Whether Service Buffer prevented or downgraded the issue.</w:t>
      </w:r>
    </w:p>
    <w:p>
      <w:pPr>
        <w:pStyle w:val="ListBullet"/>
      </w:pPr>
      <w:r>
        <w:t>Selected issue type and all candidate scores.</w:t>
      </w:r>
    </w:p>
    <w:p>
      <w:pPr>
        <w:pStyle w:val="ListBullet"/>
      </w:pPr>
      <w:r>
        <w:t>Queue delay before presentation.</w:t>
      </w:r>
    </w:p>
    <w:p>
      <w:pPr>
        <w:pStyle w:val="ListBullet"/>
      </w:pPr>
      <w:r>
        <w:t>Negotiation result and resulting economic/relationship effects.</w:t>
      </w:r>
    </w:p>
    <w:p>
      <w:pPr>
        <w:pStyle w:val="Heading2"/>
      </w:pPr>
      <w:r>
        <w:t>14.1 Target Frequency</w:t>
      </w:r>
    </w:p>
    <w:tbl>
      <w:tblPr>
        <w:tblStyle w:val="TableGrid"/>
        <w:tblW w:type="auto" w:w="0"/>
        <w:tblLook w:firstColumn="1" w:firstRow="1" w:lastColumn="0" w:lastRow="0" w:noHBand="0" w:noVBand="1" w:val="04A0"/>
      </w:tblPr>
      <w:tblGrid>
        <w:gridCol w:w="5040"/>
        <w:gridCol w:w="5040"/>
      </w:tblGrid>
      <w:tr>
        <w:trPr>
          <w:cantSplit/>
        </w:trPr>
        <w:tc>
          <w:tcPr>
            <w:tcW w:type="dxa" w:w="5040"/>
            <w:vAlign w:val="center"/>
            <w:shd w:fill="2E593C"/>
          </w:tcPr>
          <w:p>
            <w:r/>
            <w:r>
              <w:rPr>
                <w:b/>
                <w:color w:val="FFFFFF"/>
                <w:sz w:val="18"/>
              </w:rPr>
              <w:t>Relationship Condition</w:t>
            </w:r>
          </w:p>
        </w:tc>
        <w:tc>
          <w:tcPr>
            <w:tcW w:type="dxa" w:w="5040"/>
            <w:vAlign w:val="center"/>
            <w:shd w:fill="2E593C"/>
          </w:tcPr>
          <w:p>
            <w:r/>
            <w:r>
              <w:rPr>
                <w:b/>
                <w:color w:val="FFFFFF"/>
                <w:sz w:val="18"/>
              </w:rPr>
              <w:t>Expected Frequency</w:t>
            </w:r>
          </w:p>
        </w:tc>
      </w:tr>
      <w:tr>
        <w:trPr>
          <w:cantSplit/>
        </w:trPr>
        <w:tc>
          <w:tcPr>
            <w:tcW w:type="dxa" w:w="5040"/>
            <w:vAlign w:val="center"/>
          </w:tcPr>
          <w:p>
            <w:r/>
            <w:r>
              <w:rPr>
                <w:b w:val="0"/>
                <w:sz w:val="17"/>
              </w:rPr>
              <w:t>Excellent operations and strong service</w:t>
            </w:r>
          </w:p>
        </w:tc>
        <w:tc>
          <w:tcPr>
            <w:tcW w:type="dxa" w:w="5040"/>
            <w:vAlign w:val="center"/>
          </w:tcPr>
          <w:p>
            <w:r/>
            <w:r>
              <w:rPr>
                <w:b w:val="0"/>
                <w:sz w:val="17"/>
              </w:rPr>
              <w:t>Often prevented; may exceed five rounds only through prevention.</w:t>
            </w:r>
          </w:p>
        </w:tc>
      </w:tr>
      <w:tr>
        <w:trPr>
          <w:cantSplit/>
        </w:trPr>
        <w:tc>
          <w:tcPr>
            <w:tcW w:type="dxa" w:w="5040"/>
            <w:vAlign w:val="center"/>
          </w:tcPr>
          <w:p>
            <w:r/>
            <w:r>
              <w:rPr>
                <w:b w:val="0"/>
                <w:sz w:val="17"/>
              </w:rPr>
              <w:t>Stable, no service improvements</w:t>
            </w:r>
          </w:p>
        </w:tc>
        <w:tc>
          <w:tcPr>
            <w:tcW w:type="dxa" w:w="5040"/>
            <w:vAlign w:val="center"/>
          </w:tcPr>
          <w:p>
            <w:r/>
            <w:r>
              <w:rPr>
                <w:b w:val="0"/>
                <w:sz w:val="17"/>
              </w:rPr>
              <w:t>Approximately every five rounds.</w:t>
            </w:r>
          </w:p>
        </w:tc>
      </w:tr>
      <w:tr>
        <w:trPr>
          <w:cantSplit/>
        </w:trPr>
        <w:tc>
          <w:tcPr>
            <w:tcW w:type="dxa" w:w="5040"/>
            <w:vAlign w:val="center"/>
          </w:tcPr>
          <w:p>
            <w:r/>
            <w:r>
              <w:rPr>
                <w:b w:val="0"/>
                <w:sz w:val="17"/>
              </w:rPr>
              <w:t>Moderate operational problems</w:t>
            </w:r>
          </w:p>
        </w:tc>
        <w:tc>
          <w:tcPr>
            <w:tcW w:type="dxa" w:w="5040"/>
            <w:vAlign w:val="center"/>
          </w:tcPr>
          <w:p>
            <w:r/>
            <w:r>
              <w:rPr>
                <w:b w:val="0"/>
                <w:sz w:val="17"/>
              </w:rPr>
              <w:t>Every three to four rounds.</w:t>
            </w:r>
          </w:p>
        </w:tc>
      </w:tr>
      <w:tr>
        <w:trPr>
          <w:cantSplit/>
        </w:trPr>
        <w:tc>
          <w:tcPr>
            <w:tcW w:type="dxa" w:w="5040"/>
            <w:vAlign w:val="center"/>
          </w:tcPr>
          <w:p>
            <w:r/>
            <w:r>
              <w:rPr>
                <w:b w:val="0"/>
                <w:sz w:val="17"/>
              </w:rPr>
              <w:t>Serious problems</w:t>
            </w:r>
          </w:p>
        </w:tc>
        <w:tc>
          <w:tcPr>
            <w:tcW w:type="dxa" w:w="5040"/>
            <w:vAlign w:val="center"/>
          </w:tcPr>
          <w:p>
            <w:r/>
            <w:r>
              <w:rPr>
                <w:b w:val="0"/>
                <w:sz w:val="17"/>
              </w:rPr>
              <w:t>Every two rounds.</w:t>
            </w:r>
          </w:p>
        </w:tc>
      </w:tr>
      <w:tr>
        <w:trPr>
          <w:cantSplit/>
        </w:trPr>
        <w:tc>
          <w:tcPr>
            <w:tcW w:type="dxa" w:w="5040"/>
            <w:vAlign w:val="center"/>
          </w:tcPr>
          <w:p>
            <w:r/>
            <w:r>
              <w:rPr>
                <w:b w:val="0"/>
                <w:sz w:val="17"/>
              </w:rPr>
              <w:t>Crisis or broken agreement</w:t>
            </w:r>
          </w:p>
        </w:tc>
        <w:tc>
          <w:tcPr>
            <w:tcW w:type="dxa" w:w="5040"/>
            <w:vAlign w:val="center"/>
          </w:tcPr>
          <w:p>
            <w:r/>
            <w:r>
              <w:rPr>
                <w:b w:val="0"/>
                <w:sz w:val="17"/>
              </w:rPr>
              <w:t>Immediate or next round.</w:t>
            </w:r>
          </w:p>
        </w:tc>
      </w:tr>
    </w:tbl>
    <w:p>
      <w:pPr>
        <w:pStyle w:val="Heading1"/>
      </w:pPr>
      <w:r>
        <w:t>15. Testing Requirements</w:t>
      </w:r>
    </w:p>
    <w:p>
      <w:pPr>
        <w:pStyle w:val="Heading2"/>
      </w:pPr>
      <w:r>
        <w:t>15.1 Unit Tests</w:t>
      </w:r>
    </w:p>
    <w:p>
      <w:pPr>
        <w:pStyle w:val="ListBullet"/>
      </w:pPr>
      <w:r>
        <w:t>Stable relationship accumulates expected pressure.</w:t>
      </w:r>
    </w:p>
    <w:p>
      <w:pPr>
        <w:pStyle w:val="ListBullet"/>
      </w:pPr>
      <w:r>
        <w:t>Passive mitigation cannot reduce total gain below the configured minimum unless explicitly allowed.</w:t>
      </w:r>
    </w:p>
    <w:p>
      <w:pPr>
        <w:pStyle w:val="ListBullet"/>
      </w:pPr>
      <w:r>
        <w:t>Mandatory review occurs exactly at five rounds.</w:t>
      </w:r>
    </w:p>
    <w:p>
      <w:pPr>
        <w:pStyle w:val="ListBullet"/>
      </w:pPr>
      <w:r>
        <w:t>Sufficient Service Buffer prevents the event and consumes the correct amount.</w:t>
      </w:r>
    </w:p>
    <w:p>
      <w:pPr>
        <w:pStyle w:val="ListBullet"/>
      </w:pPr>
      <w:r>
        <w:t>Insufficient buffer downgrades severity when configured.</w:t>
      </w:r>
    </w:p>
    <w:p>
      <w:pPr>
        <w:pStyle w:val="ListBullet"/>
      </w:pPr>
      <w:r>
        <w:t>Highest valid issue score is selected.</w:t>
      </w:r>
    </w:p>
    <w:p>
      <w:pPr>
        <w:pStyle w:val="ListBullet"/>
      </w:pPr>
      <w:r>
        <w:t>Repetition penalties apply correctly.</w:t>
      </w:r>
    </w:p>
    <w:p>
      <w:pPr>
        <w:pStyle w:val="ListBullet"/>
      </w:pPr>
      <w:r>
        <w:t>Supplier and client catalogs use different scoring inputs.</w:t>
      </w:r>
    </w:p>
    <w:p>
      <w:pPr>
        <w:pStyle w:val="ListBullet"/>
      </w:pPr>
      <w:r>
        <w:t>Circular or invalid relationship references do not crash processing.</w:t>
      </w:r>
    </w:p>
    <w:p>
      <w:pPr>
        <w:pStyle w:val="ListBullet"/>
      </w:pPr>
      <w:r>
        <w:t>Duplicate pending issues are not generated.</w:t>
      </w:r>
    </w:p>
    <w:p>
      <w:pPr>
        <w:pStyle w:val="Heading2"/>
      </w:pPr>
      <w:r>
        <w:t>15.2 Simulation Tests</w:t>
      </w:r>
    </w:p>
    <w:p>
      <w:pPr>
        <w:pStyle w:val="ListBullet"/>
      </w:pPr>
      <w:r>
        <w:t>Run at least 10,000 simulated rounds across stable, stressed, and service-improved relationships.</w:t>
      </w:r>
    </w:p>
    <w:p>
      <w:pPr>
        <w:pStyle w:val="ListBullet"/>
      </w:pPr>
      <w:r>
        <w:t>Measure average rounds between issues by condition.</w:t>
      </w:r>
    </w:p>
    <w:p>
      <w:pPr>
        <w:pStyle w:val="ListBullet"/>
      </w:pPr>
      <w:r>
        <w:t>Confirm unmanaged stable relationships never exceed five rounds without an issue candidate.</w:t>
      </w:r>
    </w:p>
    <w:p>
      <w:pPr>
        <w:pStyle w:val="ListBullet"/>
      </w:pPr>
      <w:r>
        <w:t>Confirm service-improved relationships can exceed five rounds only because prevention was logged.</w:t>
      </w:r>
    </w:p>
    <w:p>
      <w:pPr>
        <w:pStyle w:val="ListBullet"/>
      </w:pPr>
      <w:r>
        <w:t>Confirm the queue does not starve low-priority mandatory reviews beyond one extra round.</w:t>
      </w:r>
    </w:p>
    <w:p>
      <w:pPr>
        <w:pStyle w:val="ListBullet"/>
      </w:pPr>
      <w:r>
        <w:t>Confirm no single issue type dominates unless the corresponding problem dominates the simulation.</w:t>
      </w:r>
    </w:p>
    <w:p>
      <w:pPr>
        <w:pStyle w:val="Heading1"/>
      </w:pPr>
      <w:r>
        <w:t>16. Acceptance Criteria</w:t>
      </w:r>
    </w:p>
    <w:p>
      <w:pPr>
        <w:pStyle w:val="ListBullet"/>
      </w:pPr>
      <w:r>
        <w:t>Every active supplier-client relationship stores persistent Issue Pressure state.</w:t>
      </w:r>
    </w:p>
    <w:p>
      <w:pPr>
        <w:pStyle w:val="ListBullet"/>
      </w:pPr>
      <w:r>
        <w:t>Pressure is calculated from deterministic simulation variables at the end of each round.</w:t>
      </w:r>
    </w:p>
    <w:p>
      <w:pPr>
        <w:pStyle w:val="ListBullet"/>
      </w:pPr>
      <w:r>
        <w:t>Stable unmanaged relationships produce an issue by the five-round review.</w:t>
      </w:r>
    </w:p>
    <w:p>
      <w:pPr>
        <w:pStyle w:val="ListBullet"/>
      </w:pPr>
      <w:r>
        <w:t>Customer Service improvements reduce pressure and can prevent or downgrade issues.</w:t>
      </w:r>
    </w:p>
    <w:p>
      <w:pPr>
        <w:pStyle w:val="ListBullet"/>
      </w:pPr>
      <w:r>
        <w:t>Supplier and client events use different trigger weights and issue catalogs.</w:t>
      </w:r>
    </w:p>
    <w:p>
      <w:pPr>
        <w:pStyle w:val="ListBullet"/>
      </w:pPr>
      <w:r>
        <w:t>The selected issue is the highest-scoring valid issue, not a random choice.</w:t>
      </w:r>
    </w:p>
    <w:p>
      <w:pPr>
        <w:pStyle w:val="ListBullet"/>
      </w:pPr>
      <w:r>
        <w:t>The UI can display the top causes of every event.</w:t>
      </w:r>
    </w:p>
    <w:p>
      <w:pPr>
        <w:pStyle w:val="ListBullet"/>
      </w:pPr>
      <w:r>
        <w:t>The local LLM receives structured, immutable issue facts.</w:t>
      </w:r>
    </w:p>
    <w:p>
      <w:pPr>
        <w:pStyle w:val="ListBullet"/>
      </w:pPr>
      <w:r>
        <w:t>A global queue limits event overload.</w:t>
      </w:r>
    </w:p>
    <w:p>
      <w:pPr>
        <w:pStyle w:val="ListBullet"/>
      </w:pPr>
      <w:r>
        <w:t>All timers, states, and pending records survive save/load correctly.</w:t>
      </w:r>
    </w:p>
    <w:p>
      <w:pPr>
        <w:pStyle w:val="ListBullet"/>
      </w:pPr>
      <w:r>
        <w:t>Telemetry supports balancing by relationship condition and issue type.</w:t>
      </w:r>
    </w:p>
    <w:p>
      <w:pPr>
        <w:pStyle w:val="Heading1"/>
      </w:pPr>
      <w:r>
        <w:t>17. Initial Configuration Values</w:t>
      </w:r>
    </w:p>
    <w:tbl>
      <w:tblPr>
        <w:tblStyle w:val="TableGrid"/>
        <w:tblW w:type="auto" w:w="0"/>
        <w:tblLook w:firstColumn="1" w:firstRow="1" w:lastColumn="0" w:lastRow="0" w:noHBand="0" w:noVBand="1" w:val="04A0"/>
      </w:tblPr>
      <w:tblGrid>
        <w:gridCol w:w="3360"/>
        <w:gridCol w:w="3360"/>
        <w:gridCol w:w="3360"/>
      </w:tblGrid>
      <w:tr>
        <w:trPr>
          <w:cantSplit/>
        </w:trPr>
        <w:tc>
          <w:tcPr>
            <w:tcW w:type="dxa" w:w="3360"/>
            <w:vAlign w:val="center"/>
            <w:shd w:fill="7A2D1C"/>
          </w:tcPr>
          <w:p>
            <w:r/>
            <w:r>
              <w:rPr>
                <w:b/>
                <w:color w:val="FFFFFF"/>
                <w:sz w:val="18"/>
              </w:rPr>
              <w:t>Parameter</w:t>
            </w:r>
          </w:p>
        </w:tc>
        <w:tc>
          <w:tcPr>
            <w:tcW w:type="dxa" w:w="3360"/>
            <w:vAlign w:val="center"/>
            <w:shd w:fill="7A2D1C"/>
          </w:tcPr>
          <w:p>
            <w:r/>
            <w:r>
              <w:rPr>
                <w:b/>
                <w:color w:val="FFFFFF"/>
                <w:sz w:val="18"/>
              </w:rPr>
              <w:t>Initial Value</w:t>
            </w:r>
          </w:p>
        </w:tc>
        <w:tc>
          <w:tcPr>
            <w:tcW w:type="dxa" w:w="3360"/>
            <w:vAlign w:val="center"/>
            <w:shd w:fill="7A2D1C"/>
          </w:tcPr>
          <w:p>
            <w:r/>
            <w:r>
              <w:rPr>
                <w:b/>
                <w:color w:val="FFFFFF"/>
                <w:sz w:val="18"/>
              </w:rPr>
              <w:t>Notes</w:t>
            </w:r>
          </w:p>
        </w:tc>
      </w:tr>
      <w:tr>
        <w:trPr>
          <w:cantSplit/>
        </w:trPr>
        <w:tc>
          <w:tcPr>
            <w:tcW w:type="dxa" w:w="3360"/>
            <w:vAlign w:val="center"/>
          </w:tcPr>
          <w:p>
            <w:r/>
            <w:r>
              <w:rPr>
                <w:b w:val="0"/>
                <w:sz w:val="17"/>
              </w:rPr>
              <w:t>Base pressure per round</w:t>
            </w:r>
          </w:p>
        </w:tc>
        <w:tc>
          <w:tcPr>
            <w:tcW w:type="dxa" w:w="3360"/>
            <w:vAlign w:val="center"/>
          </w:tcPr>
          <w:p>
            <w:r/>
            <w:r>
              <w:rPr>
                <w:b w:val="0"/>
                <w:sz w:val="17"/>
              </w:rPr>
              <w:t>16</w:t>
            </w:r>
          </w:p>
        </w:tc>
        <w:tc>
          <w:tcPr>
            <w:tcW w:type="dxa" w:w="3360"/>
            <w:vAlign w:val="center"/>
          </w:tcPr>
          <w:p>
            <w:r/>
            <w:r>
              <w:rPr>
                <w:b w:val="0"/>
                <w:sz w:val="17"/>
              </w:rPr>
              <w:t>Applied to all active relationships.</w:t>
            </w:r>
          </w:p>
        </w:tc>
      </w:tr>
      <w:tr>
        <w:trPr>
          <w:cantSplit/>
        </w:trPr>
        <w:tc>
          <w:tcPr>
            <w:tcW w:type="dxa" w:w="3360"/>
            <w:vAlign w:val="center"/>
          </w:tcPr>
          <w:p>
            <w:r/>
            <w:r>
              <w:rPr>
                <w:b w:val="0"/>
                <w:sz w:val="17"/>
              </w:rPr>
              <w:t>Normal trigger threshold</w:t>
            </w:r>
          </w:p>
        </w:tc>
        <w:tc>
          <w:tcPr>
            <w:tcW w:type="dxa" w:w="3360"/>
            <w:vAlign w:val="center"/>
          </w:tcPr>
          <w:p>
            <w:r/>
            <w:r>
              <w:rPr>
                <w:b w:val="0"/>
                <w:sz w:val="17"/>
              </w:rPr>
              <w:t>100</w:t>
            </w:r>
          </w:p>
        </w:tc>
        <w:tc>
          <w:tcPr>
            <w:tcW w:type="dxa" w:w="3360"/>
            <w:vAlign w:val="center"/>
          </w:tcPr>
          <w:p>
            <w:r/>
            <w:r>
              <w:rPr>
                <w:b w:val="0"/>
                <w:sz w:val="17"/>
              </w:rPr>
              <w:t>Creates issue candidate.</w:t>
            </w:r>
          </w:p>
        </w:tc>
      </w:tr>
      <w:tr>
        <w:trPr>
          <w:cantSplit/>
        </w:trPr>
        <w:tc>
          <w:tcPr>
            <w:tcW w:type="dxa" w:w="3360"/>
            <w:vAlign w:val="center"/>
          </w:tcPr>
          <w:p>
            <w:r/>
            <w:r>
              <w:rPr>
                <w:b w:val="0"/>
                <w:sz w:val="17"/>
              </w:rPr>
              <w:t>Mandatory review</w:t>
            </w:r>
          </w:p>
        </w:tc>
        <w:tc>
          <w:tcPr>
            <w:tcW w:type="dxa" w:w="3360"/>
            <w:vAlign w:val="center"/>
          </w:tcPr>
          <w:p>
            <w:r/>
            <w:r>
              <w:rPr>
                <w:b w:val="0"/>
                <w:sz w:val="17"/>
              </w:rPr>
              <w:t>5 rounds</w:t>
            </w:r>
          </w:p>
        </w:tc>
        <w:tc>
          <w:tcPr>
            <w:tcW w:type="dxa" w:w="3360"/>
            <w:vAlign w:val="center"/>
          </w:tcPr>
          <w:p>
            <w:r/>
            <w:r>
              <w:rPr>
                <w:b w:val="0"/>
                <w:sz w:val="17"/>
              </w:rPr>
              <w:t>Guaranteed review unless prevented.</w:t>
            </w:r>
          </w:p>
        </w:tc>
      </w:tr>
      <w:tr>
        <w:trPr>
          <w:cantSplit/>
        </w:trPr>
        <w:tc>
          <w:tcPr>
            <w:tcW w:type="dxa" w:w="3360"/>
            <w:vAlign w:val="center"/>
          </w:tcPr>
          <w:p>
            <w:r/>
            <w:r>
              <w:rPr>
                <w:b w:val="0"/>
                <w:sz w:val="17"/>
              </w:rPr>
              <w:t>Pressure after success</w:t>
            </w:r>
          </w:p>
        </w:tc>
        <w:tc>
          <w:tcPr>
            <w:tcW w:type="dxa" w:w="3360"/>
            <w:vAlign w:val="center"/>
          </w:tcPr>
          <w:p>
            <w:r/>
            <w:r>
              <w:rPr>
                <w:b w:val="0"/>
                <w:sz w:val="17"/>
              </w:rPr>
              <w:t>20</w:t>
            </w:r>
          </w:p>
        </w:tc>
        <w:tc>
          <w:tcPr>
            <w:tcW w:type="dxa" w:w="3360"/>
            <w:vAlign w:val="center"/>
          </w:tcPr>
          <w:p>
            <w:r/>
            <w:r>
              <w:rPr>
                <w:b w:val="0"/>
                <w:sz w:val="17"/>
              </w:rPr>
              <w:t>Residual tension.</w:t>
            </w:r>
          </w:p>
        </w:tc>
      </w:tr>
      <w:tr>
        <w:trPr>
          <w:cantSplit/>
        </w:trPr>
        <w:tc>
          <w:tcPr>
            <w:tcW w:type="dxa" w:w="3360"/>
            <w:vAlign w:val="center"/>
          </w:tcPr>
          <w:p>
            <w:r/>
            <w:r>
              <w:rPr>
                <w:b w:val="0"/>
                <w:sz w:val="17"/>
              </w:rPr>
              <w:t>Pressure after failure</w:t>
            </w:r>
          </w:p>
        </w:tc>
        <w:tc>
          <w:tcPr>
            <w:tcW w:type="dxa" w:w="3360"/>
            <w:vAlign w:val="center"/>
          </w:tcPr>
          <w:p>
            <w:r/>
            <w:r>
              <w:rPr>
                <w:b w:val="0"/>
                <w:sz w:val="17"/>
              </w:rPr>
              <w:t>35</w:t>
            </w:r>
          </w:p>
        </w:tc>
        <w:tc>
          <w:tcPr>
            <w:tcW w:type="dxa" w:w="3360"/>
            <w:vAlign w:val="center"/>
          </w:tcPr>
          <w:p>
            <w:r/>
            <w:r>
              <w:rPr>
                <w:b w:val="0"/>
                <w:sz w:val="17"/>
              </w:rPr>
              <w:t>Higher residual tension.</w:t>
            </w:r>
          </w:p>
        </w:tc>
      </w:tr>
      <w:tr>
        <w:trPr>
          <w:cantSplit/>
        </w:trPr>
        <w:tc>
          <w:tcPr>
            <w:tcW w:type="dxa" w:w="3360"/>
            <w:vAlign w:val="center"/>
          </w:tcPr>
          <w:p>
            <w:r/>
            <w:r>
              <w:rPr>
                <w:b w:val="0"/>
                <w:sz w:val="17"/>
              </w:rPr>
              <w:t>Service prevention reset</w:t>
            </w:r>
          </w:p>
        </w:tc>
        <w:tc>
          <w:tcPr>
            <w:tcW w:type="dxa" w:w="3360"/>
            <w:vAlign w:val="center"/>
          </w:tcPr>
          <w:p>
            <w:r/>
            <w:r>
              <w:rPr>
                <w:b w:val="0"/>
                <w:sz w:val="17"/>
              </w:rPr>
              <w:t>40% of current pressure</w:t>
            </w:r>
          </w:p>
        </w:tc>
        <w:tc>
          <w:tcPr>
            <w:tcW w:type="dxa" w:w="3360"/>
            <w:vAlign w:val="center"/>
          </w:tcPr>
          <w:p>
            <w:r/>
            <w:r>
              <w:rPr>
                <w:b w:val="0"/>
                <w:sz w:val="17"/>
              </w:rPr>
              <w:t>After buffer consumption.</w:t>
            </w:r>
          </w:p>
        </w:tc>
      </w:tr>
      <w:tr>
        <w:trPr>
          <w:cantSplit/>
        </w:trPr>
        <w:tc>
          <w:tcPr>
            <w:tcW w:type="dxa" w:w="3360"/>
            <w:vAlign w:val="center"/>
          </w:tcPr>
          <w:p>
            <w:r/>
            <w:r>
              <w:rPr>
                <w:b w:val="0"/>
                <w:sz w:val="17"/>
              </w:rPr>
              <w:t>Passive mitigation</w:t>
            </w:r>
          </w:p>
        </w:tc>
        <w:tc>
          <w:tcPr>
            <w:tcW w:type="dxa" w:w="3360"/>
            <w:vAlign w:val="center"/>
          </w:tcPr>
          <w:p>
            <w:r/>
            <w:r>
              <w:rPr>
                <w:b w:val="0"/>
                <w:sz w:val="17"/>
              </w:rPr>
              <w:t>0-8 per round</w:t>
            </w:r>
          </w:p>
        </w:tc>
        <w:tc>
          <w:tcPr>
            <w:tcW w:type="dxa" w:w="3360"/>
            <w:vAlign w:val="center"/>
          </w:tcPr>
          <w:p>
            <w:r/>
            <w:r>
              <w:rPr>
                <w:b w:val="0"/>
                <w:sz w:val="17"/>
              </w:rPr>
              <w:t>Depends on improvement tier.</w:t>
            </w:r>
          </w:p>
        </w:tc>
      </w:tr>
      <w:tr>
        <w:trPr>
          <w:cantSplit/>
        </w:trPr>
        <w:tc>
          <w:tcPr>
            <w:tcW w:type="dxa" w:w="3360"/>
            <w:vAlign w:val="center"/>
          </w:tcPr>
          <w:p>
            <w:r/>
            <w:r>
              <w:rPr>
                <w:b w:val="0"/>
                <w:sz w:val="17"/>
              </w:rPr>
              <w:t>Required service buffer</w:t>
            </w:r>
          </w:p>
        </w:tc>
        <w:tc>
          <w:tcPr>
            <w:tcW w:type="dxa" w:w="3360"/>
            <w:vAlign w:val="center"/>
          </w:tcPr>
          <w:p>
            <w:r/>
            <w:r>
              <w:rPr>
                <w:b w:val="0"/>
                <w:sz w:val="17"/>
              </w:rPr>
              <w:t>30-60</w:t>
            </w:r>
          </w:p>
        </w:tc>
        <w:tc>
          <w:tcPr>
            <w:tcW w:type="dxa" w:w="3360"/>
            <w:vAlign w:val="center"/>
          </w:tcPr>
          <w:p>
            <w:r/>
            <w:r>
              <w:rPr>
                <w:b w:val="0"/>
                <w:sz w:val="17"/>
              </w:rPr>
              <w:t>Scales with unresolved risk.</w:t>
            </w:r>
          </w:p>
        </w:tc>
      </w:tr>
      <w:tr>
        <w:trPr>
          <w:cantSplit/>
        </w:trPr>
        <w:tc>
          <w:tcPr>
            <w:tcW w:type="dxa" w:w="3360"/>
            <w:vAlign w:val="center"/>
          </w:tcPr>
          <w:p>
            <w:r/>
            <w:r>
              <w:rPr>
                <w:b w:val="0"/>
                <w:sz w:val="17"/>
              </w:rPr>
              <w:t>Normal events presented</w:t>
            </w:r>
          </w:p>
        </w:tc>
        <w:tc>
          <w:tcPr>
            <w:tcW w:type="dxa" w:w="3360"/>
            <w:vAlign w:val="center"/>
          </w:tcPr>
          <w:p>
            <w:r/>
            <w:r>
              <w:rPr>
                <w:b w:val="0"/>
                <w:sz w:val="17"/>
              </w:rPr>
              <w:t>1 per round</w:t>
            </w:r>
          </w:p>
        </w:tc>
        <w:tc>
          <w:tcPr>
            <w:tcW w:type="dxa" w:w="3360"/>
            <w:vAlign w:val="center"/>
          </w:tcPr>
          <w:p>
            <w:r/>
            <w:r>
              <w:rPr>
                <w:b w:val="0"/>
                <w:sz w:val="17"/>
              </w:rPr>
              <w:t>Global cap.</w:t>
            </w:r>
          </w:p>
        </w:tc>
      </w:tr>
      <w:tr>
        <w:trPr>
          <w:cantSplit/>
        </w:trPr>
        <w:tc>
          <w:tcPr>
            <w:tcW w:type="dxa" w:w="3360"/>
            <w:vAlign w:val="center"/>
          </w:tcPr>
          <w:p>
            <w:r/>
            <w:r>
              <w:rPr>
                <w:b w:val="0"/>
                <w:sz w:val="17"/>
              </w:rPr>
              <w:t>Severe events presented</w:t>
            </w:r>
          </w:p>
        </w:tc>
        <w:tc>
          <w:tcPr>
            <w:tcW w:type="dxa" w:w="3360"/>
            <w:vAlign w:val="center"/>
          </w:tcPr>
          <w:p>
            <w:r/>
            <w:r>
              <w:rPr>
                <w:b w:val="0"/>
                <w:sz w:val="17"/>
              </w:rPr>
              <w:t>2 per round</w:t>
            </w:r>
          </w:p>
        </w:tc>
        <w:tc>
          <w:tcPr>
            <w:tcW w:type="dxa" w:w="3360"/>
            <w:vAlign w:val="center"/>
          </w:tcPr>
          <w:p>
            <w:r/>
            <w:r>
              <w:rPr>
                <w:b w:val="0"/>
                <w:sz w:val="17"/>
              </w:rPr>
              <w:t>Only when justified.</w:t>
            </w:r>
          </w:p>
        </w:tc>
      </w:tr>
      <w:tr>
        <w:trPr>
          <w:cantSplit/>
        </w:trPr>
        <w:tc>
          <w:tcPr>
            <w:tcW w:type="dxa" w:w="3360"/>
            <w:vAlign w:val="center"/>
          </w:tcPr>
          <w:p>
            <w:r/>
            <w:r>
              <w:rPr>
                <w:b w:val="0"/>
                <w:sz w:val="17"/>
              </w:rPr>
              <w:t>Maximum queue delay for mandatory review</w:t>
            </w:r>
          </w:p>
        </w:tc>
        <w:tc>
          <w:tcPr>
            <w:tcW w:type="dxa" w:w="3360"/>
            <w:vAlign w:val="center"/>
          </w:tcPr>
          <w:p>
            <w:r/>
            <w:r>
              <w:rPr>
                <w:b w:val="0"/>
                <w:sz w:val="17"/>
              </w:rPr>
              <w:t>1 round</w:t>
            </w:r>
          </w:p>
        </w:tc>
        <w:tc>
          <w:tcPr>
            <w:tcW w:type="dxa" w:w="3360"/>
            <w:vAlign w:val="center"/>
          </w:tcPr>
          <w:p>
            <w:r/>
            <w:r>
              <w:rPr>
                <w:b w:val="0"/>
                <w:sz w:val="17"/>
              </w:rPr>
              <w:t>Prevents starvation.</w:t>
            </w:r>
          </w:p>
        </w:tc>
      </w:tr>
    </w:tbl>
    <w:p>
      <w:pPr>
        <w:pStyle w:val="Heading1"/>
      </w:pPr>
      <w:r>
        <w:t>18. Recommended Implementation Sequence</w:t>
      </w:r>
    </w:p>
    <w:p>
      <w:pPr>
        <w:pStyle w:val="ListNumber"/>
      </w:pPr>
      <w:r>
        <w:t>Create relationship-level state and save/load serialization.</w:t>
      </w:r>
    </w:p>
    <w:p>
      <w:pPr>
        <w:pStyle w:val="ListNumber"/>
      </w:pPr>
      <w:r>
        <w:t>Implement pressure breakdown calculators with configuration-driven bands.</w:t>
      </w:r>
    </w:p>
    <w:p>
      <w:pPr>
        <w:pStyle w:val="ListNumber"/>
      </w:pPr>
      <w:r>
        <w:t>Implement Customer Service passive mitigation and Service Buffer.</w:t>
      </w:r>
    </w:p>
    <w:p>
      <w:pPr>
        <w:pStyle w:val="ListNumber"/>
      </w:pPr>
      <w:r>
        <w:t>Implement normal threshold and five-round mandatory review.</w:t>
      </w:r>
    </w:p>
    <w:p>
      <w:pPr>
        <w:pStyle w:val="ListNumber"/>
      </w:pPr>
      <w:r>
        <w:t>Create supplier and client issue catalogs with deterministic scoring.</w:t>
      </w:r>
    </w:p>
    <w:p>
      <w:pPr>
        <w:pStyle w:val="ListNumber"/>
      </w:pPr>
      <w:r>
        <w:t>Implement severity, consequences, and post-negotiation resets.</w:t>
      </w:r>
    </w:p>
    <w:p>
      <w:pPr>
        <w:pStyle w:val="ListNumber"/>
      </w:pPr>
      <w:r>
        <w:t>Add the global priority queue and presentation limits.</w:t>
      </w:r>
    </w:p>
    <w:p>
      <w:pPr>
        <w:pStyle w:val="ListNumber"/>
      </w:pPr>
      <w:r>
        <w:t>Expose structured issue context to UI and local LLM prompts.</w:t>
      </w:r>
    </w:p>
    <w:p>
      <w:pPr>
        <w:pStyle w:val="ListNumber"/>
      </w:pPr>
      <w:r>
        <w:t>Add telemetry and simulation tests.</w:t>
      </w:r>
    </w:p>
    <w:p>
      <w:pPr>
        <w:pStyle w:val="ListNumber"/>
      </w:pPr>
      <w:r>
        <w:t>Balance values using observed issue frequency and player load.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EconomyGame - Supplier &amp; Client Issue Pressure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782D1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593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C4C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782D1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88" w:righ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