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sz w:val="48"/>
          <w:szCs w:val="48"/>
        </w:rPr>
        <w:t xml:space="preserve">ArchMuse</w:t>
      </w:r>
    </w:p>
    <w:p>
      <w:pPr>
        <w:spacing w:after="300"/>
        <w:jc w:val="center"/>
      </w:pPr>
      <w:r>
        <w:rPr>
          <w:rFonts w:ascii="Georgia" w:cs="Georgia" w:eastAsia="Georgia" w:hAnsi="Georgia"/>
          <w:i/>
          <w:iCs/>
          <w:sz w:val="24"/>
          <w:szCs w:val="24"/>
        </w:rPr>
        <w:t xml:space="preserve">Contrato de licencia de uso y limitación de responsabilidad</w:t>
      </w:r>
    </w:p>
    <w:tbl>
      <w:tblPr>
        <w:tblW w:type="pct" w:w="100%"/>
        <w:tblBorders>
          <w:top w:val="single" w:color="B00020" w:sz="4"/>
          <w:left w:val="single" w:color="B00020" w:sz="4"/>
          <w:bottom w:val="single" w:color="B00020" w:sz="4"/>
          <w:right w:val="single" w:color="B00020" w:sz="4"/>
          <w:insideH w:val="single" w:color="auto" w:sz="4"/>
          <w:insideV w:val="single" w:color="auto" w:sz="4"/>
        </w:tblBorders>
      </w:tblPr>
      <w:tblGrid>
        <w:gridCol w:w="100"/>
      </w:tblGrid>
      <w:tr>
        <w:tc>
          <w:tcPr>
            <w:shd w:fill="FDECEA" w:val="clear"/>
            <w:tcMar>
              <w:top w:type="dxa" w:w="200"/>
              <w:left w:type="dxa" w:w="240"/>
              <w:bottom w:type="dxa" w:w="200"/>
              <w:right w:type="dxa" w:w="240"/>
            </w:tcMar>
          </w:tcPr>
          <w:p>
            <w:pPr>
              <w:spacing w:after="80"/>
            </w:pPr>
            <w:r>
              <w:rPr>
                <w:rFonts w:ascii="Georgia" w:cs="Georgia" w:eastAsia="Georgia" w:hAnsi="Georgia"/>
                <w:b/>
                <w:bCs/>
                <w:color w:val="B00020"/>
                <w:sz w:val="22"/>
                <w:szCs w:val="22"/>
              </w:rPr>
              <w:t xml:space="preserve">BORRADOR — pendiente de revisión legal</w:t>
            </w:r>
          </w:p>
          <w:p>
            <w:pPr>
              <w:spacing w:after="0"/>
            </w:pPr>
            <w:r>
              <w:rPr>
                <w:rFonts w:ascii="Georgia" w:cs="Georgia" w:eastAsia="Georgia" w:hAnsi="Georgia"/>
                <w:sz w:val="19"/>
                <w:szCs w:val="19"/>
              </w:rPr>
              <w:t xml:space="preserve">Esta plantilla ha sido redactada por un asistente de IA a partir de la documentación del propio proyecto, no por un abogado. No es asesoramiento legal y no debe usarse frente a clientes reales sin que un abogado especializado en software profesional y responsabilidad civil (España) la revise y adapte a la forma jurídica concreta bajo la que se venda ArchMuse. Presta especial atención a las secciones 4, 5 y 6: el sector (arquitectura, responsabilidad civil profesional) tiene un nivel de riesgo por encima de la media de una EULA de software genérico.</w:t>
            </w:r>
          </w:p>
        </w:tc>
      </w:tr>
    </w:tbl>
    <w:p>
      <w:pPr>
        <w:spacing w:before="400"/>
      </w:pPr>
    </w:p>
    <w:p>
      <w:pPr>
        <w:pStyle w:val="Heading1"/>
        <w:spacing w:after="160" w:before="320"/>
      </w:pPr>
      <w:r>
        <w:rPr>
          <w:rFonts w:ascii="Georgia" w:cs="Georgia" w:eastAsia="Georgia" w:hAnsi="Georgia"/>
          <w:b/>
          <w:bCs/>
        </w:rPr>
        <w:t xml:space="preserve">0. Partes y objeto</w:t>
      </w:r>
    </w:p>
    <w:p>
      <w:pPr>
        <w:spacing w:after="160" w:line="300"/>
      </w:pPr>
      <w:r>
        <w:rPr>
          <w:rFonts w:ascii="Georgia" w:cs="Georgia" w:eastAsia="Georgia" w:hAnsi="Georgia"/>
          <w:sz w:val="21"/>
          <w:szCs w:val="21"/>
        </w:rPr>
        <w:t xml:space="preserve">El presente contrato regula el uso del software ArchMuse ("el Software"), en su versión beta y en las versiones comerciales sucesivas, entre [NOMBRE / RAZÓN SOCIAL DEL LICENCIANTE], con NIF [·], como titular y proveedor del Software ("el Licenciante"), y la persona física o el estudio de arquitectura que lo instala o lo usa ("el Licenciatario"). El uso del Software implica la aceptación íntegra de este contrato.</w:t>
      </w:r>
    </w:p>
    <w:p>
      <w:pPr>
        <w:pStyle w:val="Heading1"/>
        <w:spacing w:after="160" w:before="320"/>
      </w:pPr>
      <w:r>
        <w:rPr>
          <w:rFonts w:ascii="Georgia" w:cs="Georgia" w:eastAsia="Georgia" w:hAnsi="Georgia"/>
          <w:b/>
          <w:bCs/>
        </w:rPr>
        <w:t xml:space="preserve">1. Definiciones</w:t>
      </w:r>
    </w:p>
    <w:p>
      <w:pPr>
        <w:pStyle w:val="ListParagraph"/>
        <w:numPr>
          <w:ilvl w:val="0"/>
          <w:numId w:val="2"/>
        </w:numPr>
        <w:spacing w:after="90" w:line="300"/>
      </w:pPr>
      <w:r>
        <w:rPr>
          <w:rFonts w:ascii="Georgia" w:cs="Georgia" w:eastAsia="Georgia" w:hAnsi="Georgia"/>
          <w:sz w:val="21"/>
          <w:szCs w:val="21"/>
        </w:rPr>
        <w:t xml:space="preserve">Software: la aplicación ArchMuse, en cualquiera de sus componentes (plugin de AutoCAD, motor de reglas, generación de informes), incluidas sus actualizaciones.</w:t>
      </w:r>
    </w:p>
    <w:p>
      <w:pPr>
        <w:pStyle w:val="ListParagraph"/>
        <w:numPr>
          <w:ilvl w:val="0"/>
          <w:numId w:val="2"/>
        </w:numPr>
        <w:spacing w:after="90" w:line="300"/>
      </w:pPr>
      <w:r>
        <w:rPr>
          <w:rFonts w:ascii="Georgia" w:cs="Georgia" w:eastAsia="Georgia" w:hAnsi="Georgia"/>
          <w:sz w:val="21"/>
          <w:szCs w:val="21"/>
        </w:rPr>
        <w:t xml:space="preserve">Entregable: cualquier archivo, informe, cuadro de superficies, acta de procedencia o documento que el Software produzca a partir de los archivos del Licenciatario.</w:t>
      </w:r>
    </w:p>
    <w:p>
      <w:pPr>
        <w:pStyle w:val="ListParagraph"/>
        <w:numPr>
          <w:ilvl w:val="0"/>
          <w:numId w:val="2"/>
        </w:numPr>
        <w:spacing w:after="90" w:line="300"/>
      </w:pPr>
      <w:r>
        <w:rPr>
          <w:rFonts w:ascii="Georgia" w:cs="Georgia" w:eastAsia="Georgia" w:hAnsi="Georgia"/>
          <w:sz w:val="21"/>
          <w:szCs w:val="21"/>
        </w:rPr>
        <w:t xml:space="preserve">Borrador: la condición, aplicable a todo Entregable sin excepción, de documento no definitivo, pendiente de revisión y validación por un arquitecto colegiado antes de cualquier uso profesional, administrativo o de visado.</w:t>
      </w:r>
    </w:p>
    <w:p>
      <w:pPr>
        <w:pStyle w:val="ListParagraph"/>
        <w:numPr>
          <w:ilvl w:val="0"/>
          <w:numId w:val="2"/>
        </w:numPr>
        <w:spacing w:after="90" w:line="300"/>
      </w:pPr>
      <w:r>
        <w:rPr>
          <w:rFonts w:ascii="Georgia" w:cs="Georgia" w:eastAsia="Georgia" w:hAnsi="Georgia"/>
          <w:sz w:val="21"/>
          <w:szCs w:val="21"/>
        </w:rPr>
        <w:t xml:space="preserve">Puesto: una instalación del Software vinculada a un único usuario y a un único equipo informático.</w:t>
      </w:r>
    </w:p>
    <w:p>
      <w:pPr>
        <w:pStyle w:val="Heading1"/>
        <w:spacing w:after="160" w:before="320"/>
      </w:pPr>
      <w:r>
        <w:rPr>
          <w:rFonts w:ascii="Georgia" w:cs="Georgia" w:eastAsia="Georgia" w:hAnsi="Georgia"/>
          <w:b/>
          <w:bCs/>
        </w:rPr>
        <w:t xml:space="preserve">2. Concesión de licencia</w:t>
      </w:r>
    </w:p>
    <w:p>
      <w:pPr>
        <w:spacing w:after="160" w:line="300"/>
      </w:pPr>
      <w:r>
        <w:rPr>
          <w:rFonts w:ascii="Georgia" w:cs="Georgia" w:eastAsia="Georgia" w:hAnsi="Georgia"/>
          <w:sz w:val="21"/>
          <w:szCs w:val="21"/>
        </w:rPr>
        <w:t xml:space="preserve">El Licenciante concede al Licenciatario una licencia de uso no exclusiva, no transferible e intransmisible a terceros, limitada al número de Puestos contratados, para el uso profesional del Software dentro de su actividad de arquitectura. Queda prohibida la cesión, sublicencia, alquiler, descompilación o ingeniería inversa del Software, así como su uso por terceros ajenos al Licenciatario sin autorización expresa y por escrito del Licenciante.</w:t>
      </w:r>
    </w:p>
    <w:p>
      <w:pPr>
        <w:pStyle w:val="Heading1"/>
        <w:spacing w:after="160" w:before="320"/>
      </w:pPr>
      <w:r>
        <w:rPr>
          <w:rFonts w:ascii="Georgia" w:cs="Georgia" w:eastAsia="Georgia" w:hAnsi="Georgia"/>
          <w:b/>
          <w:bCs/>
        </w:rPr>
        <w:t xml:space="preserve">3. Naturaleza del producto: advertencia esencial</w:t>
      </w:r>
    </w:p>
    <w:p>
      <w:pPr>
        <w:spacing w:after="160" w:line="300"/>
      </w:pPr>
      <w:r>
        <w:rPr>
          <w:rFonts w:ascii="Georgia" w:cs="Georgia" w:eastAsia="Georgia" w:hAnsi="Georgia"/>
          <w:sz w:val="21"/>
          <w:szCs w:val="21"/>
        </w:rPr>
        <w:t xml:space="preserve">El Licenciatario reconoce y acepta expresamente que:</w:t>
      </w:r>
    </w:p>
    <w:p>
      <w:pPr>
        <w:pStyle w:val="ListParagraph"/>
        <w:numPr>
          <w:ilvl w:val="0"/>
          <w:numId w:val="2"/>
        </w:numPr>
        <w:spacing w:after="90" w:line="300"/>
      </w:pPr>
      <w:r>
        <w:rPr>
          <w:rFonts w:ascii="Georgia" w:cs="Georgia" w:eastAsia="Georgia" w:hAnsi="Georgia"/>
          <w:sz w:val="21"/>
          <w:szCs w:val="21"/>
        </w:rPr>
        <w:t xml:space="preserve">El Software es una herramienta de apoyo técnico que asiste en tareas de medición, comprobación de coherencia documental y verificación normativa parcial. No sustituye, en ningún caso, el criterio, la formación ni la responsabilidad profesional del arquitecto.</w:t>
      </w:r>
    </w:p>
    <w:p>
      <w:pPr>
        <w:pStyle w:val="ListParagraph"/>
        <w:numPr>
          <w:ilvl w:val="0"/>
          <w:numId w:val="2"/>
        </w:numPr>
        <w:spacing w:after="90" w:line="300"/>
      </w:pPr>
      <w:r>
        <w:rPr>
          <w:rFonts w:ascii="Georgia" w:cs="Georgia" w:eastAsia="Georgia" w:hAnsi="Georgia"/>
          <w:sz w:val="21"/>
          <w:szCs w:val="21"/>
        </w:rPr>
        <w:t xml:space="preserve">Todo Entregable producido por el Software se marca y se entrega como Borrador para revisión por un arquitecto colegiado, sin excepción y sin posibilidad de desactivar esa condición.</w:t>
      </w:r>
    </w:p>
    <w:p>
      <w:pPr>
        <w:pStyle w:val="ListParagraph"/>
        <w:numPr>
          <w:ilvl w:val="0"/>
          <w:numId w:val="2"/>
        </w:numPr>
        <w:spacing w:after="90" w:line="300"/>
      </w:pPr>
      <w:r>
        <w:rPr>
          <w:rFonts w:ascii="Georgia" w:cs="Georgia" w:eastAsia="Georgia" w:hAnsi="Georgia"/>
          <w:sz w:val="21"/>
          <w:szCs w:val="21"/>
        </w:rPr>
        <w:t xml:space="preserve">La firma, el visado y la responsabilidad civil profesional de cualquier proyecto siguen siendo, en todo momento y sin excepción, del arquitecto colegiado que lo suscribe — nunca del Licenciante ni del Software.</w:t>
      </w:r>
    </w:p>
    <w:p>
      <w:pPr>
        <w:pStyle w:val="ListParagraph"/>
        <w:numPr>
          <w:ilvl w:val="0"/>
          <w:numId w:val="2"/>
        </w:numPr>
        <w:spacing w:after="90" w:line="300"/>
      </w:pPr>
      <w:r>
        <w:rPr>
          <w:rFonts w:ascii="Georgia" w:cs="Georgia" w:eastAsia="Georgia" w:hAnsi="Georgia"/>
          <w:sz w:val="21"/>
          <w:szCs w:val="21"/>
        </w:rPr>
        <w:t xml:space="preserve">Cuando el Software no pueda determinar un dato con la fiabilidad necesaria, lo señalará expresamente como pregunta abierta o dato no verificado, en lugar de ofrecer un valor no fundamentado; el Licenciatario se compromete a resolver esas cuestiones antes de dar por válido cualquier Entregable.</w:t>
      </w:r>
    </w:p>
    <w:p>
      <w:pPr>
        <w:pStyle w:val="Heading1"/>
        <w:spacing w:after="160" w:before="320"/>
      </w:pPr>
      <w:r>
        <w:rPr>
          <w:rFonts w:ascii="Georgia" w:cs="Georgia" w:eastAsia="Georgia" w:hAnsi="Georgia"/>
          <w:b/>
          <w:bCs/>
        </w:rPr>
        <w:t xml:space="preserve">4. Alcance y límites de la verificación normativa</w:t>
      </w:r>
    </w:p>
    <w:p>
      <w:pPr>
        <w:spacing w:after="160" w:line="300"/>
      </w:pPr>
      <w:r>
        <w:rPr>
          <w:rFonts w:ascii="Georgia" w:cs="Georgia" w:eastAsia="Georgia" w:hAnsi="Georgia"/>
          <w:sz w:val="21"/>
          <w:szCs w:val="21"/>
        </w:rPr>
        <w:t xml:space="preserve">El motor de verificación normativa de ArchMuse cubre, en cada momento, un conjunto parcial y expresamente documentado de comprobaciones (véase el estado de cobertura publicado por el Licenciante). El Licenciante:</w:t>
      </w:r>
    </w:p>
    <w:p>
      <w:pPr>
        <w:pStyle w:val="ListParagraph"/>
        <w:numPr>
          <w:ilvl w:val="0"/>
          <w:numId w:val="2"/>
        </w:numPr>
        <w:spacing w:after="90" w:line="300"/>
      </w:pPr>
      <w:r>
        <w:rPr>
          <w:rFonts w:ascii="Georgia" w:cs="Georgia" w:eastAsia="Georgia" w:hAnsi="Georgia"/>
          <w:sz w:val="21"/>
          <w:szCs w:val="21"/>
        </w:rPr>
        <w:t xml:space="preserve">No garantiza que un proyecto procesado por el Software cumpla con la totalidad del Código Técnico de la Edificación, la normativa autonómica de habitabilidad, la normativa urbanística municipal ni ninguna otra disposición aplicable.</w:t>
      </w:r>
    </w:p>
    <w:p>
      <w:pPr>
        <w:pStyle w:val="ListParagraph"/>
        <w:numPr>
          <w:ilvl w:val="0"/>
          <w:numId w:val="2"/>
        </w:numPr>
        <w:spacing w:after="90" w:line="300"/>
      </w:pPr>
      <w:r>
        <w:rPr>
          <w:rFonts w:ascii="Georgia" w:cs="Georgia" w:eastAsia="Georgia" w:hAnsi="Georgia"/>
          <w:sz w:val="21"/>
          <w:szCs w:val="21"/>
        </w:rPr>
        <w:t xml:space="preserve">No garantiza que el Software detecte todos los incumplimientos, errores geométricos o incoherencias presentes en un archivo, ni que las mediciones o cifras generadas sean idénticas a las que resultarían de una revisión manual íntegra.</w:t>
      </w:r>
    </w:p>
    <w:p>
      <w:pPr>
        <w:pStyle w:val="ListParagraph"/>
        <w:numPr>
          <w:ilvl w:val="0"/>
          <w:numId w:val="2"/>
        </w:numPr>
        <w:spacing w:after="90" w:line="300"/>
      </w:pPr>
      <w:r>
        <w:rPr>
          <w:rFonts w:ascii="Georgia" w:cs="Georgia" w:eastAsia="Georgia" w:hAnsi="Georgia"/>
          <w:sz w:val="21"/>
          <w:szCs w:val="21"/>
        </w:rPr>
        <w:t xml:space="preserve">Declara expresamente qué aspectos no verifica en cada informe o acta de procedencia entregados, información que el Licenciatario se obliga a leer y tener en cuenta antes de usar cualquier Entregable.</w:t>
      </w:r>
    </w:p>
    <w:p>
      <w:pPr>
        <w:pStyle w:val="Heading1"/>
        <w:spacing w:after="160" w:before="320"/>
      </w:pPr>
      <w:r>
        <w:rPr>
          <w:rFonts w:ascii="Georgia" w:cs="Georgia" w:eastAsia="Georgia" w:hAnsi="Georgia"/>
          <w:b/>
          <w:bCs/>
        </w:rPr>
        <w:t xml:space="preserve">5. Exclusión de garantías</w:t>
      </w:r>
    </w:p>
    <w:p>
      <w:pPr>
        <w:spacing w:after="160" w:line="300"/>
      </w:pPr>
      <w:r>
        <w:rPr>
          <w:rFonts w:ascii="Georgia" w:cs="Georgia" w:eastAsia="Georgia" w:hAnsi="Georgia"/>
          <w:sz w:val="21"/>
          <w:szCs w:val="21"/>
        </w:rPr>
        <w:t xml:space="preserve">El Software se proporciona "tal cual" (as is) y "según disponibilidad". Sin perjuicio de los derechos que la normativa de consumidores pudiera reconocer con carácter irrenunciable, el Licenciante no ofrece garantías de comerciabilidad, idoneidad para un fin concreto, ausencia de errores o interrupciones, ni de continuidad de ninguna funcionalidad concreta, especialmente durante la fase beta del producto.</w:t>
      </w:r>
    </w:p>
    <w:p>
      <w:pPr>
        <w:pStyle w:val="Heading1"/>
        <w:spacing w:after="160" w:before="320"/>
      </w:pPr>
      <w:r>
        <w:rPr>
          <w:rFonts w:ascii="Georgia" w:cs="Georgia" w:eastAsia="Georgia" w:hAnsi="Georgia"/>
          <w:b/>
          <w:bCs/>
        </w:rPr>
        <w:t xml:space="preserve">6. Limitación de responsabilidad</w:t>
      </w:r>
    </w:p>
    <w:p>
      <w:pPr>
        <w:spacing w:after="160" w:line="300"/>
      </w:pPr>
      <w:r>
        <w:rPr>
          <w:rFonts w:ascii="Georgia" w:cs="Georgia" w:eastAsia="Georgia" w:hAnsi="Georgia"/>
          <w:sz w:val="21"/>
          <w:szCs w:val="21"/>
        </w:rPr>
        <w:t xml:space="preserve">En la máxima medida permitida por la ley aplicable:</w:t>
      </w:r>
    </w:p>
    <w:p>
      <w:pPr>
        <w:pStyle w:val="ListParagraph"/>
        <w:numPr>
          <w:ilvl w:val="0"/>
          <w:numId w:val="2"/>
        </w:numPr>
        <w:spacing w:after="90" w:line="300"/>
      </w:pPr>
      <w:r>
        <w:rPr>
          <w:rFonts w:ascii="Georgia" w:cs="Georgia" w:eastAsia="Georgia" w:hAnsi="Georgia"/>
          <w:sz w:val="21"/>
          <w:szCs w:val="21"/>
        </w:rPr>
        <w:t xml:space="preserve">La responsabilidad total y acumulada del Licenciante frente al Licenciatario por cualquier reclamación derivada de este contrato o del uso del Software queda limitada al importe efectivamente abonado por el Licenciatario en los doce (12) meses anteriores al hecho que origine la reclamación.</w:t>
      </w:r>
    </w:p>
    <w:p>
      <w:pPr>
        <w:pStyle w:val="ListParagraph"/>
        <w:numPr>
          <w:ilvl w:val="0"/>
          <w:numId w:val="2"/>
        </w:numPr>
        <w:spacing w:after="90" w:line="300"/>
      </w:pPr>
      <w:r>
        <w:rPr>
          <w:rFonts w:ascii="Georgia" w:cs="Georgia" w:eastAsia="Georgia" w:hAnsi="Georgia"/>
          <w:sz w:val="21"/>
          <w:szCs w:val="21"/>
        </w:rPr>
        <w:t xml:space="preserve">El Licenciante no responderá, en ningún caso, de daños indirectos, lucro cesante, pérdida de oportunidad de negocio, sanciones administrativas, rechazo de visado, ni de responsabilidad civil profesional del arquitecto frente a terceros derivada de un proyecto en el que se haya usado el Software.</w:t>
      </w:r>
    </w:p>
    <w:p>
      <w:pPr>
        <w:pStyle w:val="ListParagraph"/>
        <w:numPr>
          <w:ilvl w:val="0"/>
          <w:numId w:val="2"/>
        </w:numPr>
        <w:spacing w:after="90" w:line="300"/>
      </w:pPr>
      <w:r>
        <w:rPr>
          <w:rFonts w:ascii="Georgia" w:cs="Georgia" w:eastAsia="Georgia" w:hAnsi="Georgia"/>
          <w:sz w:val="21"/>
          <w:szCs w:val="21"/>
        </w:rPr>
        <w:t xml:space="preserve">Esta limitación no aplica a daños causados por dolo o negligencia grave imputable directamente al Licenciante, ni en aquello que la ley española no permita limitar contractualmente.</w:t>
      </w:r>
    </w:p>
    <w:p>
      <w:pPr>
        <w:spacing w:after="160" w:line="300"/>
      </w:pPr>
      <w:r>
        <w:rPr>
          <w:rFonts w:ascii="Georgia" w:cs="Georgia" w:eastAsia="Georgia" w:hAnsi="Georgia"/>
          <w:sz w:val="21"/>
          <w:szCs w:val="21"/>
        </w:rPr>
        <w:t xml:space="preserve">El Licenciatario declara conocer que la contratación de un seguro de responsabilidad civil profesional adecuado a su actividad es responsabilidad exclusivamente suya y no queda sustituida, reducida ni condicionada por el uso del Software.</w:t>
      </w:r>
    </w:p>
    <w:p>
      <w:pPr>
        <w:pStyle w:val="Heading1"/>
        <w:spacing w:after="160" w:before="320"/>
      </w:pPr>
      <w:r>
        <w:rPr>
          <w:rFonts w:ascii="Georgia" w:cs="Georgia" w:eastAsia="Georgia" w:hAnsi="Georgia"/>
          <w:b/>
          <w:bCs/>
        </w:rPr>
        <w:t xml:space="preserve">7. Datos y confidencialidad</w:t>
      </w:r>
    </w:p>
    <w:p>
      <w:pPr>
        <w:spacing w:after="160" w:line="300"/>
      </w:pPr>
      <w:r>
        <w:rPr>
          <w:rFonts w:ascii="Georgia" w:cs="Georgia" w:eastAsia="Georgia" w:hAnsi="Georgia"/>
          <w:sz w:val="21"/>
          <w:szCs w:val="21"/>
        </w:rPr>
        <w:t xml:space="preserve">En su versión de plugin para AutoCAD, el Software procesa los archivos del Licenciatario de forma local en su propio equipo y no los transmite a servidores del Licenciante ni de terceros salvo que el Licenciatario active expresamente una función que así lo requiera (por ejemplo, el envío voluntario de un informe de incidencia). El Licenciante se compromete a no acceder, copiar ni conservar los planos, datos de proyecto o datos personales de clientes del Licenciatario contenidos en dichos archivos, salvo remisión voluntaria por parte del Licenciatario para soporte técnico, y únicamente durante el tiempo necesario para resolverla.</w:t>
      </w:r>
    </w:p>
    <w:p>
      <w:pPr>
        <w:pStyle w:val="Heading1"/>
        <w:spacing w:after="160" w:before="320"/>
      </w:pPr>
      <w:r>
        <w:rPr>
          <w:rFonts w:ascii="Georgia" w:cs="Georgia" w:eastAsia="Georgia" w:hAnsi="Georgia"/>
          <w:b/>
          <w:bCs/>
        </w:rPr>
        <w:t xml:space="preserve">8. Propiedad intelectual</w:t>
      </w:r>
    </w:p>
    <w:p>
      <w:pPr>
        <w:spacing w:after="160" w:line="300"/>
      </w:pPr>
      <w:r>
        <w:rPr>
          <w:rFonts w:ascii="Georgia" w:cs="Georgia" w:eastAsia="Georgia" w:hAnsi="Georgia"/>
          <w:sz w:val="21"/>
          <w:szCs w:val="21"/>
        </w:rPr>
        <w:t xml:space="preserve">El Software, su código, su motor de reglas y su documentación son propiedad exclusiva del Licenciante y están protegidos por la normativa de propiedad intelectual aplicable. Este contrato no transmite ningún derecho de propiedad intelectual sobre el Software. Los Entregables generados a partir de archivos del propio Licenciatario son propiedad del Licenciatario, sin perjuicio de la licencia de uso descrita en este documento.</w:t>
      </w:r>
    </w:p>
    <w:p>
      <w:pPr>
        <w:pStyle w:val="Heading1"/>
        <w:spacing w:after="160" w:before="320"/>
      </w:pPr>
      <w:r>
        <w:rPr>
          <w:rFonts w:ascii="Georgia" w:cs="Georgia" w:eastAsia="Georgia" w:hAnsi="Georgia"/>
          <w:b/>
          <w:bCs/>
        </w:rPr>
        <w:t xml:space="preserve">9. Vigencia, precio y cancelación</w:t>
      </w:r>
    </w:p>
    <w:p>
      <w:pPr>
        <w:spacing w:after="160" w:line="300"/>
      </w:pPr>
      <w:r>
        <w:rPr>
          <w:rFonts w:ascii="Georgia" w:cs="Georgia" w:eastAsia="Georgia" w:hAnsi="Georgia"/>
          <w:sz w:val="21"/>
          <w:szCs w:val="21"/>
        </w:rPr>
        <w:t xml:space="preserve">Las condiciones de precio, modalidad de pago (licencia de pago único o suscripción) y número de Puestos contratados se especifican en la propuesta comercial o factura correspondiente, que forma parte integrante de este contrato. El Licenciatario podrá cancelar una suscripción con el preaviso indicado en dicha propuesta comercial; el Licenciante podrá suspender el acceso en caso de impago o de incumplimiento grave de este contrato.</w:t>
      </w:r>
    </w:p>
    <w:p>
      <w:pPr>
        <w:pStyle w:val="Heading1"/>
        <w:spacing w:after="160" w:before="320"/>
      </w:pPr>
      <w:r>
        <w:rPr>
          <w:rFonts w:ascii="Georgia" w:cs="Georgia" w:eastAsia="Georgia" w:hAnsi="Georgia"/>
          <w:b/>
          <w:bCs/>
        </w:rPr>
        <w:t xml:space="preserve">10. Soporte y actualizaciones</w:t>
      </w:r>
    </w:p>
    <w:p>
      <w:pPr>
        <w:spacing w:after="160" w:line="300"/>
      </w:pPr>
      <w:r>
        <w:rPr>
          <w:rFonts w:ascii="Georgia" w:cs="Georgia" w:eastAsia="Georgia" w:hAnsi="Georgia"/>
          <w:sz w:val="21"/>
          <w:szCs w:val="21"/>
        </w:rPr>
        <w:t xml:space="preserve">Durante la fase beta, el soporte se presta de forma directa y en los canales indicados por el Licenciante (por ejemplo, mensajería instantánea), sin compromiso de tiempo de respuesta. El Licenciante podrá publicar actualizaciones del Software; algunas podrán requerir el reinicio del programa CAD del Licenciatario para aplicarse.</w:t>
      </w:r>
    </w:p>
    <w:p>
      <w:pPr>
        <w:pStyle w:val="Heading1"/>
        <w:spacing w:after="160" w:before="320"/>
      </w:pPr>
      <w:r>
        <w:rPr>
          <w:rFonts w:ascii="Georgia" w:cs="Georgia" w:eastAsia="Georgia" w:hAnsi="Georgia"/>
          <w:b/>
          <w:bCs/>
        </w:rPr>
        <w:t xml:space="preserve">11. Ley aplicable y jurisdicción</w:t>
      </w:r>
    </w:p>
    <w:p>
      <w:pPr>
        <w:spacing w:after="160" w:line="300"/>
      </w:pPr>
      <w:r>
        <w:rPr>
          <w:rFonts w:ascii="Georgia" w:cs="Georgia" w:eastAsia="Georgia" w:hAnsi="Georgia"/>
          <w:sz w:val="21"/>
          <w:szCs w:val="21"/>
        </w:rPr>
        <w:t xml:space="preserve">Este contrato se rige por la legislación española. Para cualquier controversia derivada de su interpretación o cumplimiento, ambas partes se someten a los Juzgados y Tribunales de [CIUDAD], con renuncia expresa a cualquier otro fuero que pudiera corresponderles, salvo que la normativa de consumidores imponga un fuero distinto de forma imperativa.</w:t>
      </w:r>
    </w:p>
    <w:p>
      <w:pPr>
        <w:pStyle w:val="Heading1"/>
        <w:spacing w:after="160" w:before="320"/>
      </w:pPr>
      <w:r>
        <w:rPr>
          <w:rFonts w:ascii="Georgia" w:cs="Georgia" w:eastAsia="Georgia" w:hAnsi="Georgia"/>
          <w:b/>
          <w:bCs/>
        </w:rPr>
        <w:t xml:space="preserve">12. Modificaciones</w:t>
      </w:r>
    </w:p>
    <w:p>
      <w:pPr>
        <w:spacing w:after="160" w:line="300"/>
      </w:pPr>
      <w:r>
        <w:rPr>
          <w:rFonts w:ascii="Georgia" w:cs="Georgia" w:eastAsia="Georgia" w:hAnsi="Georgia"/>
          <w:sz w:val="21"/>
          <w:szCs w:val="21"/>
        </w:rPr>
        <w:t xml:space="preserve">El Licenciante podrá modificar este contrato para adaptarlo a cambios normativos o a nuevas funcionalidades del Software, notificándolo al Licenciatario con antelación razonable antes de su entrada en vigor.</w:t>
      </w:r>
    </w:p>
    <w:p>
      <w:pPr>
        <w:spacing w:after="100" w:before="400"/>
      </w:pPr>
      <w:r>
        <w:rPr>
          <w:rFonts w:ascii="Georgia" w:cs="Georgia" w:eastAsia="Georgia" w:hAnsi="Georgia"/>
          <w:b/>
          <w:bCs/>
          <w:sz w:val="19"/>
          <w:szCs w:val="19"/>
        </w:rPr>
        <w:t xml:space="preserve">Fecha de la versión de esta plantilla: </w:t>
      </w:r>
      <w:r>
        <w:rPr>
          <w:rFonts w:ascii="Georgia" w:cs="Georgia" w:eastAsia="Georgia" w:hAnsi="Georgia"/>
          <w:sz w:val="19"/>
          <w:szCs w:val="19"/>
        </w:rPr>
        <w:t xml:space="preserve">[COMPLETAR]</w:t>
      </w:r>
    </w:p>
    <w:p>
      <w:r>
        <w:rPr>
          <w:rFonts w:ascii="Georgia" w:cs="Georgia" w:eastAsia="Georgia" w:hAnsi="Georgia"/>
          <w:b/>
          <w:bCs/>
          <w:sz w:val="19"/>
          <w:szCs w:val="19"/>
        </w:rPr>
        <w:t xml:space="preserve">Versión del Software a la que aplica: </w:t>
      </w:r>
      <w:r>
        <w:rPr>
          <w:rFonts w:ascii="Georgia" w:cs="Georgia" w:eastAsia="Georgia" w:hAnsi="Georgia"/>
          <w:sz w:val="19"/>
          <w:szCs w:val="19"/>
        </w:rPr>
        <w:t xml:space="preserve">[COMPLETAR]</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2026-09-13T13:40:42.018Z</dcterms:created>
  <dcterms:modified xsi:type="dcterms:W3CDTF">2026-09-13T13:40:42.032Z</dcterms:modified>
</cp:coreProperties>
</file>

<file path=docProps/custom.xml><?xml version="1.0" encoding="utf-8"?>
<Properties xmlns="http://schemas.openxmlformats.org/officeDocument/2006/custom-properties" xmlns:vt="http://schemas.openxmlformats.org/officeDocument/2006/docPropsVTypes"/>
</file>