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80" w:line="274" w:lineRule="auto"/>
      </w:pPr>
      <w:r>
        <w:drawing>
          <wp:inline xmlns:a="http://schemas.openxmlformats.org/drawingml/2006/main" xmlns:pic="http://schemas.openxmlformats.org/drawingml/2006/picture">
            <wp:extent cx="5989320" cy="1497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horizontal-3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9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4" w:lineRule="auto"/>
        <w:jc w:val="right"/>
      </w:pPr>
      <w:r>
        <w:rPr>
          <w:rFonts w:ascii="DejaVu Sans" w:hAnsi="DejaVu Sans"/>
          <w:b/>
          <w:color w:val="00D39A"/>
          <w:sz w:val="156"/>
        </w:rPr>
        <w:t>08</w:t>
      </w:r>
    </w:p>
    <w:p>
      <w:pPr>
        <w:pStyle w:val="Title"/>
        <w:keepNext w:val="0"/>
        <w:spacing w:before="0" w:after="280" w:line="230" w:lineRule="auto"/>
      </w:pPr>
      <w:r>
        <w:t>Plan de resiliencia humana y protección frente al fraude digital</w:t>
      </w:r>
    </w:p>
    <w:p>
      <w:pPr>
        <w:keepNext w:val="0"/>
        <w:spacing w:before="0" w:after="480" w:line="274" w:lineRule="auto"/>
      </w:pPr>
      <w:r>
        <w:rPr>
          <w:rFonts w:ascii="Liberation Sans" w:hAnsi="Liberation Sans"/>
          <w:b w:val="0"/>
          <w:color w:val="7890A5"/>
          <w:sz w:val="32"/>
        </w:rPr>
        <w:t>Propuesta de intervención para Bettergy</w:t>
      </w:r>
    </w:p>
    <w:p>
      <w:pPr>
        <w:keepNext w:val="0"/>
        <w:spacing w:before="0" w:after="400" w:line="274" w:lineRule="auto"/>
      </w:pPr>
      <w:r>
        <w:rPr>
          <w:rFonts w:ascii="Liberation Sans" w:hAnsi="Liberation Sans"/>
          <w:b w:val="0"/>
          <w:color w:val="041C34"/>
          <w:sz w:val="24"/>
        </w:rPr>
        <w:t>Un plan coordinado entre IT y RRHH para convertir un incidente en capacidad organizacional: personas preparadas, canales claros, controles revisados y evidencia de mejora.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07B5D"/>
          <w:sz w:val="18"/>
        </w:rPr>
        <w:t>Documento de alcance inicial  /  Septiembre 2026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01  PUNTO DE PARTIDA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La resiliencia se construye antes del siguiente incidente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Resolver técnicamente un incidente contiene el efecto inmediato. Convertirlo en aprendizaje reduce la probabilidad y el impacto de la próxima amenaza.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1"/>
        </w:rPr>
        <w:t>Los ataques actuales aprovechan cuentas legítimas, marcas conocidas, urgencia y entornos cotidianos como Microsoft 365, SharePoint y OneDrive. Por eso una organización no puede depender únicamente de filtros o herramientas: necesita que las personas sepan reconocer señales débiles, detener una acción y reportarla con rapidez.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La octava capa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1"/>
        </w:rPr>
        <w:t>Facthor8 trabaja en el punto donde los controles tecnológicos se encuentran con una decisión humana. Nuestro objetivo no es culpabilizar ni generar miedo. Es desarrollar resiliencia: la capacidad de anticipar, responder, recuperarse y aprender sin bloquear la operación.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/>
          <w:color w:val="041C34"/>
          <w:sz w:val="20"/>
        </w:rPr>
        <w:t>Claridad</w:t>
      </w:r>
      <w:r>
        <w:rPr>
          <w:rFonts w:ascii="Liberation Sans" w:hAnsi="Liberation Sans"/>
          <w:b w:val="0"/>
          <w:color w:val="041C34"/>
          <w:sz w:val="20"/>
        </w:rPr>
        <w:t xml:space="preserve"> para decidir ante mensajes y solicitudes ambiguas.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/>
          <w:color w:val="041C34"/>
          <w:sz w:val="20"/>
        </w:rPr>
        <w:t>Práctica</w:t>
      </w:r>
      <w:r>
        <w:rPr>
          <w:rFonts w:ascii="Liberation Sans" w:hAnsi="Liberation Sans"/>
          <w:b w:val="0"/>
          <w:color w:val="041C34"/>
          <w:sz w:val="20"/>
        </w:rPr>
        <w:t xml:space="preserve"> repetida en escenarios relevantes para el negocio.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/>
          <w:color w:val="041C34"/>
          <w:sz w:val="20"/>
        </w:rPr>
        <w:t>Un canal</w:t>
      </w:r>
      <w:r>
        <w:rPr>
          <w:rFonts w:ascii="Liberation Sans" w:hAnsi="Liberation Sans"/>
          <w:b w:val="0"/>
          <w:color w:val="041C34"/>
          <w:sz w:val="20"/>
        </w:rPr>
        <w:t xml:space="preserve"> inmediato y una respuesta conocida por toda la compañía.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/>
          <w:color w:val="041C34"/>
          <w:sz w:val="20"/>
        </w:rPr>
        <w:t>Medición</w:t>
      </w:r>
      <w:r>
        <w:rPr>
          <w:rFonts w:ascii="Liberation Sans" w:hAnsi="Liberation Sans"/>
          <w:b w:val="0"/>
          <w:color w:val="041C34"/>
          <w:sz w:val="20"/>
        </w:rPr>
        <w:t xml:space="preserve"> para demostrar evolución y priorizar refuerzos.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02  RESPUESTA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Cada necesidad se traduce en una medida verificable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La propuesta cubre formación, simulación, respuesta y revisión preventiva dentro de un único plan coordinado.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752"/>
        <w:gridCol w:w="2952"/>
      </w:tblGrid>
      <w:tr>
        <w:trPr>
          <w:tblHeader w:val="true"/>
        </w:trPr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Necesidad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Respuesta Facthor8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Formación obligatoria</w:t>
            </w:r>
          </w:p>
        </w:tc>
        <w:tc>
          <w:tcPr>
            <w:tcW w:type="dxa" w:w="47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Sesión breve para toda la compañía y microcontenidos posteriores</w:t>
            </w:r>
          </w:p>
        </w:tc>
        <w:tc>
          <w:tcPr>
            <w:tcW w:type="dxa" w:w="29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Asistencia, comprensión y evaluación posterior</w:t>
            </w:r>
          </w:p>
        </w:tc>
      </w:tr>
      <w:tr>
        <w:tc>
          <w:tcPr>
            <w:tcW w:type="dxa" w:w="223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Phishing y suplantación</w:t>
            </w:r>
          </w:p>
        </w:tc>
        <w:tc>
          <w:tcPr>
            <w:tcW w:type="dxa" w:w="475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Escenarios realistas con cuentas, proveedores y solicitudes creíbles</w:t>
            </w:r>
          </w:p>
        </w:tc>
        <w:tc>
          <w:tcPr>
            <w:tcW w:type="dxa" w:w="295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Tasa de interacción, reporte y tiempo de reacción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Credenciales y MFA</w:t>
            </w:r>
          </w:p>
        </w:tc>
        <w:tc>
          <w:tcPr>
            <w:tcW w:type="dxa" w:w="47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Práctica sobre robo de acceso, fatiga MFA y verificación de solicitudes</w:t>
            </w:r>
          </w:p>
        </w:tc>
        <w:tc>
          <w:tcPr>
            <w:tcW w:type="dxa" w:w="29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Decisiones correctas por escenario</w:t>
            </w:r>
          </w:p>
        </w:tc>
      </w:tr>
      <w:tr>
        <w:tc>
          <w:tcPr>
            <w:tcW w:type="dxa" w:w="223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SharePoint y OneDrive</w:t>
            </w:r>
          </w:p>
        </w:tc>
        <w:tc>
          <w:tcPr>
            <w:tcW w:type="dxa" w:w="475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Validación de enlaces, permisos, dominios, remitentes y contexto</w:t>
            </w:r>
          </w:p>
        </w:tc>
        <w:tc>
          <w:tcPr>
            <w:tcW w:type="dxa" w:w="295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Reconocimiento de señales y escalado</w:t>
            </w:r>
          </w:p>
        </w:tc>
      </w:tr>
      <w:tr>
        <w:tc>
          <w:tcPr>
            <w:tcW w:type="dxa" w:w="223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Gestión de incidentes</w:t>
            </w:r>
          </w:p>
        </w:tc>
        <w:tc>
          <w:tcPr>
            <w:tcW w:type="dxa" w:w="47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Protocolo breve y canal único de reporte</w:t>
            </w:r>
          </w:p>
        </w:tc>
        <w:tc>
          <w:tcPr>
            <w:tcW w:type="dxa" w:w="29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Tiempo hasta el primer reporte y calidad del dato</w:t>
            </w:r>
          </w:p>
        </w:tc>
      </w:tr>
      <w:tr>
        <w:tc>
          <w:tcPr>
            <w:tcW w:type="dxa" w:w="223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Microsoft 365 y Defender</w:t>
            </w:r>
          </w:p>
        </w:tc>
        <w:tc>
          <w:tcPr>
            <w:tcW w:type="dxa" w:w="475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Revisión de configuración, brechas y controles adicionales</w:t>
            </w:r>
          </w:p>
        </w:tc>
        <w:tc>
          <w:tcPr>
            <w:tcW w:type="dxa" w:w="295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Hallazgos priorizados y plan de remediación</w:t>
            </w:r>
          </w:p>
        </w:tc>
      </w:tr>
    </w:tbl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03  GOBERNANZA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IT y RRHH lideran una intervención común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La seguridad aporta criterio técnico; RRHH facilita alcance, comunicación y adopción; dirección legitima la prioridad.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528"/>
      </w:tblGrid>
      <w:tr>
        <w:trPr>
          <w:tblHeader w:val="true"/>
        </w:trPr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Rol principal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Decisiones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Dirección</w:t>
            </w:r>
          </w:p>
        </w:tc>
        <w:tc>
          <w:tcPr>
            <w:tcW w:type="dxa" w:w="432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Patrocinio y prioridad organizacional</w:t>
            </w:r>
          </w:p>
        </w:tc>
        <w:tc>
          <w:tcPr>
            <w:tcW w:type="dxa" w:w="35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Objetivos, obligatoriedad y tolerancia al riesgo</w:t>
            </w:r>
          </w:p>
        </w:tc>
      </w:tr>
      <w:tr>
        <w:tc>
          <w:tcPr>
            <w:tcW w:type="dxa" w:w="208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IT y Seguridad</w:t>
            </w:r>
          </w:p>
        </w:tc>
        <w:tc>
          <w:tcPr>
            <w:tcW w:type="dxa" w:w="432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Controles, incidentes, escenarios y respuesta</w:t>
            </w:r>
          </w:p>
        </w:tc>
        <w:tc>
          <w:tcPr>
            <w:tcW w:type="dxa" w:w="352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Canal, protocolo, configuración y remediación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RRHH y Comunicación</w:t>
            </w:r>
          </w:p>
        </w:tc>
        <w:tc>
          <w:tcPr>
            <w:tcW w:type="dxa" w:w="432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Convocatoria, segmentación y refuerzo</w:t>
            </w:r>
          </w:p>
        </w:tc>
        <w:tc>
          <w:tcPr>
            <w:tcW w:type="dxa" w:w="35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Calendario, mensajes y acompañamiento</w:t>
            </w:r>
          </w:p>
        </w:tc>
      </w:tr>
      <w:tr>
        <w:tc>
          <w:tcPr>
            <w:tcW w:type="dxa" w:w="208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Facthor8</w:t>
            </w:r>
          </w:p>
        </w:tc>
        <w:tc>
          <w:tcPr>
            <w:tcW w:type="dxa" w:w="432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Diagnóstico, diseño, facilitación y medición</w:t>
            </w:r>
          </w:p>
        </w:tc>
        <w:tc>
          <w:tcPr>
            <w:tcW w:type="dxa" w:w="352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Metodología, simulaciones, evidencia y roadmap</w:t>
            </w:r>
          </w:p>
        </w:tc>
      </w:tr>
      <w:tr>
        <w:tc>
          <w:tcPr>
            <w:tcW w:type="dxa" w:w="208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Colaboradores</w:t>
            </w:r>
          </w:p>
        </w:tc>
        <w:tc>
          <w:tcPr>
            <w:tcW w:type="dxa" w:w="432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Participación, decisión y reporte</w:t>
            </w:r>
          </w:p>
        </w:tc>
        <w:tc>
          <w:tcPr>
            <w:tcW w:type="dxa" w:w="35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Aplicación cotidiana del protocolo</w:t>
            </w:r>
          </w:p>
        </w:tc>
      </w:tr>
    </w:tbl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Principios operativos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Aprender sin exponer ni señalar individualmente a los participantes.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Utilizar datos agregados para mejorar controles y formación.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Separar claramente las simulaciones de cualquier acción que pueda afectar sistemas reales.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Acordar previamente alcance, privacidad, responsables y reglas de escalado.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04  FORMACIÓN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Una formación breve que prepara para actuar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La sesión inicial está diseñada para toda la plantilla, con lenguaje claro, ejemplos del entorno real y una duración compatible con la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6768"/>
        <w:gridCol w:w="1440"/>
      </w:tblGrid>
      <w:tr>
        <w:trPr>
          <w:tblHeader w:val="true"/>
        </w:trPr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Contenido práctico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17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Contexto</w:t>
            </w:r>
          </w:p>
        </w:tc>
        <w:tc>
          <w:tcPr>
            <w:tcW w:type="dxa" w:w="67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Cómo operan los ataques con cuentas legítimas y marcas conocidas</w:t>
            </w:r>
          </w:p>
        </w:tc>
        <w:tc>
          <w:tcPr>
            <w:tcW w:type="dxa" w:w="144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5 min</w:t>
            </w:r>
          </w:p>
        </w:tc>
      </w:tr>
      <w:tr>
        <w:tc>
          <w:tcPr>
            <w:tcW w:type="dxa" w:w="172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Phishing</w:t>
            </w:r>
          </w:p>
        </w:tc>
        <w:tc>
          <w:tcPr>
            <w:tcW w:type="dxa" w:w="676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Señales, suplantación, urgencia y solicitudes fuera de patrón</w:t>
            </w:r>
          </w:p>
        </w:tc>
        <w:tc>
          <w:tcPr>
            <w:tcW w:type="dxa" w:w="144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10 min</w:t>
            </w:r>
          </w:p>
        </w:tc>
      </w:tr>
      <w:tr>
        <w:tc>
          <w:tcPr>
            <w:tcW w:type="dxa" w:w="17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Accesos</w:t>
            </w:r>
          </w:p>
        </w:tc>
        <w:tc>
          <w:tcPr>
            <w:tcW w:type="dxa" w:w="67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Robo de credenciales, MFA, fatiga MFA y verificación</w:t>
            </w:r>
          </w:p>
        </w:tc>
        <w:tc>
          <w:tcPr>
            <w:tcW w:type="dxa" w:w="144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10 min</w:t>
            </w:r>
          </w:p>
        </w:tc>
      </w:tr>
      <w:tr>
        <w:tc>
          <w:tcPr>
            <w:tcW w:type="dxa" w:w="172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Nube</w:t>
            </w:r>
          </w:p>
        </w:tc>
        <w:tc>
          <w:tcPr>
            <w:tcW w:type="dxa" w:w="676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Enlaces y permisos en SharePoint y OneDrive</w:t>
            </w:r>
          </w:p>
        </w:tc>
        <w:tc>
          <w:tcPr>
            <w:tcW w:type="dxa" w:w="144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8 min</w:t>
            </w:r>
          </w:p>
        </w:tc>
      </w:tr>
      <w:tr>
        <w:tc>
          <w:tcPr>
            <w:tcW w:type="dxa" w:w="17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Respuesta</w:t>
            </w:r>
          </w:p>
        </w:tc>
        <w:tc>
          <w:tcPr>
            <w:tcW w:type="dxa" w:w="67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Detener, preservar, reportar y no propagar</w:t>
            </w:r>
          </w:p>
        </w:tc>
        <w:tc>
          <w:tcPr>
            <w:tcW w:type="dxa" w:w="144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10 min</w:t>
            </w:r>
          </w:p>
        </w:tc>
      </w:tr>
      <w:tr>
        <w:tc>
          <w:tcPr>
            <w:tcW w:type="dxa" w:w="172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Validación</w:t>
            </w:r>
          </w:p>
        </w:tc>
        <w:tc>
          <w:tcPr>
            <w:tcW w:type="dxa" w:w="6768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Desafío final y compromiso de conducta</w:t>
            </w:r>
          </w:p>
        </w:tc>
        <w:tc>
          <w:tcPr>
            <w:tcW w:type="dxa" w:w="144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7 min</w:t>
            </w:r>
          </w:p>
        </w:tc>
      </w:tr>
    </w:tbl>
    <w:p>
      <w:pPr>
        <w:keepNext w:val="0"/>
        <w:spacing w:before="0" w:after="0" w:line="274" w:lineRule="auto"/>
      </w:pPr>
      <w:r>
        <w:rPr>
          <w:rFonts w:ascii="Liberation Sans" w:hAnsi="Liberation Sans"/>
          <w:b w:val="0"/>
          <w:color w:val="041C34"/>
          <w:sz w:val="21"/>
        </w:rPr>
        <w:t>La formación se complementa con refuerzos breves por rol y por patrón detectado. El objetivo no es memorizar una lista, sino mejorar la calidad de la decisión bajo presión.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05  SIMULACIONES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Practicar antes de enfrentar una amenaza real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Las simulaciones periódicas permiten observar conductas, reforzar el protocolo y medir si la respuesta mejora con el tiempo.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Escenarios propuestos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Correo de proveedor o dirección con solicitud urgente.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Enlace de SharePoint o OneDrive enviado desde una cuenta comprometida.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Página de acceso falsa y solicitud de credenciales.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Notificación o aprobación MFA inesperada.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Suplantación por mensaje, llamada o combinación de canales.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Cadencia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1"/>
        </w:rPr>
        <w:t>Proponemos una simulación de línea base, ejercicios periódicos con dificultad progresiva y refuerzo inmediato. Las personas que reportan correctamente reciben confirmación; quienes interactúan con el escenario reciben aprendizaje contextual, breve y sin culpabilización.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Qué medimos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1"/>
        </w:rPr>
        <w:t>Interacción, entrega de datos, reporte, tiempo de reporte, calidad de la información aportada y evolución por grupos de riesgo. Los resultados se presentan de forma agregada.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06  RESPUESTA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Un protocolo simple y un único canal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Ante un correo sospechoso, la velocidad depende menos de un documento extenso que de una secuencia conocida por todos.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04"/>
        <w:gridCol w:w="2232"/>
      </w:tblGrid>
      <w:tr>
        <w:trPr>
          <w:tblHeader w:val="true"/>
        </w:trPr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Conducta esperada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1  Detener</w:t>
            </w:r>
          </w:p>
        </w:tc>
        <w:tc>
          <w:tcPr>
            <w:tcW w:type="dxa" w:w="590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No hacer clic, responder, reenviar ni aprobar MFA</w:t>
            </w:r>
          </w:p>
        </w:tc>
        <w:tc>
          <w:tcPr>
            <w:tcW w:type="dxa" w:w="223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Colaborador</w:t>
            </w:r>
          </w:p>
        </w:tc>
      </w:tr>
      <w:tr>
        <w:tc>
          <w:tcPr>
            <w:tcW w:type="dxa" w:w="180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2  Preservar</w:t>
            </w:r>
          </w:p>
        </w:tc>
        <w:tc>
          <w:tcPr>
            <w:tcW w:type="dxa" w:w="5904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Mantener el mensaje y registrar contexto sin manipular evidencias</w:t>
            </w:r>
          </w:p>
        </w:tc>
        <w:tc>
          <w:tcPr>
            <w:tcW w:type="dxa" w:w="223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Colaborador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3  Reportar</w:t>
            </w:r>
          </w:p>
        </w:tc>
        <w:tc>
          <w:tcPr>
            <w:tcW w:type="dxa" w:w="590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Usar el botón o canal único definido por la compañía</w:t>
            </w:r>
          </w:p>
        </w:tc>
        <w:tc>
          <w:tcPr>
            <w:tcW w:type="dxa" w:w="223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Colaborador</w:t>
            </w:r>
          </w:p>
        </w:tc>
      </w:tr>
      <w:tr>
        <w:tc>
          <w:tcPr>
            <w:tcW w:type="dxa" w:w="180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4  Clasificar</w:t>
            </w:r>
          </w:p>
        </w:tc>
        <w:tc>
          <w:tcPr>
            <w:tcW w:type="dxa" w:w="5904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Confirmar recepción, priorizar y abrir el flujo de respuesta</w:t>
            </w:r>
          </w:p>
        </w:tc>
        <w:tc>
          <w:tcPr>
            <w:tcW w:type="dxa" w:w="223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IT y Seguridad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5  Contener</w:t>
            </w:r>
          </w:p>
        </w:tc>
        <w:tc>
          <w:tcPr>
            <w:tcW w:type="dxa" w:w="590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Aplicar acciones técnicas y avisar a las áreas necesarias</w:t>
            </w:r>
          </w:p>
        </w:tc>
        <w:tc>
          <w:tcPr>
            <w:tcW w:type="dxa" w:w="223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IT y Seguridad</w:t>
            </w:r>
          </w:p>
        </w:tc>
      </w:tr>
      <w:tr>
        <w:tc>
          <w:tcPr>
            <w:tcW w:type="dxa" w:w="180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6  Aprender</w:t>
            </w:r>
          </w:p>
        </w:tc>
        <w:tc>
          <w:tcPr>
            <w:tcW w:type="dxa" w:w="5904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Comunicar hallazgos y ajustar controles o formación</w:t>
            </w:r>
          </w:p>
        </w:tc>
        <w:tc>
          <w:tcPr>
            <w:tcW w:type="dxa" w:w="2232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IT, RRHH y Facthor8</w:t>
            </w:r>
          </w:p>
        </w:tc>
      </w:tr>
    </w:tbl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0"/>
        </w:rPr>
        <w:t>El canal puede implementarse mediante el botón de reporte de Microsoft, una dirección monitorizada o la herramienta interna acordada. La decisión final depende del entorno y del flujo operativo de Bettergy.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07  CONTROLES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Revisión preventiva de Microsoft 365 y Defender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La capa humana mejora cuando el entorno técnico facilita la decisión correcta y reduce la exposición innecesaria.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Ámbitos de revisión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Protección contra phishing, suplantación, URLs y adjuntos.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Configuración y cobertura de MFA, acceso condicional y cuentas privilegiadas.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Compartición externa, permisos y alertas en SharePoint y OneDrive.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Mecanismo de reporte, buzones monitorizados y trazabilidad del incidente.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Políticas de Defender, registros, alertas y controles disponibles según licencias.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Entregable técnico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1"/>
        </w:rPr>
        <w:t>La revisión produce un inventario de hallazgos, riesgo, prioridad, responsable recomendado y esfuerzo estimado. La activación de cambios será realizada por el equipo autorizado de Bettergy o incluida mediante un alcance técnico expresamente acordado; el dosier no presupone acceso administrativo ni cambios automáticos.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08  CALENDARIO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Primeras medidas rápidas y seis meses de consolidación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El plan produce mejoras visibles durante el primer mes y mantiene la práctica el tiempo suficiente para medir cambio de comportamiento.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976"/>
        <w:gridCol w:w="2160"/>
      </w:tblGrid>
      <w:tr>
        <w:trPr>
          <w:tblHeader w:val="true"/>
        </w:trPr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Acciones</w:t>
            </w:r>
          </w:p>
        </w:tc>
        <w:tc>
          <w:tcPr>
            <w:tcW w:type="dxa" w:w="3331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Semanas 1 y 2</w:t>
            </w:r>
          </w:p>
        </w:tc>
        <w:tc>
          <w:tcPr>
            <w:tcW w:type="dxa" w:w="597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Kickoff IT y RRHH, línea base, protocolo, canal y revisión inicial de M365</w:t>
            </w:r>
          </w:p>
        </w:tc>
        <w:tc>
          <w:tcPr>
            <w:tcW w:type="dxa" w:w="216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Riesgos priorizados y respuesta definida</w:t>
            </w:r>
          </w:p>
        </w:tc>
      </w:tr>
      <w:tr>
        <w:tc>
          <w:tcPr>
            <w:tcW w:type="dxa" w:w="180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Semanas 3 y 4</w:t>
            </w:r>
          </w:p>
        </w:tc>
        <w:tc>
          <w:tcPr>
            <w:tcW w:type="dxa" w:w="5976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Formación obligatoria, comunicación y primera simulación</w:t>
            </w:r>
          </w:p>
        </w:tc>
        <w:tc>
          <w:tcPr>
            <w:tcW w:type="dxa" w:w="216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Toda la plantilla activada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Mes 2</w:t>
            </w:r>
          </w:p>
        </w:tc>
        <w:tc>
          <w:tcPr>
            <w:tcW w:type="dxa" w:w="597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Refuerzo segmentado y ajustes técnicos prioritarios</w:t>
            </w:r>
          </w:p>
        </w:tc>
        <w:tc>
          <w:tcPr>
            <w:tcW w:type="dxa" w:w="216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Brechas inmediatas reducidas</w:t>
            </w:r>
          </w:p>
        </w:tc>
      </w:tr>
      <w:tr>
        <w:tc>
          <w:tcPr>
            <w:tcW w:type="dxa" w:w="180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Mes 3</w:t>
            </w:r>
          </w:p>
        </w:tc>
        <w:tc>
          <w:tcPr>
            <w:tcW w:type="dxa" w:w="5976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Segunda simulación y revisión de respuesta</w:t>
            </w:r>
          </w:p>
        </w:tc>
        <w:tc>
          <w:tcPr>
            <w:tcW w:type="dxa" w:w="216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Evolución comparativa</w:t>
            </w:r>
          </w:p>
        </w:tc>
      </w:tr>
      <w:tr>
        <w:tc>
          <w:tcPr>
            <w:tcW w:type="dxa" w:w="180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Meses 4 y 5</w:t>
            </w:r>
          </w:p>
        </w:tc>
        <w:tc>
          <w:tcPr>
            <w:tcW w:type="dxa" w:w="597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Escenarios progresivos, microaprendizaje y ejercicio de incidentes</w:t>
            </w:r>
          </w:p>
        </w:tc>
        <w:tc>
          <w:tcPr>
            <w:tcW w:type="dxa" w:w="216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Resiliencia sostenida</w:t>
            </w:r>
          </w:p>
        </w:tc>
      </w:tr>
      <w:tr>
        <w:tc>
          <w:tcPr>
            <w:tcW w:type="dxa" w:w="180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7"/>
              </w:rPr>
              <w:t>Mes 6</w:t>
            </w:r>
          </w:p>
        </w:tc>
        <w:tc>
          <w:tcPr>
            <w:tcW w:type="dxa" w:w="5976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Medición final, informe ejecutivo y roadmap</w:t>
            </w:r>
          </w:p>
        </w:tc>
        <w:tc>
          <w:tcPr>
            <w:tcW w:type="dxa" w:w="216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7"/>
              </w:rPr>
              <w:t>Evidencia y siguientes prioridades</w:t>
            </w:r>
          </w:p>
        </w:tc>
      </w:tr>
    </w:tbl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09  MEDICIÓN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Resultados que dirección puede entender y utilizar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Facthor8 combina señales de formación, simulación, reporte y controles para mostrar avance y riesgo residual.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96"/>
      </w:tblGrid>
      <w:tr>
        <w:trPr>
          <w:tblHeader w:val="true"/>
        </w:trPr>
        <w:tc>
          <w:tcPr>
            <w:tcW w:type="dxa" w:w="4997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997"/>
            <w:shd w:fill="06294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Qué responde</w:t>
            </w:r>
          </w:p>
        </w:tc>
      </w:tr>
      <w:tr>
        <w:tc>
          <w:tcPr>
            <w:tcW w:type="dxa" w:w="324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Cobertura y finalización</w:t>
            </w:r>
          </w:p>
        </w:tc>
        <w:tc>
          <w:tcPr>
            <w:tcW w:type="dxa" w:w="669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¿La formación llegó a toda la compañía?</w:t>
            </w:r>
          </w:p>
        </w:tc>
      </w:tr>
      <w:tr>
        <w:tc>
          <w:tcPr>
            <w:tcW w:type="dxa" w:w="324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Detección y reporte</w:t>
            </w:r>
          </w:p>
        </w:tc>
        <w:tc>
          <w:tcPr>
            <w:tcW w:type="dxa" w:w="6696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¿Las personas reconocen y escalan una amenaza?</w:t>
            </w:r>
          </w:p>
        </w:tc>
      </w:tr>
      <w:tr>
        <w:tc>
          <w:tcPr>
            <w:tcW w:type="dxa" w:w="324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Tiempo de reporte</w:t>
            </w:r>
          </w:p>
        </w:tc>
        <w:tc>
          <w:tcPr>
            <w:tcW w:type="dxa" w:w="669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¿La organización puede reaccionar antes?</w:t>
            </w:r>
          </w:p>
        </w:tc>
      </w:tr>
      <w:tr>
        <w:tc>
          <w:tcPr>
            <w:tcW w:type="dxa" w:w="324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Reincidencia y evolución</w:t>
            </w:r>
          </w:p>
        </w:tc>
        <w:tc>
          <w:tcPr>
            <w:tcW w:type="dxa" w:w="6696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¿El comportamiento mejora entre ejercicios?</w:t>
            </w:r>
          </w:p>
        </w:tc>
      </w:tr>
      <w:tr>
        <w:tc>
          <w:tcPr>
            <w:tcW w:type="dxa" w:w="324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Hallazgos técnicos</w:t>
            </w:r>
          </w:p>
        </w:tc>
        <w:tc>
          <w:tcPr>
            <w:tcW w:type="dxa" w:w="669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¿Se reducen brechas preventivas prioritarias?</w:t>
            </w:r>
          </w:p>
        </w:tc>
      </w:tr>
      <w:tr>
        <w:tc>
          <w:tcPr>
            <w:tcW w:type="dxa" w:w="3240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/>
                <w:color w:val="041C34"/>
                <w:sz w:val="18"/>
              </w:rPr>
              <w:t>Human Cyber Risk Score</w:t>
            </w:r>
          </w:p>
        </w:tc>
        <w:tc>
          <w:tcPr>
            <w:tcW w:type="dxa" w:w="6696"/>
            <w:shd w:fill="EDF3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0" w:type="dxa"/>
              <w:start w:w="145" w:type="dxa"/>
              <w:bottom w:w="130" w:type="dxa"/>
              <w:end w:w="145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Liberation Sans" w:hAnsi="Liberation Sans"/>
                <w:b w:val="0"/>
                <w:color w:val="041C34"/>
                <w:sz w:val="18"/>
              </w:rPr>
              <w:t>¿Cómo evoluciona la resiliencia humana de forma ejecutiva?</w:t>
            </w:r>
          </w:p>
        </w:tc>
      </w:tr>
    </w:tbl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Entregables</w:t>
      </w:r>
    </w:p>
    <w:p>
      <w:pPr>
        <w:keepNext w:val="0"/>
        <w:spacing w:before="0" w:after="140" w:line="274" w:lineRule="auto"/>
      </w:pPr>
      <w:r>
        <w:rPr>
          <w:rFonts w:ascii="Liberation Sans" w:hAnsi="Liberation Sans"/>
          <w:b w:val="0"/>
          <w:color w:val="041C34"/>
          <w:sz w:val="21"/>
        </w:rPr>
        <w:t>Plan de trabajo, materiales de formación, protocolo de reporte, diseño de simulaciones, registro agregado de resultados, informe de revisión preventiva, dashboard de indicadores, informe ejecutivo y roadmap priorizado.</w:t>
      </w:r>
    </w:p>
    <w:p>
      <w:r>
        <w:br w:type="page"/>
      </w:r>
    </w:p>
    <w:p>
      <w:pPr>
        <w:keepNext/>
        <w:spacing w:before="0" w:after="180" w:line="274" w:lineRule="auto"/>
      </w:pPr>
      <w:r>
        <w:rPr>
          <w:rFonts w:ascii="Liberation Sans" w:hAnsi="Liberation Sans"/>
          <w:b/>
          <w:color w:val="007B5D"/>
          <w:sz w:val="16"/>
        </w:rPr>
        <w:t>10  SIGUIENTE PASO</w:t>
      </w:r>
    </w:p>
    <w:p>
      <w:pPr>
        <w:pStyle w:val="Heading1"/>
        <w:keepNext/>
        <w:spacing w:before="0" w:after="240" w:line="240" w:lineRule="auto"/>
      </w:pPr>
      <w:r>
        <w:rPr>
          <w:rFonts w:ascii="DejaVu Sans" w:hAnsi="DejaVu Sans"/>
          <w:b/>
          <w:color w:val="000000"/>
          <w:sz w:val="52"/>
        </w:rPr>
        <w:t>Definir el alcance operativo</w:t>
      </w:r>
    </w:p>
    <w:p>
      <w:pPr>
        <w:keepNext w:val="0"/>
        <w:spacing w:before="0" w:after="260" w:line="274" w:lineRule="auto"/>
      </w:pPr>
      <w:r>
        <w:rPr>
          <w:rFonts w:ascii="Liberation Sans" w:hAnsi="Liberation Sans"/>
          <w:b w:val="0"/>
          <w:color w:val="7890A5"/>
          <w:sz w:val="22"/>
        </w:rPr>
        <w:t>Esta propuesta responde al criterio planteado y funciona como base para una reunión breve de definición.</w:t>
      </w:r>
    </w:p>
    <w:p>
      <w:pPr>
        <w:pStyle w:val="Heading2"/>
        <w:keepNext/>
        <w:spacing w:before="200" w:after="120" w:line="240" w:lineRule="auto"/>
      </w:pPr>
      <w:r>
        <w:rPr>
          <w:rFonts w:ascii="DejaVu Sans" w:hAnsi="DejaVu Sans"/>
          <w:b/>
          <w:color w:val="000000"/>
          <w:sz w:val="31"/>
        </w:rPr>
        <w:t>Para preparar la propuesta económica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Cantidad de personas, sedes, idiomas y modalidades de trabajo.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Licencias y configuración actual de Microsoft 365 y Defender.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Canal de reporte existente y responsables de respuesta.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Profundidad esperada de la revisión técnica y capacidad interna de remediación.</w:t>
      </w:r>
    </w:p>
    <w:p>
      <w:pPr>
        <w:pStyle w:val="ListBullet"/>
        <w:keepNext w:val="0"/>
        <w:spacing w:before="0" w:after="80" w:line="264" w:lineRule="auto"/>
      </w:pPr>
      <w:r>
        <w:rPr>
          <w:rFonts w:ascii="Liberation Sans" w:hAnsi="Liberation Sans"/>
          <w:b w:val="0"/>
          <w:color w:val="041C34"/>
          <w:sz w:val="20"/>
        </w:rPr>
        <w:t>Calendario, restricciones operativas y criterios de éxito.</w:t>
      </w:r>
    </w:p>
    <w:p>
      <w:pPr>
        <w:keepNext w:val="0"/>
        <w:spacing w:before="0" w:after="480" w:line="274" w:lineRule="auto"/>
      </w:pPr>
      <w:r>
        <w:rPr>
          <w:rFonts w:ascii="Liberation Sans" w:hAnsi="Liberation Sans"/>
          <w:b w:val="0"/>
          <w:color w:val="041C34"/>
          <w:sz w:val="22"/>
        </w:rPr>
        <w:t>Con esa información, Facthor8 puede presentar medidas, responsables, calendario definitivo y presupuesto, diferenciando claramente el programa humano, las simulaciones y cualquier trabajo técnico adicional.</w:t>
      </w:r>
    </w:p>
    <w:p>
      <w:pPr>
        <w:keepNext w:val="0"/>
        <w:spacing w:before="0" w:after="160" w:line="274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hor8-symbol-20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DejaVu Sans" w:hAnsi="DejaVu Sans"/>
          <w:b/>
          <w:color w:val="06294D"/>
          <w:sz w:val="40"/>
        </w:rPr>
        <w:t>FACTHOR8</w:t>
      </w:r>
      <w:r>
        <w:br/>
      </w:r>
      <w:r>
        <w:rPr>
          <w:rFonts w:ascii="Liberation Sans" w:hAnsi="Liberation Sans"/>
          <w:b w:val="0"/>
          <w:color w:val="007B5D"/>
          <w:sz w:val="20"/>
        </w:rPr>
        <w:t>Building Human Resilience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7776"/>
      <w:gridCol w:w="2160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/>
              <w:b/>
              <w:color w:val="7890A5"/>
              <w:sz w:val="14"/>
            </w:rPr>
            <w:t>FACTHOR8   /   THE HUMAN SECURITY LAYER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Liberation Sans" w:hAnsi="Liberation Sans"/>
              <w:b w:val="0"/>
              <w:color w:val="7890A5"/>
              <w:sz w:val="14"/>
            </w:rPr>
            <w:t xml:space="preserve">Página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resiliencia humana y protección frente al fraude digital</dc:title>
  <dc:subject>Propuesta Facthor8 para Bettergy</dc:subject>
  <dc:creator>Facthor8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