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80"/>
      </w:pP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6400800" cy="1600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hor8-horizontal-32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0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960" w:after="160"/>
        <w:jc w:val="left"/>
      </w:pPr>
      <w:r>
        <w:rPr>
          <w:rFonts w:ascii="DejaVu Sans" w:hAnsi="DejaVu Sans"/>
          <w:b/>
          <w:color w:val="000000"/>
          <w:sz w:val="62"/>
        </w:rPr>
        <w:t>Manual de identidad visual</w:t>
      </w:r>
    </w:p>
    <w:p>
      <w:r>
        <w:rPr>
          <w:rFonts w:ascii="DejaVu Sans" w:hAnsi="DejaVu Sans"/>
          <w:b w:val="0"/>
          <w:color w:val="7890A5"/>
          <w:sz w:val="28"/>
        </w:rPr>
        <w:t>Sistema de marca y normas de aplicación</w:t>
      </w:r>
    </w:p>
    <w:p>
      <w:pPr>
        <w:spacing w:after="1520"/>
      </w:pPr>
    </w:p>
    <w:p>
      <w:r>
        <w:rPr>
          <w:rFonts w:ascii="DejaVu Sans" w:hAnsi="DejaVu Sans"/>
          <w:b/>
          <w:color w:val="00D39A"/>
          <w:sz w:val="20"/>
        </w:rPr>
        <w:t>THE HUMAN SECURITY LAYER</w:t>
      </w:r>
    </w:p>
    <w:p>
      <w:r>
        <w:rPr>
          <w:rFonts w:ascii="DejaVu Sans" w:hAnsi="DejaVu Sans"/>
          <w:b w:val="0"/>
          <w:color w:val="7890A5"/>
          <w:sz w:val="18"/>
        </w:rPr>
        <w:t>Versión 1.0   |   Septiembre 2026</w:t>
      </w:r>
    </w:p>
    <w:p>
      <w:pPr>
        <w:pStyle w:val="Heading1"/>
        <w:pageBreakBefore/>
        <w:spacing w:after="200"/>
      </w:pPr>
      <w:r>
        <w:rPr>
          <w:rFonts w:ascii="DejaVu Sans" w:hAnsi="DejaVu Sans"/>
          <w:b/>
          <w:color w:val="000000"/>
          <w:sz w:val="46"/>
        </w:rPr>
        <w:t>Concepto de marca</w:t>
      </w:r>
    </w:p>
    <w:p>
      <w:pPr>
        <w:spacing w:after="360"/>
      </w:pPr>
      <w:r>
        <w:rPr>
          <w:rFonts w:ascii="DejaVu Sans" w:hAnsi="DejaVu Sans"/>
          <w:b w:val="0"/>
          <w:color w:val="7890A5"/>
          <w:sz w:val="23"/>
        </w:rPr>
        <w:t>Facthor8 representa la capa que ninguna tecnología puede sustituir: las decisiones humanas.</w:t>
      </w:r>
    </w:p>
    <w:p>
      <w:pPr>
        <w:spacing w:after="180" w:line="276" w:lineRule="auto"/>
      </w:pPr>
      <w:r>
        <w:rPr>
          <w:rFonts w:ascii="DejaVu Sans" w:hAnsi="DejaVu Sans"/>
          <w:b w:val="0"/>
          <w:color w:val="041C34"/>
          <w:sz w:val="21"/>
        </w:rPr>
        <w:t>Los siete sectores azules representan las capas técnicas y organizativas que protegen una empresa. El octavo sector, en verde y desplazado hacia afuera, representa a la persona: forma parte del sistema, pero necesita atención específica.</w:t>
      </w:r>
    </w:p>
    <w:p>
      <w:pPr>
        <w:spacing w:after="180" w:line="276" w:lineRule="auto"/>
      </w:pPr>
      <w:r>
        <w:rPr>
          <w:rFonts w:ascii="DejaVu Sans" w:hAnsi="DejaVu Sans"/>
          <w:b w:val="0"/>
          <w:color w:val="041C34"/>
          <w:sz w:val="21"/>
        </w:rPr>
        <w:t>El círculo verde completa una figura humana mínima. La marca evita presentar a las personas como el eslabón débil; las muestra como una capa activa que puede aprender, detectar y responder.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2606040" cy="2606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hor8-symbol-204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232"/>
            <w:shd w:fill="06294D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320"/>
            <w:shd w:fill="06294D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3240"/>
            <w:shd w:fill="06294D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/>
                <w:color w:val="FFFFFF"/>
                <w:sz w:val="18"/>
              </w:rPr>
              <w:t>Regla</w:t>
            </w:r>
          </w:p>
        </w:tc>
      </w:tr>
      <w:tr>
        <w:tc>
          <w:tcPr>
            <w:tcW w:type="dxa" w:w="2232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Siete bloques azules</w:t>
            </w:r>
          </w:p>
        </w:tc>
        <w:tc>
          <w:tcPr>
            <w:tcW w:type="dxa" w:w="4320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Capas de protección tecnológica y organizativa</w:t>
            </w:r>
          </w:p>
        </w:tc>
        <w:tc>
          <w:tcPr>
            <w:tcW w:type="dxa" w:w="3240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Siempre idénticos y equidistantes</w:t>
            </w:r>
          </w:p>
        </w:tc>
      </w:tr>
      <w:tr>
        <w:tc>
          <w:tcPr>
            <w:tcW w:type="dxa" w:w="2232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Bloque verde</w:t>
            </w:r>
          </w:p>
        </w:tc>
        <w:tc>
          <w:tcPr>
            <w:tcW w:type="dxa" w:w="4320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Octava capa o factor humano</w:t>
            </w:r>
          </w:p>
        </w:tc>
        <w:tc>
          <w:tcPr>
            <w:tcW w:type="dxa" w:w="3240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Misma geometría, desplazada hacia afuera</w:t>
            </w:r>
          </w:p>
        </w:tc>
      </w:tr>
      <w:tr>
        <w:tc>
          <w:tcPr>
            <w:tcW w:type="dxa" w:w="2232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Círculo verde</w:t>
            </w:r>
          </w:p>
        </w:tc>
        <w:tc>
          <w:tcPr>
            <w:tcW w:type="dxa" w:w="4320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Persona y capacidad de decisión</w:t>
            </w:r>
          </w:p>
        </w:tc>
        <w:tc>
          <w:tcPr>
            <w:tcW w:type="dxa" w:w="3240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Nunca separar ni recolocar</w:t>
            </w:r>
          </w:p>
        </w:tc>
      </w:tr>
      <w:tr>
        <w:tc>
          <w:tcPr>
            <w:tcW w:type="dxa" w:w="2232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Anillo abierto</w:t>
            </w:r>
          </w:p>
        </w:tc>
        <w:tc>
          <w:tcPr>
            <w:tcW w:type="dxa" w:w="4320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Sistema conectado y mejora continua</w:t>
            </w:r>
          </w:p>
        </w:tc>
        <w:tc>
          <w:tcPr>
            <w:tcW w:type="dxa" w:w="3240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Mantener el centro despejado</w:t>
            </w:r>
          </w:p>
        </w:tc>
      </w:tr>
    </w:tbl>
    <w:p>
      <w:pPr>
        <w:spacing w:after="40"/>
      </w:pPr>
    </w:p>
    <w:p>
      <w:pPr>
        <w:pStyle w:val="Heading1"/>
        <w:pageBreakBefore/>
        <w:spacing w:after="200"/>
      </w:pPr>
      <w:r>
        <w:rPr>
          <w:rFonts w:ascii="DejaVu Sans" w:hAnsi="DejaVu Sans"/>
          <w:b/>
          <w:color w:val="000000"/>
          <w:sz w:val="46"/>
        </w:rPr>
        <w:t>Construcción del símbolo</w:t>
      </w:r>
    </w:p>
    <w:p>
      <w:pPr>
        <w:spacing w:after="360"/>
      </w:pPr>
      <w:r>
        <w:rPr>
          <w:rFonts w:ascii="DejaVu Sans" w:hAnsi="DejaVu Sans"/>
          <w:b w:val="0"/>
          <w:color w:val="7890A5"/>
          <w:sz w:val="23"/>
        </w:rPr>
        <w:t>La consistencia geométrica permite reconocer la marca desde un favicon hasta una presentación corporativa.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2331720" cy="2331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hor8-symbol-204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23317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06294D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6912"/>
            <w:shd w:fill="06294D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/>
                <w:color w:val="FFFFFF"/>
                <w:sz w:val="18"/>
              </w:rPr>
              <w:t>Especificación</w:t>
            </w:r>
          </w:p>
        </w:tc>
      </w:tr>
      <w:tr>
        <w:tc>
          <w:tcPr>
            <w:tcW w:type="dxa" w:w="2880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Sectores</w:t>
            </w:r>
          </w:p>
        </w:tc>
        <w:tc>
          <w:tcPr>
            <w:tcW w:type="dxa" w:w="6912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8 sectores de 39 grados</w:t>
            </w:r>
          </w:p>
        </w:tc>
      </w:tr>
      <w:tr>
        <w:tc>
          <w:tcPr>
            <w:tcW w:type="dxa" w:w="2880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Distribución</w:t>
            </w:r>
          </w:p>
        </w:tc>
        <w:tc>
          <w:tcPr>
            <w:tcW w:type="dxa" w:w="6912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Centros separados cada 45 grados</w:t>
            </w:r>
          </w:p>
        </w:tc>
      </w:tr>
      <w:tr>
        <w:tc>
          <w:tcPr>
            <w:tcW w:type="dxa" w:w="2880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Separaciones</w:t>
            </w:r>
          </w:p>
        </w:tc>
        <w:tc>
          <w:tcPr>
            <w:tcW w:type="dxa" w:w="6912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8 huecos radiales uniformes</w:t>
            </w:r>
          </w:p>
        </w:tc>
      </w:tr>
      <w:tr>
        <w:tc>
          <w:tcPr>
            <w:tcW w:type="dxa" w:w="2880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Sector humano</w:t>
            </w:r>
          </w:p>
        </w:tc>
        <w:tc>
          <w:tcPr>
            <w:tcW w:type="dxa" w:w="6912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Misma base geométrica con desplazamiento radial</w:t>
            </w:r>
          </w:p>
        </w:tc>
      </w:tr>
      <w:tr>
        <w:tc>
          <w:tcPr>
            <w:tcW w:type="dxa" w:w="2880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Centro</w:t>
            </w:r>
          </w:p>
        </w:tc>
        <w:tc>
          <w:tcPr>
            <w:tcW w:type="dxa" w:w="6912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Área circular libre sin símbolos adicionales</w:t>
            </w:r>
          </w:p>
        </w:tc>
      </w:tr>
      <w:tr>
        <w:tc>
          <w:tcPr>
            <w:tcW w:type="dxa" w:w="2880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Construcción</w:t>
            </w:r>
          </w:p>
        </w:tc>
        <w:tc>
          <w:tcPr>
            <w:tcW w:type="dxa" w:w="6912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Formas planas y colores sólidos</w:t>
            </w:r>
          </w:p>
        </w:tc>
      </w:tr>
    </w:tbl>
    <w:p>
      <w:pPr>
        <w:spacing w:after="40"/>
      </w:pPr>
    </w:p>
    <w:p>
      <w:pPr>
        <w:spacing w:after="180" w:line="276" w:lineRule="auto"/>
      </w:pPr>
      <w:r>
        <w:rPr>
          <w:rFonts w:ascii="DejaVu Sans" w:hAnsi="DejaVu Sans"/>
          <w:b w:val="0"/>
          <w:color w:val="041C34"/>
          <w:sz w:val="21"/>
        </w:rPr>
        <w:t>No deben modificarse individualmente los sectores ni compensarse visualmente con tamaños diferentes. La jerarquía del elemento humano se logra únicamente mediante color y desplazamiento.</w:t>
      </w:r>
    </w:p>
    <w:p>
      <w:pPr>
        <w:pStyle w:val="Heading1"/>
        <w:pageBreakBefore/>
        <w:spacing w:after="200"/>
      </w:pPr>
      <w:r>
        <w:rPr>
          <w:rFonts w:ascii="DejaVu Sans" w:hAnsi="DejaVu Sans"/>
          <w:b/>
          <w:color w:val="000000"/>
          <w:sz w:val="46"/>
        </w:rPr>
        <w:t>Versiones del logo</w:t>
      </w:r>
    </w:p>
    <w:p>
      <w:pPr>
        <w:spacing w:after="360"/>
      </w:pPr>
      <w:r>
        <w:rPr>
          <w:rFonts w:ascii="DejaVu Sans" w:hAnsi="DejaVu Sans"/>
          <w:b w:val="0"/>
          <w:color w:val="7890A5"/>
          <w:sz w:val="23"/>
        </w:rPr>
        <w:t>Utilizar siempre la versión que garantice contraste limpio y lectura inmediata.</w:t>
      </w:r>
    </w:p>
    <w:p>
      <w:r>
        <w:rPr>
          <w:rFonts w:ascii="DejaVu Sans" w:hAnsi="DejaVu Sans"/>
          <w:b/>
          <w:color w:val="041C34"/>
          <w:sz w:val="22"/>
        </w:rPr>
        <w:t>Versión principal para fondos claros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6217920" cy="1554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hor8-horizontal-32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DejaVu Sans" w:hAnsi="DejaVu Sans"/>
          <w:b/>
          <w:color w:val="041C34"/>
          <w:sz w:val="22"/>
        </w:rPr>
        <w:t>Versión inversa para fondos oscuros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6217920" cy="1554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hor8-horizontal-dark-32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DejaVu Sans" w:hAnsi="DejaVu Sans"/>
          <w:b/>
          <w:color w:val="041C34"/>
          <w:sz w:val="22"/>
        </w:rPr>
        <w:t>Versión monocromática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6217920" cy="1554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hor8-horizontal-navy-32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276" w:lineRule="auto"/>
      </w:pPr>
      <w:r>
        <w:rPr>
          <w:rFonts w:ascii="DejaVu Sans" w:hAnsi="DejaVu Sans"/>
          <w:b w:val="0"/>
          <w:color w:val="041C34"/>
          <w:sz w:val="21"/>
        </w:rPr>
        <w:t>El isotipo puede utilizarse sin el nombre únicamente cuando Facthor8 ya esté identificado por contexto, como en avatares, favicons, marcas de agua o elementos repetitivos.</w:t>
      </w:r>
    </w:p>
    <w:p>
      <w:pPr>
        <w:pStyle w:val="Heading1"/>
        <w:pageBreakBefore/>
        <w:spacing w:after="200"/>
      </w:pPr>
      <w:r>
        <w:rPr>
          <w:rFonts w:ascii="DejaVu Sans" w:hAnsi="DejaVu Sans"/>
          <w:b/>
          <w:color w:val="000000"/>
          <w:sz w:val="46"/>
        </w:rPr>
        <w:t>Área de seguridad y tamaño mínimo</w:t>
      </w:r>
    </w:p>
    <w:p>
      <w:pPr>
        <w:spacing w:after="360"/>
      </w:pPr>
      <w:r>
        <w:rPr>
          <w:rFonts w:ascii="DejaVu Sans" w:hAnsi="DejaVu Sans"/>
          <w:b w:val="0"/>
          <w:color w:val="7890A5"/>
          <w:sz w:val="23"/>
        </w:rPr>
        <w:t>El espacio libre protege la identidad y evita que otros elementos compitan con ella.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6309360" cy="15773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hor8-horizontal-32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77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276" w:lineRule="auto"/>
      </w:pPr>
      <w:r>
        <w:rPr>
          <w:rFonts w:ascii="DejaVu Sans" w:hAnsi="DejaVu Sans"/>
          <w:b/>
          <w:color w:val="041C34"/>
          <w:sz w:val="21"/>
        </w:rPr>
        <w:t>Área de seguridad.</w:t>
      </w:r>
      <w:r>
        <w:rPr>
          <w:rFonts w:ascii="DejaVu Sans" w:hAnsi="DejaVu Sans"/>
          <w:b w:val="0"/>
          <w:color w:val="041C34"/>
          <w:sz w:val="21"/>
        </w:rPr>
        <w:t xml:space="preserve"> Mantener alrededor del logo un espacio mínimo equivalente al diámetro del círculo verde del isotipo. Ningún texto, imagen, borde o elemento interactivo debe invadir esa zona.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024"/>
            <w:shd w:fill="06294D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/>
                <w:color w:val="FFFFFF"/>
                <w:sz w:val="18"/>
              </w:rPr>
              <w:t>Aplicación</w:t>
            </w:r>
          </w:p>
        </w:tc>
        <w:tc>
          <w:tcPr>
            <w:tcW w:type="dxa" w:w="3384"/>
            <w:shd w:fill="06294D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/>
                <w:color w:val="FFFFFF"/>
                <w:sz w:val="18"/>
              </w:rPr>
              <w:t>Logo horizontal</w:t>
            </w:r>
          </w:p>
        </w:tc>
        <w:tc>
          <w:tcPr>
            <w:tcW w:type="dxa" w:w="3384"/>
            <w:shd w:fill="06294D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/>
                <w:color w:val="FFFFFF"/>
                <w:sz w:val="18"/>
              </w:rPr>
              <w:t>Isotipo</w:t>
            </w:r>
          </w:p>
        </w:tc>
      </w:tr>
      <w:tr>
        <w:tc>
          <w:tcPr>
            <w:tcW w:type="dxa" w:w="3024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Pantalla</w:t>
            </w:r>
          </w:p>
        </w:tc>
        <w:tc>
          <w:tcPr>
            <w:tcW w:type="dxa" w:w="3384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160 px de ancho mínimo</w:t>
            </w:r>
          </w:p>
        </w:tc>
        <w:tc>
          <w:tcPr>
            <w:tcW w:type="dxa" w:w="3384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24 px de ancho mínimo</w:t>
            </w:r>
          </w:p>
        </w:tc>
      </w:tr>
      <w:tr>
        <w:tc>
          <w:tcPr>
            <w:tcW w:type="dxa" w:w="3024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Impresión</w:t>
            </w:r>
          </w:p>
        </w:tc>
        <w:tc>
          <w:tcPr>
            <w:tcW w:type="dxa" w:w="3384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36 mm de ancho mínimo</w:t>
            </w:r>
          </w:p>
        </w:tc>
        <w:tc>
          <w:tcPr>
            <w:tcW w:type="dxa" w:w="3384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8 mm de ancho mínimo</w:t>
            </w:r>
          </w:p>
        </w:tc>
      </w:tr>
      <w:tr>
        <w:tc>
          <w:tcPr>
            <w:tcW w:type="dxa" w:w="3024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Cabecera web</w:t>
            </w:r>
          </w:p>
        </w:tc>
        <w:tc>
          <w:tcPr>
            <w:tcW w:type="dxa" w:w="3384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200 a 240 px recomendado</w:t>
            </w:r>
          </w:p>
        </w:tc>
        <w:tc>
          <w:tcPr>
            <w:tcW w:type="dxa" w:w="3384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Solo en navegación compacta</w:t>
            </w:r>
          </w:p>
        </w:tc>
      </w:tr>
      <w:tr>
        <w:tc>
          <w:tcPr>
            <w:tcW w:type="dxa" w:w="3024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Avatar social</w:t>
            </w:r>
          </w:p>
        </w:tc>
        <w:tc>
          <w:tcPr>
            <w:tcW w:type="dxa" w:w="3384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No recomendado</w:t>
            </w:r>
          </w:p>
        </w:tc>
        <w:tc>
          <w:tcPr>
            <w:tcW w:type="dxa" w:w="3384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Usar isotipo centrado</w:t>
            </w:r>
          </w:p>
        </w:tc>
      </w:tr>
    </w:tbl>
    <w:p>
      <w:pPr>
        <w:spacing w:after="40"/>
      </w:pPr>
    </w:p>
    <w:p>
      <w:pPr>
        <w:spacing w:after="180" w:line="276" w:lineRule="auto"/>
      </w:pPr>
      <w:r>
        <w:rPr>
          <w:rFonts w:ascii="DejaVu Sans" w:hAnsi="DejaVu Sans"/>
          <w:b w:val="0"/>
          <w:color w:val="041C34"/>
          <w:sz w:val="21"/>
        </w:rPr>
        <w:t>Por debajo de estos tamaños debe priorizarse el isotipo. La leyenda The Human Security Layer puede omitirse solo en aplicaciones compactas previamente definidas.</w:t>
      </w:r>
    </w:p>
    <w:p>
      <w:pPr>
        <w:pStyle w:val="Heading1"/>
        <w:pageBreakBefore/>
        <w:spacing w:after="200"/>
      </w:pPr>
      <w:r>
        <w:rPr>
          <w:rFonts w:ascii="DejaVu Sans" w:hAnsi="DejaVu Sans"/>
          <w:b/>
          <w:color w:val="000000"/>
          <w:sz w:val="46"/>
        </w:rPr>
        <w:t>Paleta cromática</w:t>
      </w:r>
    </w:p>
    <w:p>
      <w:pPr>
        <w:spacing w:after="360"/>
      </w:pPr>
      <w:r>
        <w:rPr>
          <w:rFonts w:ascii="DejaVu Sans" w:hAnsi="DejaVu Sans"/>
          <w:b w:val="0"/>
          <w:color w:val="7890A5"/>
          <w:sz w:val="23"/>
        </w:rPr>
        <w:t>El azul construye confianza y rigor; el verde identifica exclusivamente el factor humano y las acciones prioritarias.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800"/>
            <w:shd w:fill="06294D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440"/>
            <w:shd w:fill="06294D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/>
                <w:color w:val="FFFFFF"/>
                <w:sz w:val="18"/>
              </w:rPr>
              <w:t>HEX</w:t>
            </w:r>
          </w:p>
        </w:tc>
        <w:tc>
          <w:tcPr>
            <w:tcW w:type="dxa" w:w="1728"/>
            <w:shd w:fill="06294D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/>
                <w:color w:val="FFFFFF"/>
                <w:sz w:val="18"/>
              </w:rPr>
              <w:t>RGB</w:t>
            </w:r>
          </w:p>
        </w:tc>
        <w:tc>
          <w:tcPr>
            <w:tcW w:type="dxa" w:w="1800"/>
            <w:shd w:fill="06294D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/>
                <w:color w:val="FFFFFF"/>
                <w:sz w:val="18"/>
              </w:rPr>
              <w:t>CMYK aprox.</w:t>
            </w:r>
          </w:p>
        </w:tc>
        <w:tc>
          <w:tcPr>
            <w:tcW w:type="dxa" w:w="3024"/>
            <w:shd w:fill="06294D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/>
                <w:color w:val="FFFFFF"/>
                <w:sz w:val="18"/>
              </w:rPr>
              <w:t>Uso principal</w:t>
            </w:r>
          </w:p>
        </w:tc>
      </w:tr>
      <w:tr>
        <w:tc>
          <w:tcPr>
            <w:tcW w:type="dxa" w:w="1800"/>
            <w:shd w:fill="06294D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FFFFFF"/>
                <w:sz w:val="18"/>
              </w:rPr>
              <w:t>Midnight Navy</w:t>
            </w:r>
          </w:p>
        </w:tc>
        <w:tc>
          <w:tcPr>
            <w:tcW w:type="dxa" w:w="1440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#06294D</w:t>
            </w:r>
          </w:p>
        </w:tc>
        <w:tc>
          <w:tcPr>
            <w:tcW w:type="dxa" w:w="1728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6 41 77</w:t>
            </w:r>
          </w:p>
        </w:tc>
        <w:tc>
          <w:tcPr>
            <w:tcW w:type="dxa" w:w="1800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92 47 0 70</w:t>
            </w:r>
          </w:p>
        </w:tc>
        <w:tc>
          <w:tcPr>
            <w:tcW w:type="dxa" w:w="3024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Logo, titulares y superficies</w:t>
            </w:r>
          </w:p>
        </w:tc>
      </w:tr>
      <w:tr>
        <w:tc>
          <w:tcPr>
            <w:tcW w:type="dxa" w:w="1800"/>
            <w:shd w:fill="041C34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FFFFFF"/>
                <w:sz w:val="18"/>
              </w:rPr>
              <w:t>Deep Navy</w:t>
            </w:r>
          </w:p>
        </w:tc>
        <w:tc>
          <w:tcPr>
            <w:tcW w:type="dxa" w:w="1440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#041C34</w:t>
            </w:r>
          </w:p>
        </w:tc>
        <w:tc>
          <w:tcPr>
            <w:tcW w:type="dxa" w:w="1728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4 28 52</w:t>
            </w:r>
          </w:p>
        </w:tc>
        <w:tc>
          <w:tcPr>
            <w:tcW w:type="dxa" w:w="1800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92 46 0 80</w:t>
            </w:r>
          </w:p>
        </w:tc>
        <w:tc>
          <w:tcPr>
            <w:tcW w:type="dxa" w:w="3024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Fondos y secciones inmersivas</w:t>
            </w:r>
          </w:p>
        </w:tc>
      </w:tr>
      <w:tr>
        <w:tc>
          <w:tcPr>
            <w:tcW w:type="dxa" w:w="1800"/>
            <w:shd w:fill="00D39A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Human Green</w:t>
            </w:r>
          </w:p>
        </w:tc>
        <w:tc>
          <w:tcPr>
            <w:tcW w:type="dxa" w:w="1440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#00D39A</w:t>
            </w:r>
          </w:p>
        </w:tc>
        <w:tc>
          <w:tcPr>
            <w:tcW w:type="dxa" w:w="1728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0 211 154</w:t>
            </w:r>
          </w:p>
        </w:tc>
        <w:tc>
          <w:tcPr>
            <w:tcW w:type="dxa" w:w="1800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100 0 27 17</w:t>
            </w:r>
          </w:p>
        </w:tc>
        <w:tc>
          <w:tcPr>
            <w:tcW w:type="dxa" w:w="3024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Capa humana y llamadas a la acción</w:t>
            </w:r>
          </w:p>
        </w:tc>
      </w:tr>
      <w:tr>
        <w:tc>
          <w:tcPr>
            <w:tcW w:type="dxa" w:w="1800"/>
            <w:shd w:fill="F7FAFC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Mineral White</w:t>
            </w:r>
          </w:p>
        </w:tc>
        <w:tc>
          <w:tcPr>
            <w:tcW w:type="dxa" w:w="1440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#F7FAFC</w:t>
            </w:r>
          </w:p>
        </w:tc>
        <w:tc>
          <w:tcPr>
            <w:tcW w:type="dxa" w:w="1728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247 250 252</w:t>
            </w:r>
          </w:p>
        </w:tc>
        <w:tc>
          <w:tcPr>
            <w:tcW w:type="dxa" w:w="1800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2 1 0 1</w:t>
            </w:r>
          </w:p>
        </w:tc>
        <w:tc>
          <w:tcPr>
            <w:tcW w:type="dxa" w:w="3024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Fondos claros y texto inverso</w:t>
            </w:r>
          </w:p>
        </w:tc>
      </w:tr>
      <w:tr>
        <w:tc>
          <w:tcPr>
            <w:tcW w:type="dxa" w:w="1800"/>
            <w:shd w:fill="7890A5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FFFFFF"/>
                <w:sz w:val="18"/>
              </w:rPr>
              <w:t>Signal Slate</w:t>
            </w:r>
          </w:p>
        </w:tc>
        <w:tc>
          <w:tcPr>
            <w:tcW w:type="dxa" w:w="1440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#7890A5</w:t>
            </w:r>
          </w:p>
        </w:tc>
        <w:tc>
          <w:tcPr>
            <w:tcW w:type="dxa" w:w="1728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120 144 165</w:t>
            </w:r>
          </w:p>
        </w:tc>
        <w:tc>
          <w:tcPr>
            <w:tcW w:type="dxa" w:w="1800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27 13 0 35</w:t>
            </w:r>
          </w:p>
        </w:tc>
        <w:tc>
          <w:tcPr>
            <w:tcW w:type="dxa" w:w="3024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Texto secundario y datos</w:t>
            </w:r>
          </w:p>
        </w:tc>
      </w:tr>
    </w:tbl>
    <w:p>
      <w:pPr>
        <w:spacing w:after="40"/>
      </w:pPr>
    </w:p>
    <w:p>
      <w:pPr>
        <w:spacing w:after="180" w:line="276" w:lineRule="auto"/>
      </w:pPr>
      <w:r>
        <w:rPr>
          <w:rFonts w:ascii="DejaVu Sans" w:hAnsi="DejaVu Sans"/>
          <w:b w:val="0"/>
          <w:color w:val="041C34"/>
          <w:sz w:val="21"/>
        </w:rPr>
        <w:t>Human Green no debe emplearse como color de texto pequeño sobre blanco. En botones verdes se utilizará texto Deep Navy para mantener un contraste funcional.</w:t>
      </w:r>
    </w:p>
    <w:p>
      <w:pPr>
        <w:pStyle w:val="Heading1"/>
        <w:pageBreakBefore/>
        <w:spacing w:after="200"/>
      </w:pPr>
      <w:r>
        <w:rPr>
          <w:rFonts w:ascii="DejaVu Sans" w:hAnsi="DejaVu Sans"/>
          <w:b/>
          <w:color w:val="000000"/>
          <w:sz w:val="46"/>
        </w:rPr>
        <w:t>Tipografía</w:t>
      </w:r>
    </w:p>
    <w:p>
      <w:pPr>
        <w:spacing w:after="360"/>
      </w:pPr>
      <w:r>
        <w:rPr>
          <w:rFonts w:ascii="DejaVu Sans" w:hAnsi="DejaVu Sans"/>
          <w:b w:val="0"/>
          <w:color w:val="7890A5"/>
          <w:sz w:val="23"/>
        </w:rPr>
        <w:t>El sistema combina expresión editorial, lectura clara y precisión técnica.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88"/>
            <w:shd w:fill="06294D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3168"/>
            <w:shd w:fill="06294D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/>
                <w:color w:val="FFFFFF"/>
                <w:sz w:val="18"/>
              </w:rPr>
              <w:t>Familia</w:t>
            </w:r>
          </w:p>
        </w:tc>
        <w:tc>
          <w:tcPr>
            <w:tcW w:type="dxa" w:w="4824"/>
            <w:shd w:fill="06294D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/>
                <w:color w:val="FFFFFF"/>
                <w:sz w:val="18"/>
              </w:rPr>
              <w:t>Aplicación</w:t>
            </w:r>
          </w:p>
        </w:tc>
      </w:tr>
      <w:tr>
        <w:tc>
          <w:tcPr>
            <w:tcW w:type="dxa" w:w="2088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Logotipo</w:t>
            </w:r>
          </w:p>
        </w:tc>
        <w:tc>
          <w:tcPr>
            <w:tcW w:type="dxa" w:w="3168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Construcción propietaria</w:t>
            </w:r>
          </w:p>
        </w:tc>
        <w:tc>
          <w:tcPr>
            <w:tcW w:type="dxa" w:w="4824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No recrear escribiendo el nombre</w:t>
            </w:r>
          </w:p>
        </w:tc>
      </w:tr>
      <w:tr>
        <w:tc>
          <w:tcPr>
            <w:tcW w:type="dxa" w:w="2088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Titulares</w:t>
            </w:r>
          </w:p>
        </w:tc>
        <w:tc>
          <w:tcPr>
            <w:tcW w:type="dxa" w:w="3168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Syne 600 y 700</w:t>
            </w:r>
          </w:p>
        </w:tc>
        <w:tc>
          <w:tcPr>
            <w:tcW w:type="dxa" w:w="4824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Mensajes principales y secciones</w:t>
            </w:r>
          </w:p>
        </w:tc>
      </w:tr>
      <w:tr>
        <w:tc>
          <w:tcPr>
            <w:tcW w:type="dxa" w:w="2088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Texto</w:t>
            </w:r>
          </w:p>
        </w:tc>
        <w:tc>
          <w:tcPr>
            <w:tcW w:type="dxa" w:w="3168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Manrope 400 a 700</w:t>
            </w:r>
          </w:p>
        </w:tc>
        <w:tc>
          <w:tcPr>
            <w:tcW w:type="dxa" w:w="4824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Párrafos, navegación y botones</w:t>
            </w:r>
          </w:p>
        </w:tc>
      </w:tr>
      <w:tr>
        <w:tc>
          <w:tcPr>
            <w:tcW w:type="dxa" w:w="2088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Datos</w:t>
            </w:r>
          </w:p>
        </w:tc>
        <w:tc>
          <w:tcPr>
            <w:tcW w:type="dxa" w:w="3168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DM Mono 400 y 500</w:t>
            </w:r>
          </w:p>
        </w:tc>
        <w:tc>
          <w:tcPr>
            <w:tcW w:type="dxa" w:w="4824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Métricas, códigos y etiquetas</w:t>
            </w:r>
          </w:p>
        </w:tc>
      </w:tr>
    </w:tbl>
    <w:p>
      <w:pPr>
        <w:spacing w:after="40"/>
      </w:pPr>
    </w:p>
    <w:p>
      <w:pPr>
        <w:spacing w:before="360"/>
      </w:pPr>
      <w:r>
        <w:rPr>
          <w:rFonts w:ascii="DejaVu Sans" w:hAnsi="DejaVu Sans"/>
          <w:b/>
          <w:color w:val="000000"/>
          <w:sz w:val="48"/>
        </w:rPr>
        <w:t>Personas preparadas. Riesgo medible.</w:t>
      </w:r>
    </w:p>
    <w:p>
      <w:r>
        <w:rPr>
          <w:rFonts w:ascii="DejaVu Sans" w:hAnsi="DejaVu Sans"/>
          <w:b w:val="0"/>
          <w:color w:val="7890A5"/>
          <w:sz w:val="24"/>
        </w:rPr>
        <w:t>La seguridad se convierte en comportamiento cotidiano cuando las personas pueden practicar, decidir y aprender de forma continua.</w:t>
      </w:r>
    </w:p>
    <w:p>
      <w:r>
        <w:rPr>
          <w:rFonts w:ascii="DejaVu Sans Mono" w:hAnsi="DejaVu Sans Mono"/>
          <w:b/>
          <w:color w:val="00D39A"/>
          <w:sz w:val="20"/>
        </w:rPr>
        <w:t>HCRS / 072 / MODELO ACTIVO</w:t>
      </w:r>
    </w:p>
    <w:p>
      <w:pPr>
        <w:spacing w:after="180" w:line="276" w:lineRule="auto"/>
      </w:pPr>
      <w:r>
        <w:rPr>
          <w:rFonts w:ascii="DejaVu Sans" w:hAnsi="DejaVu Sans"/>
          <w:b w:val="0"/>
          <w:color w:val="041C34"/>
          <w:sz w:val="21"/>
        </w:rPr>
        <w:t>No sustituir las familias principales por tipografías decorativas, condensadas o de estética hacker. Cuando no estén disponibles, utilizar Arial como alternativa operativa.</w:t>
      </w:r>
    </w:p>
    <w:p>
      <w:pPr>
        <w:pStyle w:val="Heading1"/>
        <w:pageBreakBefore/>
        <w:spacing w:after="200"/>
      </w:pPr>
      <w:r>
        <w:rPr>
          <w:rFonts w:ascii="DejaVu Sans" w:hAnsi="DejaVu Sans"/>
          <w:b/>
          <w:color w:val="000000"/>
          <w:sz w:val="46"/>
        </w:rPr>
        <w:t>Usos correctos e incorrectos</w:t>
      </w:r>
    </w:p>
    <w:p>
      <w:pPr>
        <w:spacing w:after="360"/>
      </w:pPr>
      <w:r>
        <w:rPr>
          <w:rFonts w:ascii="DejaVu Sans" w:hAnsi="DejaVu Sans"/>
          <w:b w:val="0"/>
          <w:color w:val="7890A5"/>
          <w:sz w:val="23"/>
        </w:rPr>
        <w:t>La consistencia importa más que la variedad. No deben crearse versiones nuevas para resolver aplicaciones puntuales.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896"/>
            <w:shd w:fill="06294D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/>
                <w:color w:val="FFFFFF"/>
                <w:sz w:val="18"/>
              </w:rPr>
              <w:t>Correcto</w:t>
            </w:r>
          </w:p>
        </w:tc>
        <w:tc>
          <w:tcPr>
            <w:tcW w:type="dxa" w:w="4896"/>
            <w:shd w:fill="06294D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/>
                <w:color w:val="FFFFFF"/>
                <w:sz w:val="18"/>
              </w:rPr>
              <w:t>Incorrecto</w:t>
            </w:r>
          </w:p>
        </w:tc>
      </w:tr>
      <w:tr>
        <w:tc>
          <w:tcPr>
            <w:tcW w:type="dxa" w:w="489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Usar los archivos maestros</w:t>
            </w:r>
          </w:p>
        </w:tc>
        <w:tc>
          <w:tcPr>
            <w:tcW w:type="dxa" w:w="489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Redibujar o reconstruir el logo</w:t>
            </w:r>
          </w:p>
        </w:tc>
      </w:tr>
      <w:tr>
        <w:tc>
          <w:tcPr>
            <w:tcW w:type="dxa" w:w="4896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Mantener proporciones y área de seguridad</w:t>
            </w:r>
          </w:p>
        </w:tc>
        <w:tc>
          <w:tcPr>
            <w:tcW w:type="dxa" w:w="4896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Estirar, comprimir, rotar o inclinar</w:t>
            </w:r>
          </w:p>
        </w:tc>
      </w:tr>
      <w:tr>
        <w:tc>
          <w:tcPr>
            <w:tcW w:type="dxa" w:w="489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Aplicar la paleta oficial</w:t>
            </w:r>
          </w:p>
        </w:tc>
        <w:tc>
          <w:tcPr>
            <w:tcW w:type="dxa" w:w="489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Cambiar colores o introducir degradados</w:t>
            </w:r>
          </w:p>
        </w:tc>
      </w:tr>
      <w:tr>
        <w:tc>
          <w:tcPr>
            <w:tcW w:type="dxa" w:w="4896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Elegir la versión con contraste suficiente</w:t>
            </w:r>
          </w:p>
        </w:tc>
        <w:tc>
          <w:tcPr>
            <w:tcW w:type="dxa" w:w="4896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Añadir contornos, sombras o resplandores</w:t>
            </w:r>
          </w:p>
        </w:tc>
      </w:tr>
      <w:tr>
        <w:tc>
          <w:tcPr>
            <w:tcW w:type="dxa" w:w="489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Usar el isotipo en tamaños pequeños</w:t>
            </w:r>
          </w:p>
        </w:tc>
        <w:tc>
          <w:tcPr>
            <w:tcW w:type="dxa" w:w="489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Eliminar sectores o mover la figura humana</w:t>
            </w:r>
          </w:p>
        </w:tc>
      </w:tr>
      <w:tr>
        <w:tc>
          <w:tcPr>
            <w:tcW w:type="dxa" w:w="4896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Mantener la leyenda en piezas institucionales</w:t>
            </w:r>
          </w:p>
        </w:tc>
        <w:tc>
          <w:tcPr>
            <w:tcW w:type="dxa" w:w="4896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Modificar el claim o traducirlo dentro del logo</w:t>
            </w:r>
          </w:p>
        </w:tc>
      </w:tr>
    </w:tbl>
    <w:p>
      <w:pPr>
        <w:spacing w:after="40"/>
      </w:pPr>
    </w:p>
    <w:p>
      <w:pPr>
        <w:spacing w:after="180" w:line="276" w:lineRule="auto"/>
      </w:pPr>
      <w:r>
        <w:rPr>
          <w:rFonts w:ascii="DejaVu Sans" w:hAnsi="DejaVu Sans"/>
          <w:b w:val="0"/>
          <w:color w:val="041C34"/>
          <w:sz w:val="21"/>
        </w:rPr>
        <w:t>Sobre fotografías, el logo solo podrá colocarse en una zona visualmente limpia. Si no existe contraste estable, deberá emplearse sobre una placa Deep Navy o Mineral White.</w:t>
      </w:r>
    </w:p>
    <w:p>
      <w:pPr>
        <w:pStyle w:val="Heading1"/>
        <w:pageBreakBefore/>
        <w:spacing w:after="200"/>
      </w:pPr>
      <w:r>
        <w:rPr>
          <w:rFonts w:ascii="DejaVu Sans" w:hAnsi="DejaVu Sans"/>
          <w:b/>
          <w:color w:val="000000"/>
          <w:sz w:val="46"/>
        </w:rPr>
        <w:t>Aplicaciones y archivos</w:t>
      </w:r>
    </w:p>
    <w:p>
      <w:pPr>
        <w:spacing w:after="360"/>
      </w:pPr>
      <w:r>
        <w:rPr>
          <w:rFonts w:ascii="DejaVu Sans" w:hAnsi="DejaVu Sans"/>
          <w:b w:val="0"/>
          <w:color w:val="7890A5"/>
          <w:sz w:val="23"/>
        </w:rPr>
        <w:t>El sistema incluye variantes preparadas para web, documentos, presentaciones, impresión y redes.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896"/>
            <w:shd w:fill="06294D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4896"/>
            <w:shd w:fill="06294D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489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facthor8-horizontal.svg</w:t>
            </w:r>
          </w:p>
        </w:tc>
        <w:tc>
          <w:tcPr>
            <w:tcW w:type="dxa" w:w="489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Logo principal sobre fondos claros</w:t>
            </w:r>
          </w:p>
        </w:tc>
      </w:tr>
      <w:tr>
        <w:tc>
          <w:tcPr>
            <w:tcW w:type="dxa" w:w="4896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facthor8-horizontal-reverse.svg</w:t>
            </w:r>
          </w:p>
        </w:tc>
        <w:tc>
          <w:tcPr>
            <w:tcW w:type="dxa" w:w="4896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Logo inverso transparente sobre fondos oscuros</w:t>
            </w:r>
          </w:p>
        </w:tc>
      </w:tr>
      <w:tr>
        <w:tc>
          <w:tcPr>
            <w:tcW w:type="dxa" w:w="489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facthor8-horizontal-dark.svg</w:t>
            </w:r>
          </w:p>
        </w:tc>
        <w:tc>
          <w:tcPr>
            <w:tcW w:type="dxa" w:w="489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Logo sobre placa Deep Navy</w:t>
            </w:r>
          </w:p>
        </w:tc>
      </w:tr>
      <w:tr>
        <w:tc>
          <w:tcPr>
            <w:tcW w:type="dxa" w:w="4896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facthor8-horizontal-navy.svg</w:t>
            </w:r>
          </w:p>
        </w:tc>
        <w:tc>
          <w:tcPr>
            <w:tcW w:type="dxa" w:w="4896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Aplicación monocromática oscura</w:t>
            </w:r>
          </w:p>
        </w:tc>
      </w:tr>
      <w:tr>
        <w:tc>
          <w:tcPr>
            <w:tcW w:type="dxa" w:w="489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facthor8-horizontal-white.svg</w:t>
            </w:r>
          </w:p>
        </w:tc>
        <w:tc>
          <w:tcPr>
            <w:tcW w:type="dxa" w:w="489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Aplicación monocromática clara</w:t>
            </w:r>
          </w:p>
        </w:tc>
      </w:tr>
      <w:tr>
        <w:tc>
          <w:tcPr>
            <w:tcW w:type="dxa" w:w="4896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facthor8-symbol.svg</w:t>
            </w:r>
          </w:p>
        </w:tc>
        <w:tc>
          <w:tcPr>
            <w:tcW w:type="dxa" w:w="4896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Isotipo, favicon, avatar y marca de agua</w:t>
            </w:r>
          </w:p>
        </w:tc>
      </w:tr>
      <w:tr>
        <w:tc>
          <w:tcPr>
            <w:tcW w:type="dxa" w:w="489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PNG 3200 px</w:t>
            </w:r>
          </w:p>
        </w:tc>
        <w:tc>
          <w:tcPr>
            <w:tcW w:type="dxa" w:w="489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Presentaciones y documentos de alta resolución</w:t>
            </w:r>
          </w:p>
        </w:tc>
      </w:tr>
      <w:tr>
        <w:tc>
          <w:tcPr>
            <w:tcW w:type="dxa" w:w="4896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PNG isotipo 2048 px</w:t>
            </w:r>
          </w:p>
        </w:tc>
        <w:tc>
          <w:tcPr>
            <w:tcW w:type="dxa" w:w="4896"/>
            <w:shd w:fill="F1F5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D7E0E7"/>
              <w:left w:val="single" w:sz="8" w:color="D7E0E7"/>
              <w:bottom w:val="single" w:sz="8" w:color="D7E0E7"/>
              <w:right w:val="single" w:sz="8" w:color="D7E0E7"/>
              <w:insideH w:val="single" w:sz="8" w:color="D7E0E7"/>
              <w:insideV w:val="single" w:sz="8" w:color="D7E0E7"/>
            </w:tcBorders>
            <w:vAlign w:val="center"/>
          </w:tcPr>
          <w:p>
            <w:r>
              <w:rPr>
                <w:rFonts w:ascii="DejaVu Sans" w:hAnsi="DejaVu Sans"/>
                <w:b w:val="0"/>
                <w:color w:val="041C34"/>
                <w:sz w:val="18"/>
              </w:rPr>
              <w:t>Redes sociales y aplicaciones raster</w:t>
            </w:r>
          </w:p>
        </w:tc>
      </w:tr>
    </w:tbl>
    <w:p>
      <w:pPr>
        <w:spacing w:after="40"/>
      </w:pPr>
    </w:p>
    <w:p>
      <w:pPr>
        <w:spacing w:after="180" w:line="276" w:lineRule="auto"/>
      </w:pPr>
      <w:r>
        <w:rPr>
          <w:rFonts w:ascii="DejaVu Sans" w:hAnsi="DejaVu Sans"/>
          <w:b/>
          <w:color w:val="041C34"/>
          <w:sz w:val="21"/>
        </w:rPr>
        <w:t>Web.</w:t>
      </w:r>
      <w:r>
        <w:rPr>
          <w:rFonts w:ascii="DejaVu Sans" w:hAnsi="DejaVu Sans"/>
          <w:b w:val="0"/>
          <w:color w:val="041C34"/>
          <w:sz w:val="21"/>
        </w:rPr>
        <w:t xml:space="preserve"> Usar Deep Navy como fondo dominante y Human Green solo para acciones, métricas y señales importantes. El verde no debe superar aproximadamente el 15 % de la superficie visual.</w:t>
      </w:r>
    </w:p>
    <w:p>
      <w:pPr>
        <w:spacing w:after="180" w:line="276" w:lineRule="auto"/>
      </w:pPr>
      <w:r>
        <w:rPr>
          <w:rFonts w:ascii="DejaVu Sans" w:hAnsi="DejaVu Sans"/>
          <w:b/>
          <w:color w:val="041C34"/>
          <w:sz w:val="21"/>
        </w:rPr>
        <w:t>Documentos.</w:t>
      </w:r>
      <w:r>
        <w:rPr>
          <w:rFonts w:ascii="DejaVu Sans" w:hAnsi="DejaVu Sans"/>
          <w:b w:val="0"/>
          <w:color w:val="041C34"/>
          <w:sz w:val="21"/>
        </w:rPr>
        <w:t xml:space="preserve"> Priorizar fondos claros, logo principal y jerarquías sobrias. Reservar la versión inversa para portadas o separadores oscuros.</w:t>
      </w:r>
    </w:p>
    <w:p>
      <w:pPr>
        <w:spacing w:after="180" w:line="276" w:lineRule="auto"/>
      </w:pPr>
      <w:r>
        <w:rPr>
          <w:rFonts w:ascii="DejaVu Sans" w:hAnsi="DejaVu Sans"/>
          <w:b/>
          <w:color w:val="041C34"/>
          <w:sz w:val="21"/>
        </w:rPr>
        <w:t>Redes.</w:t>
      </w:r>
      <w:r>
        <w:rPr>
          <w:rFonts w:ascii="DejaVu Sans" w:hAnsi="DejaVu Sans"/>
          <w:b w:val="0"/>
          <w:color w:val="041C34"/>
          <w:sz w:val="21"/>
        </w:rPr>
        <w:t xml:space="preserve"> Utilizar el isotipo centrado con suficiente margen. No intentar incluir el wordmark completo dentro de avatares pequeños.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5184"/>
        </w:tcPr>
        <w:p>
          <w:pPr>
            <w:jc w:val="left"/>
          </w:pPr>
          <w:r>
            <w:rPr>
              <w:rFonts w:ascii="DejaVu Sans" w:hAnsi="DejaVu Sans"/>
              <w:b/>
              <w:color w:val="7890A5"/>
              <w:sz w:val="15"/>
            </w:rPr>
            <w:t>FACTHOR8  /  MANUAL DE MARCA</w:t>
          </w:r>
        </w:p>
      </w:tc>
      <w:tc>
        <w:tcPr>
          <w:tcW w:type="dxa" w:w="5184"/>
        </w:tcPr>
        <w:p>
          <w:pPr>
            <w:jc w:val="right"/>
          </w:pPr>
          <w:r>
            <w:rPr>
              <w:rFonts w:ascii="DejaVu Sans" w:hAnsi="DejaVu Sans"/>
              <w:b w:val="0"/>
              <w:color w:val="7890A5"/>
              <w:sz w:val="15"/>
            </w:rPr>
            <w:t>VERSIÓN 1.0  /  2026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color w:val="041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