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left"/>
      </w:pPr>
      <w:r>
        <w:rPr>
          <w:rFonts w:ascii="Arial" w:cs="Arial" w:eastAsia="Arial" w:hAnsi="Arial"/>
          <w:b/>
          <w:bCs/>
          <w:color w:val="1B5E20"/>
          <w:sz w:val="72"/>
          <w:szCs w:val="72"/>
        </w:rPr>
        <w:t xml:space="preserve">AGROBIP</w:t>
      </w:r>
    </w:p>
    <w:p>
      <w:pPr>
        <w:spacing w:after="60"/>
        <w:jc w:val="left"/>
      </w:pPr>
      <w:r>
        <w:rPr>
          <w:rFonts w:ascii="Arial" w:cs="Arial" w:eastAsia="Arial" w:hAnsi="Arial"/>
          <w:color w:val="2E7D32"/>
          <w:sz w:val="36"/>
          <w:szCs w:val="36"/>
        </w:rPr>
        <w:t xml:space="preserve">Enriquecimiento estratégico</w:t>
      </w:r>
    </w:p>
    <w:p>
      <w:pPr>
        <w:pBdr>
          <w:bottom w:val="single" w:color="2E7D32" w:sz="6" w:space="8"/>
        </w:pBdr>
        <w:spacing w:after="200"/>
        <w:jc w:val="left"/>
      </w:pPr>
      <w:r>
        <w:rPr>
          <w:rFonts w:ascii="Arial" w:cs="Arial" w:eastAsia="Arial" w:hAnsi="Arial"/>
          <w:color w:val="616161"/>
          <w:sz w:val="24"/>
          <w:szCs w:val="24"/>
        </w:rPr>
        <w:t xml:space="preserve">Oportunidades de mejora, funcionalidades nuevas y conexiones con el ecosistema existente</w:t>
      </w:r>
    </w:p>
    <w:p>
      <w:pPr>
        <w:spacing w:after="400"/>
      </w:pPr>
    </w:p>
    <w:p>
      <w:pPr>
        <w:spacing w:after="120"/>
        <w:jc w:val="left"/>
      </w:pPr>
      <w:r>
        <w:rPr>
          <w:rFonts w:ascii="Arial" w:cs="Arial" w:eastAsia="Arial" w:hAnsi="Arial"/>
          <w:b w:val="false"/>
          <w:bCs w:val="false"/>
          <w:i w:val="false"/>
          <w:iCs w:val="false"/>
          <w:color w:val="616161"/>
          <w:sz w:val="21"/>
          <w:szCs w:val="21"/>
        </w:rPr>
        <w:t xml:space="preserve">Addendum al Documento de Producto v1.0</w:t>
      </w:r>
    </w:p>
    <w:p>
      <w:pPr>
        <w:spacing w:after="120"/>
        <w:jc w:val="left"/>
      </w:pPr>
      <w:r>
        <w:rPr>
          <w:rFonts w:ascii="Arial" w:cs="Arial" w:eastAsia="Arial" w:hAnsi="Arial"/>
          <w:b w:val="false"/>
          <w:bCs w:val="false"/>
          <w:i w:val="false"/>
          <w:iCs w:val="false"/>
          <w:color w:val="616161"/>
          <w:sz w:val="21"/>
          <w:szCs w:val="21"/>
        </w:rPr>
        <w:t xml:space="preserve">Basado en investigación de mercado, tecnologías disponibles y benchmarking competitivo</w:t>
      </w:r>
    </w:p>
    <w:p>
      <w:pPr>
        <w:spacing w:after="120"/>
        <w:jc w:val="left"/>
      </w:pPr>
      <w:r>
        <w:rPr>
          <w:rFonts w:ascii="Arial" w:cs="Arial" w:eastAsia="Arial" w:hAnsi="Arial"/>
          <w:b w:val="false"/>
          <w:bCs w:val="false"/>
          <w:i w:val="false"/>
          <w:iCs w:val="false"/>
          <w:color w:val="616161"/>
          <w:sz w:val="21"/>
          <w:szCs w:val="21"/>
        </w:rPr>
        <w:t xml:space="preserve">Marzo 2026</w:t>
      </w:r>
    </w:p>
    <w:p>
      <w:pPr>
        <w:spacing w:after="2000"/>
      </w:pPr>
    </w:p>
    <w:p>
      <w:r>
        <w:rPr>
          <w:rFonts w:ascii="Arial" w:cs="Arial" w:eastAsia="Arial" w:hAnsi="Arial"/>
          <w:i/>
          <w:iCs/>
          <w:color w:val="616161"/>
          <w:sz w:val="20"/>
          <w:szCs w:val="20"/>
        </w:rPr>
        <w:t xml:space="preserve">Confidencial — Uso interno</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5E20"/>
          <w:sz w:val="32"/>
          <w:szCs w:val="32"/>
        </w:rPr>
        <w:t xml:space="preserve">A. Contexto competitivo: no estás solo, pero podés ir primero</w:t>
      </w:r>
    </w:p>
    <w:p>
      <w:pPr>
        <w:spacing w:after="120"/>
        <w:jc w:val="left"/>
      </w:pPr>
      <w:r>
        <w:rPr>
          <w:rFonts w:ascii="Arial" w:cs="Arial" w:eastAsia="Arial" w:hAnsi="Arial"/>
          <w:b w:val="false"/>
          <w:bCs w:val="false"/>
          <w:i w:val="false"/>
          <w:iCs w:val="false"/>
          <w:color w:val="212121"/>
          <w:sz w:val="21"/>
          <w:szCs w:val="21"/>
        </w:rPr>
        <w:t xml:space="preserve">Antes de enriquecer el producto, es importante entender qué ya existe en el mercado argentino y qué espacio real tiene AgroBip.</w:t>
      </w:r>
    </w:p>
    <w:p>
      <w:pPr>
        <w:pStyle w:val="Heading2"/>
        <w:spacing w:before="280" w:after="160"/>
      </w:pPr>
      <w:r>
        <w:rPr>
          <w:rFonts w:ascii="Arial" w:cs="Arial" w:eastAsia="Arial" w:hAnsi="Arial"/>
          <w:b/>
          <w:bCs/>
          <w:color w:val="2E7D32"/>
          <w:sz w:val="26"/>
          <w:szCs w:val="26"/>
        </w:rPr>
        <w:t xml:space="preserve">A.1 BBVA Agro Advisor</w:t>
      </w:r>
    </w:p>
    <w:p>
      <w:pPr>
        <w:spacing w:after="120"/>
        <w:jc w:val="left"/>
      </w:pPr>
      <w:r>
        <w:rPr>
          <w:rFonts w:ascii="Arial" w:cs="Arial" w:eastAsia="Arial" w:hAnsi="Arial"/>
          <w:b w:val="false"/>
          <w:bCs w:val="false"/>
          <w:i w:val="false"/>
          <w:iCs w:val="false"/>
          <w:color w:val="212121"/>
          <w:sz w:val="21"/>
          <w:szCs w:val="21"/>
        </w:rPr>
        <w:t xml:space="preserve">BBVA lanzó en febrero 2026 una herramienta llamada Agro Advisor, presentada en Expoagro. Usa inteligencia artificial y datos geoespaciales para que los ejecutivos comerciales accedan al historial productivo de lotes (soja, maíz, trigo) con datos de hasta cinco campañas, proyecten valor de cosecha y personalicen propuestas financieras.</w:t>
      </w:r>
    </w:p>
    <w:p>
      <w:pPr>
        <w:spacing w:before="200" w:after="120"/>
      </w:pPr>
      <w:r>
        <w:rPr>
          <w:rFonts w:ascii="Arial" w:cs="Arial" w:eastAsia="Arial" w:hAnsi="Arial"/>
          <w:b/>
          <w:bCs/>
          <w:color w:val="616161"/>
          <w:sz w:val="22"/>
          <w:szCs w:val="22"/>
        </w:rPr>
        <w:t xml:space="preserve">Qué hace bien</w:t>
      </w:r>
    </w:p>
    <w:p>
      <w:pPr>
        <w:pStyle w:val="ListParagraph"/>
        <w:numPr>
          <w:ilvl w:val="0"/>
          <w:numId w:val="2"/>
        </w:numPr>
        <w:spacing w:after="60"/>
      </w:pPr>
      <w:r>
        <w:rPr>
          <w:rFonts w:ascii="Arial" w:cs="Arial" w:eastAsia="Arial" w:hAnsi="Arial"/>
          <w:color w:val="212121"/>
          <w:sz w:val="21"/>
          <w:szCs w:val="21"/>
        </w:rPr>
        <w:t xml:space="preserve">Foco en el ejecutivo comercial como usuario, no en el productor</w:t>
      </w:r>
    </w:p>
    <w:p>
      <w:pPr>
        <w:pStyle w:val="ListParagraph"/>
        <w:numPr>
          <w:ilvl w:val="0"/>
          <w:numId w:val="2"/>
        </w:numPr>
        <w:spacing w:after="60"/>
      </w:pPr>
      <w:r>
        <w:rPr>
          <w:rFonts w:ascii="Arial" w:cs="Arial" w:eastAsia="Arial" w:hAnsi="Arial"/>
          <w:color w:val="212121"/>
          <w:sz w:val="21"/>
          <w:szCs w:val="21"/>
        </w:rPr>
        <w:t xml:space="preserve">Visualiza historial productivo por lote con mapas interactivos</w:t>
      </w:r>
    </w:p>
    <w:p>
      <w:pPr>
        <w:pStyle w:val="ListParagraph"/>
        <w:numPr>
          <w:ilvl w:val="0"/>
          <w:numId w:val="2"/>
        </w:numPr>
        <w:spacing w:after="60"/>
      </w:pPr>
      <w:r>
        <w:rPr>
          <w:rFonts w:ascii="Arial" w:cs="Arial" w:eastAsia="Arial" w:hAnsi="Arial"/>
          <w:color w:val="212121"/>
          <w:sz w:val="21"/>
          <w:szCs w:val="21"/>
        </w:rPr>
        <w:t xml:space="preserve">Proyecta valor de cosecha con IA para personalizar la oferta</w:t>
      </w:r>
    </w:p>
    <w:p>
      <w:pPr>
        <w:pStyle w:val="ListParagraph"/>
        <w:numPr>
          <w:ilvl w:val="0"/>
          <w:numId w:val="2"/>
        </w:numPr>
        <w:spacing w:after="60"/>
      </w:pPr>
      <w:r>
        <w:rPr>
          <w:rFonts w:ascii="Arial" w:cs="Arial" w:eastAsia="Arial" w:hAnsi="Arial"/>
          <w:color w:val="212121"/>
          <w:sz w:val="21"/>
          <w:szCs w:val="21"/>
        </w:rPr>
        <w:t xml:space="preserve">Orientada a captación de nuevas empresas y PyMEs agro</w:t>
      </w:r>
    </w:p>
    <w:p>
      <w:pPr>
        <w:spacing w:before="200" w:after="120"/>
      </w:pPr>
      <w:r>
        <w:rPr>
          <w:rFonts w:ascii="Arial" w:cs="Arial" w:eastAsia="Arial" w:hAnsi="Arial"/>
          <w:b/>
          <w:bCs/>
          <w:color w:val="616161"/>
          <w:sz w:val="22"/>
          <w:szCs w:val="22"/>
        </w:rPr>
        <w:t xml:space="preserve">Dónde AgroBip puede superarlo</w:t>
      </w:r>
    </w:p>
    <w:p>
      <w:pPr>
        <w:pStyle w:val="ListParagraph"/>
        <w:numPr>
          <w:ilvl w:val="0"/>
          <w:numId w:val="2"/>
        </w:numPr>
        <w:spacing w:after="60"/>
      </w:pPr>
      <w:r>
        <w:rPr>
          <w:rFonts w:ascii="Arial" w:cs="Arial" w:eastAsia="Arial" w:hAnsi="Arial"/>
          <w:b/>
          <w:bCs/>
          <w:color w:val="212121"/>
          <w:sz w:val="21"/>
          <w:szCs w:val="21"/>
        </w:rPr>
        <w:t xml:space="preserve">Agro Advisor es reactivo a nivel lote: </w:t>
      </w:r>
      <w:r>
        <w:rPr>
          <w:rFonts w:ascii="Arial" w:cs="Arial" w:eastAsia="Arial" w:hAnsi="Arial"/>
          <w:color w:val="212121"/>
          <w:sz w:val="21"/>
          <w:szCs w:val="21"/>
        </w:rPr>
        <w:t xml:space="preserve">AgroBip es proactivo a nivel territorial. BBVA mira un campo cuando ya tiene al cliente; AgroBip detecta la zona caliente antes de tener al cliente.</w:t>
      </w:r>
    </w:p>
    <w:p>
      <w:pPr>
        <w:pStyle w:val="ListParagraph"/>
        <w:numPr>
          <w:ilvl w:val="0"/>
          <w:numId w:val="2"/>
        </w:numPr>
        <w:spacing w:after="60"/>
      </w:pPr>
      <w:r>
        <w:rPr>
          <w:rFonts w:ascii="Arial" w:cs="Arial" w:eastAsia="Arial" w:hAnsi="Arial"/>
          <w:b/>
          <w:bCs/>
          <w:color w:val="212121"/>
          <w:sz w:val="21"/>
          <w:szCs w:val="21"/>
        </w:rPr>
        <w:t xml:space="preserve">No tiene lógica de priorización: </w:t>
      </w:r>
      <w:r>
        <w:rPr>
          <w:rFonts w:ascii="Arial" w:cs="Arial" w:eastAsia="Arial" w:hAnsi="Arial"/>
          <w:color w:val="212121"/>
          <w:sz w:val="21"/>
          <w:szCs w:val="21"/>
        </w:rPr>
        <w:t xml:space="preserve">Agro Advisor no responde “a dónde ir primero esta semana”. AgroBip sí.</w:t>
      </w:r>
    </w:p>
    <w:p>
      <w:pPr>
        <w:pStyle w:val="ListParagraph"/>
        <w:numPr>
          <w:ilvl w:val="0"/>
          <w:numId w:val="2"/>
        </w:numPr>
        <w:spacing w:after="60"/>
      </w:pPr>
      <w:r>
        <w:rPr>
          <w:rFonts w:ascii="Arial" w:cs="Arial" w:eastAsia="Arial" w:hAnsi="Arial"/>
          <w:b/>
          <w:bCs/>
          <w:color w:val="212121"/>
          <w:sz w:val="21"/>
          <w:szCs w:val="21"/>
        </w:rPr>
        <w:t xml:space="preserve">No cruza riesgo con oportunidad: </w:t>
      </w:r>
      <w:r>
        <w:rPr>
          <w:rFonts w:ascii="Arial" w:cs="Arial" w:eastAsia="Arial" w:hAnsi="Arial"/>
          <w:color w:val="212121"/>
          <w:sz w:val="21"/>
          <w:szCs w:val="21"/>
        </w:rPr>
        <w:t xml:space="preserve">Agro Advisor muestra datos productivos; AgroBip infiere necesidad financiera.</w:t>
      </w:r>
    </w:p>
    <w:p>
      <w:pPr>
        <w:pStyle w:val="Heading2"/>
        <w:spacing w:before="280" w:after="160"/>
      </w:pPr>
      <w:r>
        <w:rPr>
          <w:rFonts w:ascii="Arial" w:cs="Arial" w:eastAsia="Arial" w:hAnsi="Arial"/>
          <w:b/>
          <w:bCs/>
          <w:color w:val="2E7D32"/>
          <w:sz w:val="26"/>
          <w:szCs w:val="26"/>
        </w:rPr>
        <w:t xml:space="preserve">A.2 Otras herramientas del mercado argentino</w:t>
      </w:r>
    </w:p>
    <w:p>
      <w:pPr>
        <w:pStyle w:val="ListParagraph"/>
        <w:numPr>
          <w:ilvl w:val="0"/>
          <w:numId w:val="2"/>
        </w:numPr>
        <w:spacing w:after="60"/>
      </w:pPr>
      <w:r>
        <w:rPr>
          <w:rFonts w:ascii="Arial" w:cs="Arial" w:eastAsia="Arial" w:hAnsi="Arial"/>
          <w:b/>
          <w:bCs/>
          <w:color w:val="212121"/>
          <w:sz w:val="21"/>
          <w:szCs w:val="21"/>
        </w:rPr>
        <w:t xml:space="preserve">Banco Macro — Red Agro: </w:t>
      </w:r>
      <w:r>
        <w:rPr>
          <w:rFonts w:ascii="Arial" w:cs="Arial" w:eastAsia="Arial" w:hAnsi="Arial"/>
          <w:color w:val="212121"/>
          <w:sz w:val="21"/>
          <w:szCs w:val="21"/>
        </w:rPr>
        <w:t xml:space="preserve">Portal de gestión de créditos digitales. Foco en originación, no en inteligencia territorial.</w:t>
      </w:r>
    </w:p>
    <w:p>
      <w:pPr>
        <w:pStyle w:val="ListParagraph"/>
        <w:numPr>
          <w:ilvl w:val="0"/>
          <w:numId w:val="2"/>
        </w:numPr>
        <w:spacing w:after="60"/>
      </w:pPr>
      <w:r>
        <w:rPr>
          <w:rFonts w:ascii="Arial" w:cs="Arial" w:eastAsia="Arial" w:hAnsi="Arial"/>
          <w:b/>
          <w:bCs/>
          <w:color w:val="212121"/>
          <w:sz w:val="21"/>
          <w:szCs w:val="21"/>
        </w:rPr>
        <w:t xml:space="preserve">Banco Galicia — Plataforma NERA: </w:t>
      </w:r>
      <w:r>
        <w:rPr>
          <w:rFonts w:ascii="Arial" w:cs="Arial" w:eastAsia="Arial" w:hAnsi="Arial"/>
          <w:color w:val="212121"/>
          <w:sz w:val="21"/>
          <w:szCs w:val="21"/>
        </w:rPr>
        <w:t xml:space="preserve">Plataforma digital de financiamiento agro compartida con Santander. Foco transaccional, sin capa de anticipación.</w:t>
      </w:r>
    </w:p>
    <w:p>
      <w:pPr>
        <w:pStyle w:val="ListParagraph"/>
        <w:numPr>
          <w:ilvl w:val="0"/>
          <w:numId w:val="2"/>
        </w:numPr>
        <w:spacing w:after="60"/>
      </w:pPr>
      <w:r>
        <w:rPr>
          <w:rFonts w:ascii="Arial" w:cs="Arial" w:eastAsia="Arial" w:hAnsi="Arial"/>
          <w:b/>
          <w:bCs/>
          <w:color w:val="212121"/>
          <w:sz w:val="21"/>
          <w:szCs w:val="21"/>
        </w:rPr>
        <w:t xml:space="preserve">Banco Provincia — Procampo Digital: </w:t>
      </w:r>
      <w:r>
        <w:rPr>
          <w:rFonts w:ascii="Arial" w:cs="Arial" w:eastAsia="Arial" w:hAnsi="Arial"/>
          <w:color w:val="212121"/>
          <w:sz w:val="21"/>
          <w:szCs w:val="21"/>
        </w:rPr>
        <w:t xml:space="preserve">Compra de insumos desde homebanking. Operativo, no estratégico.</w:t>
      </w:r>
    </w:p>
    <w:p>
      <w:pPr>
        <w:spacing w:after="100"/>
      </w:pPr>
    </w:p>
    <w:p>
      <w:pPr>
        <w:spacing w:after="120"/>
      </w:pPr>
      <w:r>
        <w:rPr>
          <w:rFonts w:ascii="Arial" w:cs="Arial" w:eastAsia="Arial" w:hAnsi="Arial"/>
          <w:b/>
          <w:bCs/>
          <w:color w:val="1B5E20"/>
          <w:sz w:val="22"/>
          <w:szCs w:val="22"/>
        </w:rPr>
        <w:t xml:space="preserve">Conclusión: </w:t>
      </w:r>
      <w:r>
        <w:rPr>
          <w:rFonts w:ascii="Arial" w:cs="Arial" w:eastAsia="Arial" w:hAnsi="Arial"/>
          <w:color w:val="212121"/>
          <w:sz w:val="21"/>
          <w:szCs w:val="21"/>
        </w:rPr>
        <w:t xml:space="preserve">Ninguna herramienta bancaria en Argentina combina hoy las tres capas de AgroBip (territorial + inferencia + priorización). El espacio está abierto. Pero BBVA está cerca, y se mueve rápido.</w:t>
      </w:r>
    </w:p>
    <w:p>
      <w:r>
        <w:br w:type="page"/>
      </w:r>
    </w:p>
    <w:p>
      <w:pPr>
        <w:pStyle w:val="Heading1"/>
        <w:spacing w:before="360" w:after="200"/>
      </w:pPr>
      <w:r>
        <w:rPr>
          <w:rFonts w:ascii="Arial" w:cs="Arial" w:eastAsia="Arial" w:hAnsi="Arial"/>
          <w:b/>
          <w:bCs/>
          <w:color w:val="1B5E20"/>
          <w:sz w:val="32"/>
          <w:szCs w:val="32"/>
        </w:rPr>
        <w:t xml:space="preserve">B. Gran oportunidad: capa satelital con Sentinel-2 y Google Earth Engine</w:t>
      </w:r>
    </w:p>
    <w:p>
      <w:pPr>
        <w:spacing w:after="120"/>
        <w:jc w:val="left"/>
      </w:pPr>
      <w:r>
        <w:rPr>
          <w:rFonts w:ascii="Arial" w:cs="Arial" w:eastAsia="Arial" w:hAnsi="Arial"/>
          <w:b w:val="false"/>
          <w:bCs w:val="false"/>
          <w:i w:val="false"/>
          <w:iCs w:val="false"/>
          <w:color w:val="212121"/>
          <w:sz w:val="21"/>
          <w:szCs w:val="21"/>
        </w:rPr>
        <w:t xml:space="preserve">Esta es probablemente la mejora más transformadora que se le puede hacer a AgroBip. El documento original apoya el scoring en datos de la ORA (reservas de agua en suelo). Eso está bien, pero tiene limitaciones: los datos de ORA vienen en formato JPG y SHAPE, se actualizan semanalmente, y no cubren indicadores de salud de cultivo en tiempo casi-real.</w:t>
      </w:r>
    </w:p>
    <w:p>
      <w:pPr>
        <w:pStyle w:val="Heading2"/>
        <w:spacing w:before="280" w:after="160"/>
      </w:pPr>
      <w:r>
        <w:rPr>
          <w:rFonts w:ascii="Arial" w:cs="Arial" w:eastAsia="Arial" w:hAnsi="Arial"/>
          <w:b/>
          <w:bCs/>
          <w:color w:val="2E7D32"/>
          <w:sz w:val="26"/>
          <w:szCs w:val="26"/>
        </w:rPr>
        <w:t xml:space="preserve">B.1 Qué es y por qué cambia el juego</w:t>
      </w:r>
    </w:p>
    <w:p>
      <w:pPr>
        <w:spacing w:after="120"/>
        <w:jc w:val="left"/>
      </w:pPr>
      <w:r>
        <w:rPr>
          <w:rFonts w:ascii="Arial" w:cs="Arial" w:eastAsia="Arial" w:hAnsi="Arial"/>
          <w:b w:val="false"/>
          <w:bCs w:val="false"/>
          <w:i w:val="false"/>
          <w:iCs w:val="false"/>
          <w:color w:val="212121"/>
          <w:sz w:val="21"/>
          <w:szCs w:val="21"/>
        </w:rPr>
        <w:t xml:space="preserve">Sentinel-2 es el programa de observación terrestre de la Agencia Espacial Europea (ESA) dentro del programa Copernicus. Proporciona imágenes multiespectrales de 10 metros de resolución, gratuitas, cada 3–5 días. Con esas imágenes se pueden calcular índices de vegetación que revelan la salud de los cultivos antes de que los problemas sean visibles a simple vista.</w:t>
      </w:r>
    </w:p>
    <w:p>
      <w:pPr>
        <w:spacing w:before="200" w:after="120"/>
      </w:pPr>
      <w:r>
        <w:rPr>
          <w:rFonts w:ascii="Arial" w:cs="Arial" w:eastAsia="Arial" w:hAnsi="Arial"/>
          <w:b/>
          <w:bCs/>
          <w:color w:val="616161"/>
          <w:sz w:val="22"/>
          <w:szCs w:val="22"/>
        </w:rPr>
        <w:t xml:space="preserve">Indices clave para AgroBip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Índice</w:t>
            </w:r>
          </w:p>
        </w:tc>
        <w:tc>
          <w:tcPr>
            <w:tcW w:type="dxa" w:w="37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Qué mide</w:t>
            </w:r>
          </w:p>
        </w:tc>
        <w:tc>
          <w:tcPr>
            <w:tcW w:type="dxa" w:w="37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Uso en AgroBip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NDVI</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Vigor vegetativo. Compara reflectancia infrarroja cercana vs. roja. Valores 0.6–0.9 = cultivo sano.</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Señal principal de estrés de cultivo a nivel departamento. Caída de NDVI = alerta temprana de problema productivo.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NDMI</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Contenido de humedad en la vegetación. Detecta estrés hídrico antes de que se manifieste visualmente.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Complementa la reserva de agua de ORA con dato directo de la planta. Más preciso para inferir necesidad de seguro/riego.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EVI</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Vegetación mejorado. Corrige interferencia atmosférica. Más preciso en zonas de alta densidad.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Alternativa al NDVI en zonas de Pampa Húmeda con alta cobertura vegetal donde NDVI se satura.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SAVI</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Ajustado al suelo. Reduce ruido de suelo desnudo en etapas tempranas.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Útil para monitorear emergencia temprana de cultivos y detectar cambios de siembra.</w:t>
            </w:r>
          </w:p>
        </w:tc>
      </w:tr>
    </w:tbl>
    <w:p>
      <w:pPr>
        <w:pStyle w:val="Heading2"/>
        <w:spacing w:before="280" w:after="160"/>
      </w:pPr>
      <w:r>
        <w:rPr>
          <w:rFonts w:ascii="Arial" w:cs="Arial" w:eastAsia="Arial" w:hAnsi="Arial"/>
          <w:b/>
          <w:bCs/>
          <w:color w:val="2E7D32"/>
          <w:sz w:val="26"/>
          <w:szCs w:val="26"/>
        </w:rPr>
        <w:t xml:space="preserve">B.2 Google Earth Engine como infraestructura</w:t>
      </w:r>
    </w:p>
    <w:p>
      <w:pPr>
        <w:spacing w:after="120"/>
        <w:jc w:val="left"/>
      </w:pPr>
      <w:r>
        <w:rPr>
          <w:rFonts w:ascii="Arial" w:cs="Arial" w:eastAsia="Arial" w:hAnsi="Arial"/>
          <w:b w:val="false"/>
          <w:bCs w:val="false"/>
          <w:i w:val="false"/>
          <w:iCs w:val="false"/>
          <w:color w:val="212121"/>
          <w:sz w:val="21"/>
          <w:szCs w:val="21"/>
        </w:rPr>
        <w:t xml:space="preserve">Google Earth Engine (GEE) es una plataforma cloud que da acceso a más de 80 petabytes de imágenes satelitales y permite procesarlas sin descargarlas. Es gratuita para uso no comercial y tiene precios razonables para uso comercial.</w:t>
      </w:r>
    </w:p>
    <w:p>
      <w:pPr>
        <w:spacing w:before="200" w:after="120"/>
      </w:pPr>
      <w:r>
        <w:rPr>
          <w:rFonts w:ascii="Arial" w:cs="Arial" w:eastAsia="Arial" w:hAnsi="Arial"/>
          <w:b/>
          <w:bCs/>
          <w:color w:val="616161"/>
          <w:sz w:val="22"/>
          <w:szCs w:val="22"/>
        </w:rPr>
        <w:t xml:space="preserve">Por qué usar GEE en AgroBip</w:t>
      </w:r>
    </w:p>
    <w:p>
      <w:pPr>
        <w:pStyle w:val="ListParagraph"/>
        <w:numPr>
          <w:ilvl w:val="0"/>
          <w:numId w:val="2"/>
        </w:numPr>
        <w:spacing w:after="60"/>
      </w:pPr>
      <w:r>
        <w:rPr>
          <w:rFonts w:ascii="Arial" w:cs="Arial" w:eastAsia="Arial" w:hAnsi="Arial"/>
          <w:b/>
          <w:bCs/>
          <w:color w:val="212121"/>
          <w:sz w:val="21"/>
          <w:szCs w:val="21"/>
        </w:rPr>
        <w:t xml:space="preserve">No necesitás almacenar imágenes: </w:t>
      </w:r>
      <w:r>
        <w:rPr>
          <w:rFonts w:ascii="Arial" w:cs="Arial" w:eastAsia="Arial" w:hAnsi="Arial"/>
          <w:color w:val="212121"/>
          <w:sz w:val="21"/>
          <w:szCs w:val="21"/>
        </w:rPr>
        <w:t xml:space="preserve">GEE las procesa en la nube y te devuelve solo el resultado (NDVI promedio por departamento, serie temporal, etc.)</w:t>
      </w:r>
    </w:p>
    <w:p>
      <w:pPr>
        <w:pStyle w:val="ListParagraph"/>
        <w:numPr>
          <w:ilvl w:val="0"/>
          <w:numId w:val="2"/>
        </w:numPr>
        <w:spacing w:after="60"/>
      </w:pPr>
      <w:r>
        <w:rPr>
          <w:rFonts w:ascii="Arial" w:cs="Arial" w:eastAsia="Arial" w:hAnsi="Arial"/>
          <w:b/>
          <w:bCs/>
          <w:color w:val="212121"/>
          <w:sz w:val="21"/>
          <w:szCs w:val="21"/>
        </w:rPr>
        <w:t xml:space="preserve">Histórico gratis: </w:t>
      </w:r>
      <w:r>
        <w:rPr>
          <w:rFonts w:ascii="Arial" w:cs="Arial" w:eastAsia="Arial" w:hAnsi="Arial"/>
          <w:color w:val="212121"/>
          <w:sz w:val="21"/>
          <w:szCs w:val="21"/>
        </w:rPr>
        <w:t xml:space="preserve">Acceso a más de 10 años de Sentinel-2 y Landsat. Podés calcular la “normalidad” de cada zona y detectar anomalías.</w:t>
      </w:r>
    </w:p>
    <w:p>
      <w:pPr>
        <w:pStyle w:val="ListParagraph"/>
        <w:numPr>
          <w:ilvl w:val="0"/>
          <w:numId w:val="2"/>
        </w:numPr>
        <w:spacing w:after="60"/>
      </w:pPr>
      <w:r>
        <w:rPr>
          <w:rFonts w:ascii="Arial" w:cs="Arial" w:eastAsia="Arial" w:hAnsi="Arial"/>
          <w:b/>
          <w:bCs/>
          <w:color w:val="212121"/>
          <w:sz w:val="21"/>
          <w:szCs w:val="21"/>
        </w:rPr>
        <w:t xml:space="preserve">Escala sin infraestructura: </w:t>
      </w:r>
      <w:r>
        <w:rPr>
          <w:rFonts w:ascii="Arial" w:cs="Arial" w:eastAsia="Arial" w:hAnsi="Arial"/>
          <w:color w:val="212121"/>
          <w:sz w:val="21"/>
          <w:szCs w:val="21"/>
        </w:rPr>
        <w:t xml:space="preserve">Con 50 líneas de código podés procesar toda la Pampa Húmeda.</w:t>
      </w:r>
    </w:p>
    <w:p>
      <w:pPr>
        <w:pStyle w:val="ListParagraph"/>
        <w:numPr>
          <w:ilvl w:val="0"/>
          <w:numId w:val="2"/>
        </w:numPr>
        <w:spacing w:after="60"/>
      </w:pPr>
      <w:r>
        <w:rPr>
          <w:rFonts w:ascii="Arial" w:cs="Arial" w:eastAsia="Arial" w:hAnsi="Arial"/>
          <w:b/>
          <w:bCs/>
          <w:color w:val="212121"/>
          <w:sz w:val="21"/>
          <w:szCs w:val="21"/>
        </w:rPr>
        <w:t xml:space="preserve">Integración via API: </w:t>
      </w:r>
      <w:r>
        <w:rPr>
          <w:rFonts w:ascii="Arial" w:cs="Arial" w:eastAsia="Arial" w:hAnsi="Arial"/>
          <w:color w:val="212121"/>
          <w:sz w:val="21"/>
          <w:szCs w:val="21"/>
        </w:rPr>
        <w:t xml:space="preserve">Los resultados se pueden consumir programáticamente desde el backend de AgroBip.</w:t>
      </w:r>
    </w:p>
    <w:p>
      <w:pPr>
        <w:spacing w:before="200" w:after="120"/>
      </w:pPr>
      <w:r>
        <w:rPr>
          <w:rFonts w:ascii="Arial" w:cs="Arial" w:eastAsia="Arial" w:hAnsi="Arial"/>
          <w:b/>
          <w:bCs/>
          <w:color w:val="616161"/>
          <w:sz w:val="22"/>
          <w:szCs w:val="22"/>
        </w:rPr>
        <w:t xml:space="preserve">Impacto en el scoring</w:t>
      </w:r>
    </w:p>
    <w:p>
      <w:pPr>
        <w:spacing w:after="120"/>
        <w:jc w:val="left"/>
      </w:pPr>
      <w:r>
        <w:rPr>
          <w:rFonts w:ascii="Arial" w:cs="Arial" w:eastAsia="Arial" w:hAnsi="Arial"/>
          <w:b w:val="false"/>
          <w:bCs w:val="false"/>
          <w:i w:val="false"/>
          <w:iCs w:val="false"/>
          <w:color w:val="212121"/>
          <w:sz w:val="21"/>
          <w:szCs w:val="21"/>
        </w:rPr>
        <w:t xml:space="preserve">Con datos satelitales, el scoring de AgroBip pasa de 4 dimensiones a 5, y la dimensión de estrés hídrico se vuelve mucho más robusta: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730"/>
        <w:gridCol w:w="2730"/>
      </w:tblGrid>
      <w:t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Dimensión</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Peso</w:t>
            </w:r>
          </w:p>
        </w:tc>
        <w:tc>
          <w:tcPr>
            <w:tcW w:type="dxa" w:w="273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Antes (v1)</w:t>
            </w:r>
          </w:p>
        </w:tc>
        <w:tc>
          <w:tcPr>
            <w:tcW w:type="dxa" w:w="273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Con satélite (v2)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Estrés hídrico / cultivo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35%</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Solo reserva de agua ORA</w:t>
            </w:r>
          </w:p>
        </w:tc>
        <w:tc>
          <w:tcPr>
            <w:tcW w:type="dxa" w:w="27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ORA + NDVI + NDMI de Sentinel-2. Triple validación cruzada.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Perfil productivo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20%</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Estimaciones MAGyP estáticas</w:t>
            </w:r>
          </w:p>
        </w:tc>
        <w:tc>
          <w:tcPr>
            <w:tcW w:type="dxa" w:w="27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MAGyP + clasificación de cultivo satélite + estado fenólogico real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Dinámica de cambio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15%</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Comparación entre campañas MAGyP</w:t>
            </w:r>
          </w:p>
        </w:tc>
        <w:tc>
          <w:tcPr>
            <w:tcW w:type="dxa" w:w="27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Comparación NDVI actual vs. histórico de la misma época en los últimos 5 años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Emergencia / riesgo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15%</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Declaraciones oficiales</w:t>
            </w:r>
          </w:p>
        </w:tc>
        <w:tc>
          <w:tcPr>
            <w:tcW w:type="dxa" w:w="27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Declaraciones + detección temprana de anomalía satelital antes de declaración oficial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7D32"/>
                <w:sz w:val="20"/>
                <w:szCs w:val="20"/>
              </w:rPr>
              <w:t xml:space="preserve">Potencial Score (NUEVO)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15%</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No existía</w:t>
            </w:r>
          </w:p>
        </w:tc>
        <w:tc>
          <w:tcPr>
            <w:tcW w:type="dxa" w:w="27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Rendimiento actual vs. rendimiento histórico de la zona para el mismo cultivo. Proxy de potencial de cosecha.</w:t>
            </w:r>
          </w:p>
        </w:tc>
      </w:tr>
    </w:tbl>
    <w:p>
      <w:pPr>
        <w:spacing w:after="100"/>
      </w:pPr>
    </w:p>
    <w:p>
      <w:pPr>
        <w:spacing w:after="120"/>
      </w:pPr>
      <w:r>
        <w:rPr>
          <w:rFonts w:ascii="Arial" w:cs="Arial" w:eastAsia="Arial" w:hAnsi="Arial"/>
          <w:b w:val="false"/>
          <w:bCs w:val="false"/>
          <w:i/>
          <w:iCs/>
          <w:color w:val="2E7D32"/>
          <w:sz w:val="21"/>
          <w:szCs w:val="21"/>
        </w:rPr>
        <w:t xml:space="preserve">Esto es exactamente lo que hace BBVA con Agro Advisor, pero a nivel lote individual. AgroBip lo haría a nivel territorial, que es más potente para priorización comercial.</w:t>
      </w:r>
    </w:p>
    <w:p>
      <w:r>
        <w:br w:type="page"/>
      </w:r>
    </w:p>
    <w:p>
      <w:pPr>
        <w:pStyle w:val="Heading1"/>
        <w:spacing w:before="360" w:after="200"/>
      </w:pPr>
      <w:r>
        <w:rPr>
          <w:rFonts w:ascii="Arial" w:cs="Arial" w:eastAsia="Arial" w:hAnsi="Arial"/>
          <w:b/>
          <w:bCs/>
          <w:color w:val="1B5E20"/>
          <w:sz w:val="32"/>
          <w:szCs w:val="32"/>
        </w:rPr>
        <w:t xml:space="preserve">C. Seguro paramétrico: la funcionalidad que puede convertir AgroBip en plataforma</w:t>
      </w:r>
    </w:p>
    <w:p>
      <w:pPr>
        <w:spacing w:after="120"/>
        <w:jc w:val="left"/>
      </w:pPr>
      <w:r>
        <w:rPr>
          <w:rFonts w:ascii="Arial" w:cs="Arial" w:eastAsia="Arial" w:hAnsi="Arial"/>
          <w:b w:val="false"/>
          <w:bCs w:val="false"/>
          <w:i w:val="false"/>
          <w:iCs w:val="false"/>
          <w:color w:val="212121"/>
          <w:sz w:val="21"/>
          <w:szCs w:val="21"/>
        </w:rPr>
        <w:t xml:space="preserve">El seguro paramétrico (o indexado) es una de las tendencias más fuertes en agro-insurtech global. En vez de ajustar pérdidas campo por campo, el pago se dispara automáticamente cuando un índice medible (lluvia, temperatura, NDVI, humedad de suelo) cruza un umbral predefinido. Munich Re ya desarrolló el primer producto paramétrico de sequía para Argentina usando imágenes satelitales.</w:t>
      </w:r>
    </w:p>
    <w:p>
      <w:pPr>
        <w:pStyle w:val="Heading2"/>
        <w:spacing w:before="280" w:after="160"/>
      </w:pPr>
      <w:r>
        <w:rPr>
          <w:rFonts w:ascii="Arial" w:cs="Arial" w:eastAsia="Arial" w:hAnsi="Arial"/>
          <w:b/>
          <w:bCs/>
          <w:color w:val="2E7D32"/>
          <w:sz w:val="26"/>
          <w:szCs w:val="26"/>
        </w:rPr>
        <w:t xml:space="preserve">C.1 Por qué esto le importa a AgroBip</w:t>
      </w:r>
    </w:p>
    <w:p>
      <w:pPr>
        <w:pStyle w:val="ListParagraph"/>
        <w:numPr>
          <w:ilvl w:val="0"/>
          <w:numId w:val="2"/>
        </w:numPr>
        <w:spacing w:after="60"/>
      </w:pPr>
      <w:r>
        <w:rPr>
          <w:rFonts w:ascii="Arial" w:cs="Arial" w:eastAsia="Arial" w:hAnsi="Arial"/>
          <w:b/>
          <w:bCs/>
          <w:color w:val="212121"/>
          <w:sz w:val="21"/>
          <w:szCs w:val="21"/>
        </w:rPr>
        <w:t xml:space="preserve">AgroBip ya tiene los datos: </w:t>
      </w:r>
      <w:r>
        <w:rPr>
          <w:rFonts w:ascii="Arial" w:cs="Arial" w:eastAsia="Arial" w:hAnsi="Arial"/>
          <w:color w:val="212121"/>
          <w:sz w:val="21"/>
          <w:szCs w:val="21"/>
        </w:rPr>
        <w:t xml:space="preserve">Si integrás Sentinel-2 + ORA + datos meteorológicos, AgroBip tiene exactamente la información que necesita un seguro paramétrico para disparar: índices de vegetación, humedad de suelo, precipitación acumulada.</w:t>
      </w:r>
    </w:p>
    <w:p>
      <w:pPr>
        <w:pStyle w:val="ListParagraph"/>
        <w:numPr>
          <w:ilvl w:val="0"/>
          <w:numId w:val="2"/>
        </w:numPr>
        <w:spacing w:after="60"/>
      </w:pPr>
      <w:r>
        <w:rPr>
          <w:rFonts w:ascii="Arial" w:cs="Arial" w:eastAsia="Arial" w:hAnsi="Arial"/>
          <w:b/>
          <w:bCs/>
          <w:color w:val="212121"/>
          <w:sz w:val="21"/>
          <w:szCs w:val="21"/>
        </w:rPr>
        <w:t xml:space="preserve">Cierra el círculo comercial: </w:t>
      </w:r>
      <w:r>
        <w:rPr>
          <w:rFonts w:ascii="Arial" w:cs="Arial" w:eastAsia="Arial" w:hAnsi="Arial"/>
          <w:color w:val="212121"/>
          <w:sz w:val="21"/>
          <w:szCs w:val="21"/>
        </w:rPr>
        <w:t xml:space="preserve">El ejecutivo que detecta una zona subasegurada en AgroBip podría, en la misma app, simular una cobertura paramétrica para esa zona.</w:t>
      </w:r>
    </w:p>
    <w:p>
      <w:pPr>
        <w:pStyle w:val="ListParagraph"/>
        <w:numPr>
          <w:ilvl w:val="0"/>
          <w:numId w:val="2"/>
        </w:numPr>
        <w:spacing w:after="60"/>
      </w:pPr>
      <w:r>
        <w:rPr>
          <w:rFonts w:ascii="Arial" w:cs="Arial" w:eastAsia="Arial" w:hAnsi="Arial"/>
          <w:b/>
          <w:bCs/>
          <w:color w:val="212121"/>
          <w:sz w:val="21"/>
          <w:szCs w:val="21"/>
        </w:rPr>
        <w:t xml:space="preserve">Diferenciación total: </w:t>
      </w:r>
      <w:r>
        <w:rPr>
          <w:rFonts w:ascii="Arial" w:cs="Arial" w:eastAsia="Arial" w:hAnsi="Arial"/>
          <w:color w:val="212121"/>
          <w:sz w:val="21"/>
          <w:szCs w:val="21"/>
        </w:rPr>
        <w:t xml:space="preserve">Ningún banco argentino ofrece hoy una herramienta que combine inteligencia territorial + sugerencia de seguro paramétrico.</w:t>
      </w:r>
    </w:p>
    <w:p>
      <w:pPr>
        <w:pStyle w:val="Heading2"/>
        <w:spacing w:before="280" w:after="160"/>
      </w:pPr>
      <w:r>
        <w:rPr>
          <w:rFonts w:ascii="Arial" w:cs="Arial" w:eastAsia="Arial" w:hAnsi="Arial"/>
          <w:b/>
          <w:bCs/>
          <w:color w:val="2E7D32"/>
          <w:sz w:val="26"/>
          <w:szCs w:val="26"/>
        </w:rPr>
        <w:t xml:space="preserve">C.2 Implementación sugerida</w:t>
      </w:r>
    </w:p>
    <w:p>
      <w:pPr>
        <w:pStyle w:val="ListParagraph"/>
        <w:numPr>
          <w:ilvl w:val="0"/>
          <w:numId w:val="2"/>
        </w:numPr>
        <w:spacing w:after="60"/>
      </w:pPr>
      <w:r>
        <w:rPr>
          <w:rFonts w:ascii="Arial" w:cs="Arial" w:eastAsia="Arial" w:hAnsi="Arial"/>
          <w:b/>
          <w:bCs/>
          <w:color w:val="212121"/>
          <w:sz w:val="21"/>
          <w:szCs w:val="21"/>
        </w:rPr>
        <w:t xml:space="preserve">Fase 2: </w:t>
      </w:r>
      <w:r>
        <w:rPr>
          <w:rFonts w:ascii="Arial" w:cs="Arial" w:eastAsia="Arial" w:hAnsi="Arial"/>
          <w:color w:val="212121"/>
          <w:sz w:val="21"/>
          <w:szCs w:val="21"/>
        </w:rPr>
        <w:t xml:space="preserve">Módulo de simulación de riesgo paramétrico: dado un departamento y cultivo, calcular la probabilidad histórica de que el NDVI o la precipitación caigan por debajo de un umbral.</w:t>
      </w:r>
    </w:p>
    <w:p>
      <w:pPr>
        <w:pStyle w:val="ListParagraph"/>
        <w:numPr>
          <w:ilvl w:val="0"/>
          <w:numId w:val="2"/>
        </w:numPr>
        <w:spacing w:after="60"/>
      </w:pPr>
      <w:r>
        <w:rPr>
          <w:rFonts w:ascii="Arial" w:cs="Arial" w:eastAsia="Arial" w:hAnsi="Arial"/>
          <w:b/>
          <w:bCs/>
          <w:color w:val="212121"/>
          <w:sz w:val="21"/>
          <w:szCs w:val="21"/>
        </w:rPr>
        <w:t xml:space="preserve">Fase 3: </w:t>
      </w:r>
      <w:r>
        <w:rPr>
          <w:rFonts w:ascii="Arial" w:cs="Arial" w:eastAsia="Arial" w:hAnsi="Arial"/>
          <w:color w:val="212121"/>
          <w:sz w:val="21"/>
          <w:szCs w:val="21"/>
        </w:rPr>
        <w:t xml:space="preserve">Integración con aseguradora para cotización automática dentro de AgroBip.</w:t>
      </w:r>
    </w:p>
    <w:p>
      <w:pPr>
        <w:spacing w:after="200"/>
      </w:pPr>
    </w:p>
    <w:p>
      <w:pPr>
        <w:pStyle w:val="Heading1"/>
        <w:spacing w:before="360" w:after="200"/>
      </w:pPr>
      <w:r>
        <w:rPr>
          <w:rFonts w:ascii="Arial" w:cs="Arial" w:eastAsia="Arial" w:hAnsi="Arial"/>
          <w:b/>
          <w:bCs/>
          <w:color w:val="1B5E20"/>
          <w:sz w:val="32"/>
          <w:szCs w:val="32"/>
        </w:rPr>
        <w:t xml:space="preserve">D. Copiloto de IA generativa: el asistente del ejecutivo</w:t>
      </w:r>
    </w:p>
    <w:p>
      <w:pPr>
        <w:spacing w:after="120"/>
        <w:jc w:val="left"/>
      </w:pPr>
      <w:r>
        <w:rPr>
          <w:rFonts w:ascii="Arial" w:cs="Arial" w:eastAsia="Arial" w:hAnsi="Arial"/>
          <w:b w:val="false"/>
          <w:bCs w:val="false"/>
          <w:i w:val="false"/>
          <w:iCs w:val="false"/>
          <w:color w:val="212121"/>
          <w:sz w:val="21"/>
          <w:szCs w:val="21"/>
        </w:rPr>
        <w:t xml:space="preserve">BBVA ya tiene a “Azul Agro”, un asistente conversacional con LLM que ayuda a los oficiales a entender la historia productiva de un lote. McKinsey documenta que bancos con herramientas de GenAI reducen un 90% el tiempo de completar cuestionarios de riesgo climático, y Oliver Wyman reporta reducción de 30-40% en tiempo de creación de memos de crédito.</w:t>
      </w:r>
    </w:p>
    <w:p>
      <w:pPr>
        <w:pStyle w:val="Heading2"/>
        <w:spacing w:before="280" w:after="160"/>
      </w:pPr>
      <w:r>
        <w:rPr>
          <w:rFonts w:ascii="Arial" w:cs="Arial" w:eastAsia="Arial" w:hAnsi="Arial"/>
          <w:b/>
          <w:bCs/>
          <w:color w:val="2E7D32"/>
          <w:sz w:val="26"/>
          <w:szCs w:val="26"/>
        </w:rPr>
        <w:t xml:space="preserve">D.1 Qué podría hacer un copiloto en AgroBip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Funcionalidad</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Ejemplo</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Valor para el ejecutivo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Resumen ejecutivo automático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“Resúmime qué pasó esta semana en el sur de Córdoba”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En 30 seg tiene un brief listo para su gerente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Generación de memo comercial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“Generamé un memo de oportunidad para Pergamino”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Reduce 70% del tiempo de documentación interna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Pregunta libre sobre datos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“¿Cuántos departamentos con estrés hídrico alto tienen cultivo de soja y no tienen alerta activa?”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Accede a inteligencia sin saber filtrar datos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Sugerencia de producto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“Dado el perfil de General Villegas, ¿qué le ofrecerías?”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Preparación de visita en 1 minuto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Explicación de score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“¿Por qué subió el score de Marcos Juárez esta semana?”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Transparencia total del scoring</w:t>
            </w:r>
          </w:p>
        </w:tc>
      </w:tr>
    </w:tbl>
    <w:p>
      <w:pPr>
        <w:spacing w:after="100"/>
      </w:pPr>
    </w:p>
    <w:p>
      <w:pPr>
        <w:spacing w:after="120"/>
      </w:pPr>
      <w:r>
        <w:rPr>
          <w:rFonts w:ascii="Arial" w:cs="Arial" w:eastAsia="Arial" w:hAnsi="Arial"/>
          <w:b/>
          <w:bCs/>
          <w:color w:val="212121"/>
          <w:sz w:val="21"/>
          <w:szCs w:val="21"/>
        </w:rPr>
        <w:t xml:space="preserve">Recomendación: </w:t>
      </w:r>
      <w:r>
        <w:rPr>
          <w:rFonts w:ascii="Arial" w:cs="Arial" w:eastAsia="Arial" w:hAnsi="Arial"/>
          <w:color w:val="212121"/>
          <w:sz w:val="21"/>
          <w:szCs w:val="21"/>
        </w:rPr>
        <w:t xml:space="preserve">No necesitás construir un LLM. Alcanza con conectar la API de Claude o similar al backend de AgroBip con un prompt sistémico que conozca el modelo de datos, los scores y las reglas de inferencia. Es fase 2, pero es lo que va a hacer que AgroBip se sienta 10 años adelante.</w:t>
      </w:r>
    </w:p>
    <w:p>
      <w:r>
        <w:br w:type="page"/>
      </w:r>
    </w:p>
    <w:p>
      <w:pPr>
        <w:pStyle w:val="Heading1"/>
        <w:spacing w:before="360" w:after="200"/>
      </w:pPr>
      <w:r>
        <w:rPr>
          <w:rFonts w:ascii="Arial" w:cs="Arial" w:eastAsia="Arial" w:hAnsi="Arial"/>
          <w:b/>
          <w:bCs/>
          <w:color w:val="1B5E20"/>
          <w:sz w:val="32"/>
          <w:szCs w:val="32"/>
        </w:rPr>
        <w:t xml:space="preserve">E. Funcionalidades nuevas que enriquecen el MVP o las fases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Funcionalidad</w:t>
            </w:r>
          </w:p>
        </w:tc>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Fuente / tecnología</w:t>
            </w:r>
          </w:p>
        </w:tc>
      </w:tr>
      <w:tr>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MVP+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Anomaly Score satelital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Comparar NDVI actual vs. media histórica de la misma época para detectar desviaciones significativas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Sentinel-2 + GEE. 10 años de histórico disponible gratis.</w:t>
            </w:r>
          </w:p>
        </w:tc>
      </w:tr>
      <w:tr>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MVP+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Fenología automática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Detectar en qué etapa de crecimiento están los cultivos de cada zona (siembra, desarrollo, madurez)</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NDVI time series + BBCH scale. EOSDA y EarthDaily lo ofrecen.</w:t>
            </w:r>
          </w:p>
        </w:tc>
      </w:tr>
      <w:tr>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MVP+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Mapa de precipitación CHIRPS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Precipitación acumulada real vs. esperada por zona. Datos satelitales + estaciones.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CHIRPS (gratis en GEE). Usado por Munich Re para paramétricos en Argentina.</w:t>
            </w:r>
          </w:p>
        </w:tc>
      </w:tr>
      <w:tr>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FASE 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Copiloto IA conversacional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Asistente que resume, genera memos, responde preguntas y sugiere productos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API de Claude / GPT con RAG sobre datos de AgroBip</w:t>
            </w:r>
          </w:p>
        </w:tc>
      </w:tr>
      <w:tr>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FASE 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Simulador de riesgo paramétrico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Dado un depto + cultivo, ¿cuál es la probabilidad histórica de caída de NDVI &gt; 20%?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Datos históricos Sentinel-2, análisis de frecuencia.</w:t>
            </w:r>
          </w:p>
        </w:tc>
      </w:tr>
      <w:tr>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FASE 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Score financiero por CUIT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Enriquecer ficha de zona con semáforo financiero de productores identificados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BCRA Central de Deudores + API Cheques Denunciados</w:t>
            </w:r>
          </w:p>
        </w:tc>
      </w:tr>
      <w:tr>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FASE 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Reporte automático semanal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PDF/mail que llega cada lunes con top 10 zonas, alertas nuevas, oportunidades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Generación automática desde backend + IA para narrativa.</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616161"/>
                <w:sz w:val="18"/>
                <w:szCs w:val="18"/>
              </w:rPr>
              <w:t xml:space="preserve">FASE 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Precios + márgenes estimados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Cruzar rendimiento esperado × precio de referencia = ingreso bruto estimado por zona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Matba Rofex / BCR + rendimiento MAGyP + satélite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616161"/>
                <w:sz w:val="18"/>
                <w:szCs w:val="18"/>
              </w:rPr>
              <w:t xml:space="preserve">FASE 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Modelo predictivo de rendimiento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ML que predice rendimiento por depto usando NDVI + clima + histórico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Random Forest / XGBoost sobre features satelitales. Comprobado en literatura.</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616161"/>
                <w:sz w:val="18"/>
                <w:szCs w:val="18"/>
              </w:rPr>
              <w:t xml:space="preserve">FASE 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CRM territorial integrado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Vincular zonas con clientes del banco. Saber qué clientes tiene en cada depto caliente.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Integración con CRM bancario (Salesforce/Dynamics).</w:t>
            </w:r>
          </w:p>
        </w:tc>
      </w:tr>
    </w:tbl>
    <w:p>
      <w:r>
        <w:br w:type="page"/>
      </w:r>
    </w:p>
    <w:p>
      <w:pPr>
        <w:pStyle w:val="Heading1"/>
        <w:spacing w:before="360" w:after="200"/>
      </w:pPr>
      <w:r>
        <w:rPr>
          <w:rFonts w:ascii="Arial" w:cs="Arial" w:eastAsia="Arial" w:hAnsi="Arial"/>
          <w:b/>
          <w:bCs/>
          <w:color w:val="1B5E20"/>
          <w:sz w:val="32"/>
          <w:szCs w:val="32"/>
        </w:rPr>
        <w:t xml:space="preserve">F. Integraciones concretas que ya existen y se pueden conectar</w:t>
      </w:r>
    </w:p>
    <w:p>
      <w:pPr>
        <w:pStyle w:val="Heading2"/>
        <w:spacing w:before="280" w:after="160"/>
      </w:pPr>
      <w:r>
        <w:rPr>
          <w:rFonts w:ascii="Arial" w:cs="Arial" w:eastAsia="Arial" w:hAnsi="Arial"/>
          <w:b/>
          <w:bCs/>
          <w:color w:val="2E7D32"/>
          <w:sz w:val="26"/>
          <w:szCs w:val="26"/>
        </w:rPr>
        <w:t xml:space="preserve">F.1 Datos gratuitos listos para usar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Recurso</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Qué ofrece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Acceso</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Esfuerzo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Copernicus / Sentinel-2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Imágenes multiespectrales 10m cada 3-5 días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Gratis vía GEE o Copernicus Data Space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Medio: requiere pipeline de procesamiento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CHIRPS (precipitación)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Precipitación diaria grillada, 35+ años históricos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Gratis en GEE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Bajo: dataset listo para consultar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MODIS (NASA)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NDVI global cada 16 días, 250m, desde 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Gratis en GEE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Bajo: ideal para benchmarks históricos largos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ERA5 (clima ECMWF)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Temperatura, viento, radiación, humedad. Reanálisis horario global.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Gratis en GEE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Medio: requiere selección de variables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Leaf Agriculture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API unificada de monitoreo: NDVI, NDRE procesados de múltiples proveedores satélite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API comercial (Fase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Bajo: todo pre-procesado y estandarizado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ORA datos.gob.ar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Reservas de agua en suelo en formato SHAPE y JPG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Gratis, portal datos abiertos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Medio: shapefile semanal, requiere parsing</w:t>
            </w:r>
          </w:p>
        </w:tc>
      </w:tr>
    </w:tbl>
    <w:p>
      <w:pPr>
        <w:pStyle w:val="Heading2"/>
        <w:spacing w:before="280" w:after="160"/>
      </w:pPr>
      <w:r>
        <w:rPr>
          <w:rFonts w:ascii="Arial" w:cs="Arial" w:eastAsia="Arial" w:hAnsi="Arial"/>
          <w:b/>
          <w:bCs/>
          <w:color w:val="2E7D32"/>
          <w:sz w:val="26"/>
          <w:szCs w:val="26"/>
        </w:rPr>
        <w:t xml:space="preserve">F.2 Plataformas comerciales a evaluar para aceleración</w:t>
      </w:r>
    </w:p>
    <w:p>
      <w:pPr>
        <w:pStyle w:val="ListParagraph"/>
        <w:numPr>
          <w:ilvl w:val="0"/>
          <w:numId w:val="2"/>
        </w:numPr>
        <w:spacing w:after="60"/>
      </w:pPr>
      <w:r>
        <w:rPr>
          <w:rFonts w:ascii="Arial" w:cs="Arial" w:eastAsia="Arial" w:hAnsi="Arial"/>
          <w:b/>
          <w:bCs/>
          <w:color w:val="212121"/>
          <w:sz w:val="21"/>
          <w:szCs w:val="21"/>
        </w:rPr>
        <w:t xml:space="preserve">EOSDA Crop Monitoring: </w:t>
      </w:r>
      <w:r>
        <w:rPr>
          <w:rFonts w:ascii="Arial" w:cs="Arial" w:eastAsia="Arial" w:hAnsi="Arial"/>
          <w:color w:val="212121"/>
          <w:sz w:val="21"/>
          <w:szCs w:val="21"/>
        </w:rPr>
        <w:t xml:space="preserve">Plataforma líder en monitoreo satelital para bancos. Ya trabaja con bancos en Argentina. Ofrece NDVI, split view, detección de cultivo, rotación. Podría ser un proveedor de datos procesados si no querés armar el pipeline satelital in-house.</w:t>
      </w:r>
    </w:p>
    <w:p>
      <w:pPr>
        <w:pStyle w:val="ListParagraph"/>
        <w:numPr>
          <w:ilvl w:val="0"/>
          <w:numId w:val="2"/>
        </w:numPr>
        <w:spacing w:after="60"/>
      </w:pPr>
      <w:r>
        <w:rPr>
          <w:rFonts w:ascii="Arial" w:cs="Arial" w:eastAsia="Arial" w:hAnsi="Arial"/>
          <w:b/>
          <w:bCs/>
          <w:color w:val="212121"/>
          <w:sz w:val="21"/>
          <w:szCs w:val="21"/>
        </w:rPr>
        <w:t xml:space="preserve">EarthDaily Digital Ag: </w:t>
      </w:r>
      <w:r>
        <w:rPr>
          <w:rFonts w:ascii="Arial" w:cs="Arial" w:eastAsia="Arial" w:hAnsi="Arial"/>
          <w:color w:val="212121"/>
          <w:sz w:val="21"/>
          <w:szCs w:val="21"/>
        </w:rPr>
        <w:t xml:space="preserve">Ofrece “Potential Score” (rendimiento actual vs. histórico) y “Relative Score” (comparación contra vecinos) vía API. Encaja perfecto con la lógica de AgroBip.</w:t>
      </w:r>
    </w:p>
    <w:p>
      <w:pPr>
        <w:pStyle w:val="ListParagraph"/>
        <w:numPr>
          <w:ilvl w:val="0"/>
          <w:numId w:val="2"/>
        </w:numPr>
        <w:spacing w:after="60"/>
      </w:pPr>
      <w:r>
        <w:rPr>
          <w:rFonts w:ascii="Arial" w:cs="Arial" w:eastAsia="Arial" w:hAnsi="Arial"/>
          <w:b/>
          <w:bCs/>
          <w:color w:val="212121"/>
          <w:sz w:val="21"/>
          <w:szCs w:val="21"/>
        </w:rPr>
        <w:t xml:space="preserve">Agromonitoring (OpenWeather): </w:t>
      </w:r>
      <w:r>
        <w:rPr>
          <w:rFonts w:ascii="Arial" w:cs="Arial" w:eastAsia="Arial" w:hAnsi="Arial"/>
          <w:color w:val="212121"/>
          <w:sz w:val="21"/>
          <w:szCs w:val="21"/>
        </w:rPr>
        <w:t xml:space="preserve">API económica de NDVI + clima por polígono. Buena opción para MVP rápido si no querés GEE.</w:t>
      </w:r>
    </w:p>
    <w:p>
      <w:r>
        <w:br w:type="page"/>
      </w:r>
    </w:p>
    <w:p>
      <w:pPr>
        <w:pStyle w:val="Heading1"/>
        <w:spacing w:before="360" w:after="200"/>
      </w:pPr>
      <w:r>
        <w:rPr>
          <w:rFonts w:ascii="Arial" w:cs="Arial" w:eastAsia="Arial" w:hAnsi="Arial"/>
          <w:b/>
          <w:bCs/>
          <w:color w:val="1B5E20"/>
          <w:sz w:val="32"/>
          <w:szCs w:val="32"/>
        </w:rPr>
        <w:t xml:space="preserve">G. Ideas de monetización y modelo de negocio</w:t>
      </w:r>
    </w:p>
    <w:p>
      <w:pPr>
        <w:spacing w:after="120"/>
        <w:jc w:val="left"/>
      </w:pPr>
      <w:r>
        <w:rPr>
          <w:rFonts w:ascii="Arial" w:cs="Arial" w:eastAsia="Arial" w:hAnsi="Arial"/>
          <w:b w:val="false"/>
          <w:bCs w:val="false"/>
          <w:i w:val="false"/>
          <w:iCs w:val="false"/>
          <w:color w:val="212121"/>
          <w:sz w:val="21"/>
          <w:szCs w:val="21"/>
        </w:rPr>
        <w:t xml:space="preserve">AgroBip puede generar valor de varias formas más allá de ser una herramienta interna:</w:t>
      </w:r>
    </w:p>
    <w:p>
      <w:pPr>
        <w:pStyle w:val="Heading2"/>
        <w:spacing w:before="280" w:after="160"/>
      </w:pPr>
      <w:r>
        <w:rPr>
          <w:rFonts w:ascii="Arial" w:cs="Arial" w:eastAsia="Arial" w:hAnsi="Arial"/>
          <w:b/>
          <w:bCs/>
          <w:color w:val="2E7D32"/>
          <w:sz w:val="26"/>
          <w:szCs w:val="26"/>
        </w:rPr>
        <w:t xml:space="preserve">G.1 Para uso interno bancario</w:t>
      </w:r>
    </w:p>
    <w:p>
      <w:pPr>
        <w:pStyle w:val="ListParagraph"/>
        <w:numPr>
          <w:ilvl w:val="0"/>
          <w:numId w:val="2"/>
        </w:numPr>
        <w:spacing w:after="60"/>
      </w:pPr>
      <w:r>
        <w:rPr>
          <w:rFonts w:ascii="Arial" w:cs="Arial" w:eastAsia="Arial" w:hAnsi="Arial"/>
          <w:b/>
          <w:bCs/>
          <w:color w:val="212121"/>
          <w:sz w:val="21"/>
          <w:szCs w:val="21"/>
        </w:rPr>
        <w:t xml:space="preserve">Aumento de originación: </w:t>
      </w:r>
      <w:r>
        <w:rPr>
          <w:rFonts w:ascii="Arial" w:cs="Arial" w:eastAsia="Arial" w:hAnsi="Arial"/>
          <w:color w:val="212121"/>
          <w:sz w:val="21"/>
          <w:szCs w:val="21"/>
        </w:rPr>
        <w:t xml:space="preserve">Si los ejecutivos detectan oportunidades antes, cierran más operaciones. El ROI se mide en volumen de nuevos créditos originados proactivamente.</w:t>
      </w:r>
    </w:p>
    <w:p>
      <w:pPr>
        <w:pStyle w:val="ListParagraph"/>
        <w:numPr>
          <w:ilvl w:val="0"/>
          <w:numId w:val="2"/>
        </w:numPr>
        <w:spacing w:after="60"/>
      </w:pPr>
      <w:r>
        <w:rPr>
          <w:rFonts w:ascii="Arial" w:cs="Arial" w:eastAsia="Arial" w:hAnsi="Arial"/>
          <w:b/>
          <w:bCs/>
          <w:color w:val="212121"/>
          <w:sz w:val="21"/>
          <w:szCs w:val="21"/>
        </w:rPr>
        <w:t xml:space="preserve">Reducción de mora: </w:t>
      </w:r>
      <w:r>
        <w:rPr>
          <w:rFonts w:ascii="Arial" w:cs="Arial" w:eastAsia="Arial" w:hAnsi="Arial"/>
          <w:color w:val="212121"/>
          <w:sz w:val="21"/>
          <w:szCs w:val="21"/>
        </w:rPr>
        <w:t xml:space="preserve">Detectar tensión de caja anticipadamente permite ofrecer refinanciación antes del default.</w:t>
      </w:r>
    </w:p>
    <w:p>
      <w:pPr>
        <w:pStyle w:val="ListParagraph"/>
        <w:numPr>
          <w:ilvl w:val="0"/>
          <w:numId w:val="2"/>
        </w:numPr>
        <w:spacing w:after="60"/>
      </w:pPr>
      <w:r>
        <w:rPr>
          <w:rFonts w:ascii="Arial" w:cs="Arial" w:eastAsia="Arial" w:hAnsi="Arial"/>
          <w:b/>
          <w:bCs/>
          <w:color w:val="212121"/>
          <w:sz w:val="21"/>
          <w:szCs w:val="21"/>
        </w:rPr>
        <w:t xml:space="preserve">Venta cruzada de seguros: </w:t>
      </w:r>
      <w:r>
        <w:rPr>
          <w:rFonts w:ascii="Arial" w:cs="Arial" w:eastAsia="Arial" w:hAnsi="Arial"/>
          <w:color w:val="212121"/>
          <w:sz w:val="21"/>
          <w:szCs w:val="21"/>
        </w:rPr>
        <w:t xml:space="preserve">Zonas subaseguradas detectadas por AgroBip se convierten en pipeline de seguros.</w:t>
      </w:r>
    </w:p>
    <w:p>
      <w:pPr>
        <w:pStyle w:val="Heading2"/>
        <w:spacing w:before="280" w:after="160"/>
      </w:pPr>
      <w:r>
        <w:rPr>
          <w:rFonts w:ascii="Arial" w:cs="Arial" w:eastAsia="Arial" w:hAnsi="Arial"/>
          <w:b/>
          <w:bCs/>
          <w:color w:val="2E7D32"/>
          <w:sz w:val="26"/>
          <w:szCs w:val="26"/>
        </w:rPr>
        <w:t xml:space="preserve">G.2 Como producto SaaS (Fase 3+)</w:t>
      </w:r>
    </w:p>
    <w:p>
      <w:pPr>
        <w:pStyle w:val="ListParagraph"/>
        <w:numPr>
          <w:ilvl w:val="0"/>
          <w:numId w:val="2"/>
        </w:numPr>
        <w:spacing w:after="60"/>
      </w:pPr>
      <w:r>
        <w:rPr>
          <w:rFonts w:ascii="Arial" w:cs="Arial" w:eastAsia="Arial" w:hAnsi="Arial"/>
          <w:b/>
          <w:bCs/>
          <w:color w:val="212121"/>
          <w:sz w:val="21"/>
          <w:szCs w:val="21"/>
        </w:rPr>
        <w:t xml:space="preserve">Licencia a otros bancos: </w:t>
      </w:r>
      <w:r>
        <w:rPr>
          <w:rFonts w:ascii="Arial" w:cs="Arial" w:eastAsia="Arial" w:hAnsi="Arial"/>
          <w:color w:val="212121"/>
          <w:sz w:val="21"/>
          <w:szCs w:val="21"/>
        </w:rPr>
        <w:t xml:space="preserve">AgroBip podría venderse como plataforma white-label a bancos regionales que no tienen capacidad de desarrollo propio.</w:t>
      </w:r>
    </w:p>
    <w:p>
      <w:pPr>
        <w:pStyle w:val="ListParagraph"/>
        <w:numPr>
          <w:ilvl w:val="0"/>
          <w:numId w:val="2"/>
        </w:numPr>
        <w:spacing w:after="60"/>
      </w:pPr>
      <w:r>
        <w:rPr>
          <w:rFonts w:ascii="Arial" w:cs="Arial" w:eastAsia="Arial" w:hAnsi="Arial"/>
          <w:b/>
          <w:bCs/>
          <w:color w:val="212121"/>
          <w:sz w:val="21"/>
          <w:szCs w:val="21"/>
        </w:rPr>
        <w:t xml:space="preserve">Licencia a aseguradoras: </w:t>
      </w:r>
      <w:r>
        <w:rPr>
          <w:rFonts w:ascii="Arial" w:cs="Arial" w:eastAsia="Arial" w:hAnsi="Arial"/>
          <w:color w:val="212121"/>
          <w:sz w:val="21"/>
          <w:szCs w:val="21"/>
        </w:rPr>
        <w:t xml:space="preserve">La capa de riesgo territorial + datos satelitales es exactamente lo que necesitan las aseguradoras agrícolas.</w:t>
      </w:r>
    </w:p>
    <w:p>
      <w:pPr>
        <w:pStyle w:val="ListParagraph"/>
        <w:numPr>
          <w:ilvl w:val="0"/>
          <w:numId w:val="2"/>
        </w:numPr>
        <w:spacing w:after="60"/>
      </w:pPr>
      <w:r>
        <w:rPr>
          <w:rFonts w:ascii="Arial" w:cs="Arial" w:eastAsia="Arial" w:hAnsi="Arial"/>
          <w:b/>
          <w:bCs/>
          <w:color w:val="212121"/>
          <w:sz w:val="21"/>
          <w:szCs w:val="21"/>
        </w:rPr>
        <w:t xml:space="preserve">Licencia a acopios / traders: </w:t>
      </w:r>
      <w:r>
        <w:rPr>
          <w:rFonts w:ascii="Arial" w:cs="Arial" w:eastAsia="Arial" w:hAnsi="Arial"/>
          <w:color w:val="212121"/>
          <w:sz w:val="21"/>
          <w:szCs w:val="21"/>
        </w:rPr>
        <w:t xml:space="preserve">Grandes acopios y traders de granos necesitan inteligencia territorial para sus decisiones de originación.</w:t>
      </w:r>
    </w:p>
    <w:p>
      <w:r>
        <w:br w:type="page"/>
      </w:r>
    </w:p>
    <w:p>
      <w:pPr>
        <w:pStyle w:val="Heading1"/>
        <w:spacing w:before="360" w:after="200"/>
      </w:pPr>
      <w:r>
        <w:rPr>
          <w:rFonts w:ascii="Arial" w:cs="Arial" w:eastAsia="Arial" w:hAnsi="Arial"/>
          <w:b/>
          <w:bCs/>
          <w:color w:val="1B5E20"/>
          <w:sz w:val="32"/>
          <w:szCs w:val="32"/>
        </w:rPr>
        <w:t xml:space="preserve">H. Resumen de oportunidades por prioridad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1560"/>
        <w:gridCol w:w="1560"/>
      </w:tblGrid>
      <w:tr>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Oportunidad</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Impacto</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Esfuerzo</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Fase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Integrar Sentinel-2 / GEE para NDVI y NDMI por departamento</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ALTO</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MEDIO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MVP+</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Sumar CHIRPS para precipitación acumulada vs. normal</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ALTO</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BAJO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MVP+</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Anomaly Score: NDVI actual vs. histórico</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ALTO</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MEDIO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MVP+</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Copiloto IA para resúmenes, memos y preguntas</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ALTO</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MEDIO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Fase 2</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Reporte semanal automático por mail</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ALTO</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BAJO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Fase 2</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Simulador de riesgo paramétrico</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MEDIO</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ALTO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Fase 2</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Capa financiera BCRA por CUIT</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MEDIO</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ALTO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Fase 2</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Modelo predictivo de rendimiento con ML</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ALTO</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ALTO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Fase 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Integración CRM para vincular zonas con clientes</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ALTO</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ALTO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Fase 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Licenciamiento SaaS a otros bancos / aseguradoras</w:t>
            </w:r>
          </w:p>
        </w:tc>
        <w:tc>
          <w:tcPr>
            <w:tcW w:type="dxa" w:w="1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bCs/>
                <w:color w:val="6A1B9A"/>
                <w:sz w:val="18"/>
                <w:szCs w:val="18"/>
              </w:rPr>
              <w:t xml:space="preserve">MUY ALTO</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MUY ALTO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Fase 4</w:t>
            </w:r>
          </w:p>
        </w:tc>
      </w:tr>
    </w:tbl>
    <w:p>
      <w:pPr>
        <w:spacing w:after="300"/>
      </w:pPr>
    </w:p>
    <w:p>
      <w:pPr>
        <w:pStyle w:val="Heading1"/>
        <w:spacing w:before="360" w:after="200"/>
      </w:pPr>
      <w:r>
        <w:rPr>
          <w:rFonts w:ascii="Arial" w:cs="Arial" w:eastAsia="Arial" w:hAnsi="Arial"/>
          <w:b/>
          <w:bCs/>
          <w:color w:val="1B5E20"/>
          <w:sz w:val="32"/>
          <w:szCs w:val="32"/>
        </w:rPr>
        <w:t xml:space="preserve">Nota final</w:t>
      </w:r>
    </w:p>
    <w:p>
      <w:pPr>
        <w:spacing w:after="120"/>
        <w:jc w:val="left"/>
      </w:pPr>
      <w:r>
        <w:rPr>
          <w:rFonts w:ascii="Arial" w:cs="Arial" w:eastAsia="Arial" w:hAnsi="Arial"/>
          <w:b w:val="false"/>
          <w:bCs w:val="false"/>
          <w:i w:val="false"/>
          <w:iCs w:val="false"/>
          <w:color w:val="212121"/>
          <w:sz w:val="21"/>
          <w:szCs w:val="21"/>
        </w:rPr>
        <w:t xml:space="preserve">El documento original de AgroBip ya planteaba una visión sólida. Lo que esta investigación confirma es que el timing es perfecto: BBVA acaba de mover ficha con Agro Advisor, los datos satelitales gratuitos nunca fueron tan accesibles, el seguro paramétrico ya tiene precedentes en Argentina, y la IA generativa está probada en banca de crédito.</w:t>
      </w:r>
    </w:p>
    <w:p>
      <w:pPr>
        <w:spacing w:after="120"/>
        <w:jc w:val="left"/>
      </w:pPr>
      <w:r>
        <w:rPr>
          <w:rFonts w:ascii="Arial" w:cs="Arial" w:eastAsia="Arial" w:hAnsi="Arial"/>
          <w:b w:val="false"/>
          <w:bCs w:val="false"/>
          <w:i w:val="false"/>
          <w:iCs w:val="false"/>
          <w:color w:val="212121"/>
          <w:sz w:val="21"/>
          <w:szCs w:val="21"/>
        </w:rPr>
        <w:t xml:space="preserve">La recomendación más fuerte de este addendum es incorporar Sentinel-2 desde el MVP. No como lujo, sino como ventaja competitiva central. Es gratuito, es procesable con GEE, y transforma el scoring de una estimación basada en datos estáticos a un sistema de alerta temprana real basado en lo que los cultivos están mostrando ahora mismo.</w:t>
      </w:r>
    </w:p>
    <w:p>
      <w:pPr>
        <w:spacing w:after="100"/>
      </w:pPr>
    </w:p>
    <w:p>
      <w:pPr>
        <w:spacing w:after="120"/>
      </w:pPr>
      <w:r>
        <w:rPr>
          <w:rFonts w:ascii="Arial" w:cs="Arial" w:eastAsia="Arial" w:hAnsi="Arial"/>
          <w:b/>
          <w:bCs/>
          <w:i/>
          <w:iCs/>
          <w:color w:val="1B5E20"/>
          <w:sz w:val="22"/>
          <w:szCs w:val="22"/>
        </w:rPr>
        <w:t xml:space="preserve">Con estas mejoras, AgroBip no compite con Agro Advisor. Lo supera: porque no solo mira el lote del cliente que ya tengo, sino que detecta la oportunidad en todo el territorio antes que nadie.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16161"/>
        <w:sz w:val="16"/>
        <w:szCs w:val="16"/>
      </w:rPr>
      <w:t xml:space="preserve">AgroBip — Enriquecimiento Estratégico v1.0  |  Página </w:t>
    </w:r>
    <w:r>
      <w:rPr>
        <w:rFonts w:ascii="Arial" w:cs="Arial" w:eastAsia="Arial" w:hAnsi="Arial"/>
        <w:color w:val="61616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2" w:space="4"/>
      </w:pBdr>
    </w:pPr>
    <w:r>
      <w:rPr>
        <w:rFonts w:ascii="Arial" w:cs="Arial" w:eastAsia="Arial" w:hAnsi="Arial"/>
        <w:b/>
        <w:bCs/>
        <w:color w:val="1B5E20"/>
        <w:sz w:val="18"/>
        <w:szCs w:val="18"/>
      </w:rPr>
      <w:t xml:space="preserve">AGROBIP</w:t>
    </w:r>
    <w:r>
      <w:rPr>
        <w:rFonts w:ascii="Arial" w:cs="Arial" w:eastAsia="Arial" w:hAnsi="Arial"/>
        <w:color w:val="616161"/>
        <w:sz w:val="18"/>
        <w:szCs w:val="18"/>
      </w:rPr>
      <w:t xml:space="preserve">  |  Enriquecimiento estratégico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2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2026-03-25T18:35:47.407Z</dcterms:created>
  <dcterms:modified xsi:type="dcterms:W3CDTF">2026-03-25T18:35:47.407Z</dcterms:modified>
</cp:coreProperties>
</file>

<file path=docProps/custom.xml><?xml version="1.0" encoding="utf-8"?>
<Properties xmlns="http://schemas.openxmlformats.org/officeDocument/2006/custom-properties" xmlns:vt="http://schemas.openxmlformats.org/officeDocument/2006/docPropsVTypes"/>
</file>