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80"/>
        <w:jc w:val="center"/>
      </w:pPr>
      <w:r>
        <w:rPr>
          <w:rFonts w:ascii="Arial" w:cs="Arial" w:eastAsia="Arial" w:hAnsi="Arial"/>
          <w:b/>
          <w:bCs/>
          <w:color w:val="1F3864"/>
          <w:sz w:val="22"/>
          <w:szCs w:val="22"/>
        </w:rPr>
        <w:t xml:space="preserve">UNIVERSIDAD INTERNACIONAL DE LA RIOJA</w:t>
      </w:r>
    </w:p>
    <w:p>
      <w:pPr>
        <w:spacing w:after="1200"/>
        <w:jc w:val="center"/>
      </w:pPr>
      <w:r>
        <w:rPr>
          <w:rFonts w:ascii="Arial" w:cs="Arial" w:eastAsia="Arial" w:hAnsi="Arial"/>
          <w:color w:val="444444"/>
          <w:sz w:val="22"/>
          <w:szCs w:val="22"/>
        </w:rPr>
        <w:t xml:space="preserve">Grado en Ingeniería Informática</w:t>
      </w:r>
    </w:p>
    <w:p>
      <w:pPr>
        <w:pBdr>
          <w:bottom w:val="single" w:color="1F3864" w:sz="6" w:space="8"/>
        </w:pBdr>
        <w:spacing w:after="200"/>
        <w:jc w:val="center"/>
      </w:pPr>
      <w:r>
        <w:rPr>
          <w:rFonts w:ascii="Arial" w:cs="Arial" w:eastAsia="Arial" w:hAnsi="Arial"/>
          <w:b/>
          <w:bCs/>
          <w:color w:val="1F3864"/>
          <w:sz w:val="26"/>
          <w:szCs w:val="26"/>
        </w:rPr>
        <w:t xml:space="preserve">Procesadores de Lenguajes</w:t>
      </w:r>
    </w:p>
    <w:p>
      <w:pPr>
        <w:spacing w:after="200"/>
      </w:pPr>
      <w:r>
        <w:t xml:space="preserve"/>
      </w:r>
    </w:p>
    <w:p>
      <w:pPr>
        <w:spacing w:after="160"/>
        <w:jc w:val="center"/>
      </w:pPr>
      <w:r>
        <w:rPr>
          <w:rFonts w:ascii="Arial" w:cs="Arial" w:eastAsia="Arial" w:hAnsi="Arial"/>
          <w:b/>
          <w:bCs/>
          <w:sz w:val="36"/>
          <w:szCs w:val="36"/>
        </w:rPr>
        <w:t xml:space="preserve">Laboratorio 1</w:t>
      </w:r>
    </w:p>
    <w:p>
      <w:pPr>
        <w:spacing w:after="1600"/>
        <w:jc w:val="center"/>
      </w:pPr>
      <w:r>
        <w:rPr>
          <w:rFonts w:ascii="Arial" w:cs="Arial" w:eastAsia="Arial" w:hAnsi="Arial"/>
          <w:color w:val="333333"/>
          <w:sz w:val="28"/>
          <w:szCs w:val="28"/>
        </w:rPr>
        <w:t xml:space="preserve">Construcción de un analizador léxico para el lenguaje Pocket</w:t>
      </w:r>
    </w:p>
    <w:p>
      <w:pPr>
        <w:spacing w:after="800"/>
      </w:pPr>
      <w:r>
        <w:t xml:space="preserve"/>
      </w:r>
    </w:p>
    <w:p>
      <w:pPr>
        <w:spacing w:after="120"/>
        <w:jc w:val="center"/>
      </w:pPr>
      <w:r>
        <w:rPr>
          <w:rFonts w:ascii="Arial" w:cs="Arial" w:eastAsia="Arial" w:hAnsi="Arial"/>
          <w:b/>
          <w:bCs/>
          <w:sz w:val="22"/>
          <w:szCs w:val="22"/>
        </w:rPr>
        <w:t xml:space="preserve">Alumno:</w:t>
      </w:r>
    </w:p>
    <w:p>
      <w:pPr>
        <w:spacing w:after="80"/>
        <w:jc w:val="center"/>
      </w:pPr>
      <w:r>
        <w:rPr>
          <w:rFonts w:ascii="Arial" w:cs="Arial" w:eastAsia="Arial" w:hAnsi="Arial"/>
          <w:sz w:val="22"/>
          <w:szCs w:val="22"/>
        </w:rPr>
        <w:t xml:space="preserve">Pablo de la Cuesta García</w:t>
      </w:r>
    </w:p>
    <w:p>
      <w:pPr>
        <w:spacing w:after="400"/>
      </w:pPr>
      <w:r>
        <w:t xml:space="preserve"/>
      </w:r>
    </w:p>
    <w:p>
      <w:pPr>
        <w:spacing w:after="120"/>
        <w:jc w:val="center"/>
      </w:pPr>
      <w:r>
        <w:rPr>
          <w:rFonts w:ascii="Arial" w:cs="Arial" w:eastAsia="Arial" w:hAnsi="Arial"/>
          <w:sz w:val="22"/>
          <w:szCs w:val="22"/>
        </w:rPr>
        <w:t xml:space="preserve">Curso académico 2025-2026</w:t>
      </w:r>
    </w:p>
    <w:p>
      <w:pPr>
        <w:spacing w:after="0"/>
        <w:jc w:val="center"/>
      </w:pPr>
      <w:r>
        <w:rPr>
          <w:rFonts w:ascii="Arial" w:cs="Arial" w:eastAsia="Arial" w:hAnsi="Arial"/>
          <w:color w:val="555555"/>
          <w:sz w:val="22"/>
          <w:szCs w:val="22"/>
        </w:rPr>
        <w:t xml:space="preserve">Abril de 2026</w:t>
      </w:r>
    </w:p>
    <w:p>
      <w:pPr>
        <w:sectPr>
          <w:pgSz w:w="11906" w:h="16838" w:orient="portrait"/>
          <w:pgMar w:top="1418" w:right="1418" w:bottom="1418" w:left="1701" w:header="708" w:footer="708" w:gutter="0"/>
          <w:pgNumType/>
          <w:docGrid w:linePitch="360"/>
        </w:sectPr>
      </w:pPr>
    </w:p>
    <w:p>
      <w:pPr>
        <w:pStyle w:val="Heading1"/>
        <w:spacing w:after="160" w:before="360"/>
      </w:pPr>
      <w:r>
        <w:rPr>
          <w:rFonts w:ascii="Arial" w:cs="Arial" w:eastAsia="Arial" w:hAnsi="Arial"/>
          <w:b/>
          <w:bCs/>
          <w:color w:val="1F3864"/>
          <w:sz w:val="28"/>
          <w:szCs w:val="28"/>
        </w:rPr>
        <w:t xml:space="preserve">1. Introducción</w:t>
      </w:r>
    </w:p>
    <w:p>
      <w:pPr>
        <w:spacing w:after="160" w:line="360"/>
        <w:jc w:val="both"/>
      </w:pPr>
      <w:r>
        <w:rPr>
          <w:rFonts w:ascii="Arial" w:cs="Arial" w:eastAsia="Arial" w:hAnsi="Arial"/>
          <w:sz w:val="22"/>
          <w:szCs w:val="22"/>
        </w:rPr>
        <w:t xml:space="preserve">El objetivo de este laboratorio es la construcción de un </w:t>
      </w:r>
      <w:r>
        <w:rPr>
          <w:rFonts w:ascii="Arial" w:cs="Arial" w:eastAsia="Arial" w:hAnsi="Arial"/>
          <w:b/>
          <w:bCs/>
          <w:sz w:val="22"/>
          <w:szCs w:val="22"/>
        </w:rPr>
        <w:t xml:space="preserve">analizador léxico</w:t>
      </w:r>
      <w:r>
        <w:rPr>
          <w:rFonts w:ascii="Arial" w:cs="Arial" w:eastAsia="Arial" w:hAnsi="Arial"/>
          <w:sz w:val="22"/>
          <w:szCs w:val="22"/>
        </w:rPr>
        <w:t xml:space="preserve"> para el lenguaje de programación Pocket, empleando Java como lenguaje de implementación y la herramienta generadora </w:t>
      </w:r>
      <w:r>
        <w:rPr>
          <w:rFonts w:ascii="Arial" w:cs="Arial" w:eastAsia="Arial" w:hAnsi="Arial"/>
          <w:b/>
          <w:bCs/>
          <w:sz w:val="22"/>
          <w:szCs w:val="22"/>
        </w:rPr>
        <w:t xml:space="preserve">JFlex</w:t>
      </w:r>
      <w:r>
        <w:rPr>
          <w:rFonts w:ascii="Arial" w:cs="Arial" w:eastAsia="Arial" w:hAnsi="Arial"/>
          <w:sz w:val="22"/>
          <w:szCs w:val="22"/>
        </w:rPr>
        <w:t xml:space="preserve"> para automatizar la mayor parte del proceso. Junto al propio analizador, se ha desarrollado un programa de prueba en Java que lo ejercita con distintos ficheros de entrada y escribe los tokens reconocidos en un fichero de salida.</w:t>
      </w:r>
    </w:p>
    <w:p>
      <w:pPr>
        <w:spacing w:after="160" w:line="360"/>
        <w:jc w:val="both"/>
      </w:pPr>
      <w:r>
        <w:rPr>
          <w:rFonts w:ascii="Arial" w:cs="Arial" w:eastAsia="Arial" w:hAnsi="Arial"/>
          <w:sz w:val="22"/>
          <w:szCs w:val="22"/>
        </w:rPr>
        <w:t xml:space="preserve">Esta memoria recoge el proceso seguido para diseñar y codificar la especificación léxica, las decisiones tomadas a lo largo del desarrollo y los resultados obtenidos al ejecutar los casos de prueba proporcionados.</w:t>
      </w:r>
    </w:p>
    <w:p>
      <w:pPr>
        <w:spacing w:after="120"/>
      </w:pPr>
      <w:r>
        <w:t xml:space="preserve"/>
      </w:r>
    </w:p>
    <w:p>
      <w:pPr>
        <w:pStyle w:val="Heading1"/>
        <w:spacing w:after="160" w:before="360"/>
      </w:pPr>
      <w:r>
        <w:rPr>
          <w:rFonts w:ascii="Arial" w:cs="Arial" w:eastAsia="Arial" w:hAnsi="Arial"/>
          <w:b/>
          <w:bCs/>
          <w:color w:val="1F3864"/>
          <w:sz w:val="28"/>
          <w:szCs w:val="28"/>
        </w:rPr>
        <w:t xml:space="preserve">2. El analizador léxico</w:t>
      </w:r>
    </w:p>
    <w:p>
      <w:pPr>
        <w:spacing w:after="160" w:line="360"/>
        <w:jc w:val="both"/>
      </w:pPr>
      <w:r>
        <w:rPr>
          <w:rFonts w:ascii="Arial" w:cs="Arial" w:eastAsia="Arial" w:hAnsi="Arial"/>
          <w:sz w:val="22"/>
          <w:szCs w:val="22"/>
        </w:rPr>
        <w:t xml:space="preserve">Un </w:t>
      </w:r>
      <w:r>
        <w:rPr>
          <w:rFonts w:ascii="Arial" w:cs="Arial" w:eastAsia="Arial" w:hAnsi="Arial"/>
          <w:b/>
          <w:bCs/>
          <w:sz w:val="22"/>
          <w:szCs w:val="22"/>
        </w:rPr>
        <w:t xml:space="preserve">analizador léxico</w:t>
      </w:r>
      <w:r>
        <w:rPr>
          <w:rFonts w:ascii="Arial" w:cs="Arial" w:eastAsia="Arial" w:hAnsi="Arial"/>
          <w:sz w:val="22"/>
          <w:szCs w:val="22"/>
        </w:rPr>
        <w:t xml:space="preserve"> (también denominado </w:t>
      </w:r>
      <w:r>
        <w:rPr>
          <w:rFonts w:ascii="Arial" w:cs="Arial" w:eastAsia="Arial" w:hAnsi="Arial"/>
          <w:i/>
          <w:iCs/>
          <w:sz w:val="22"/>
          <w:szCs w:val="22"/>
        </w:rPr>
        <w:t xml:space="preserve">scanner</w:t>
      </w:r>
      <w:r>
        <w:rPr>
          <w:rFonts w:ascii="Arial" w:cs="Arial" w:eastAsia="Arial" w:hAnsi="Arial"/>
          <w:sz w:val="22"/>
          <w:szCs w:val="22"/>
        </w:rPr>
        <w:t xml:space="preserve"> o </w:t>
      </w:r>
      <w:r>
        <w:rPr>
          <w:rFonts w:ascii="Arial" w:cs="Arial" w:eastAsia="Arial" w:hAnsi="Arial"/>
          <w:i/>
          <w:iCs/>
          <w:sz w:val="22"/>
          <w:szCs w:val="22"/>
        </w:rPr>
        <w:t xml:space="preserve">lexer</w:t>
      </w:r>
      <w:r>
        <w:rPr>
          <w:rFonts w:ascii="Arial" w:cs="Arial" w:eastAsia="Arial" w:hAnsi="Arial"/>
          <w:sz w:val="22"/>
          <w:szCs w:val="22"/>
        </w:rPr>
        <w:t xml:space="preserve">) es la primera fase de un compilador. Su función es leer el código fuente carácter a carácter y agrupar las secuencias de caracteres en unidades con significado, denominadas </w:t>
      </w:r>
      <w:r>
        <w:rPr>
          <w:rFonts w:ascii="Arial" w:cs="Arial" w:eastAsia="Arial" w:hAnsi="Arial"/>
          <w:b/>
          <w:bCs/>
          <w:sz w:val="22"/>
          <w:szCs w:val="22"/>
        </w:rPr>
        <w:t xml:space="preserve">tokens</w:t>
      </w:r>
      <w:r>
        <w:rPr>
          <w:rFonts w:ascii="Arial" w:cs="Arial" w:eastAsia="Arial" w:hAnsi="Arial"/>
          <w:sz w:val="22"/>
          <w:szCs w:val="22"/>
        </w:rPr>
        <w:t xml:space="preserve">. Cada token representa la pareja (tipo, lexema), donde el tipo identifica la categoría (palabra reservada, identificador, constante, operador…) y el lexema es la cadena de caracteres exacta que se ha reconocido en el texto fuente.</w:t>
      </w:r>
    </w:p>
    <w:p>
      <w:pPr>
        <w:spacing w:after="160" w:line="360"/>
        <w:jc w:val="both"/>
      </w:pPr>
      <w:r>
        <w:rPr>
          <w:rFonts w:ascii="Arial" w:cs="Arial" w:eastAsia="Arial" w:hAnsi="Arial"/>
          <w:sz w:val="22"/>
          <w:szCs w:val="22"/>
        </w:rPr>
        <w:t xml:space="preserve">La salida del analizador léxico es un flujo de tokens que alimenta al analizador sintáctico en la siguiente fase. El léxico también se encarga de filtrar los elementos que no tienen relevancia semántica, como </w:t>
      </w:r>
      <w:r>
        <w:rPr>
          <w:rFonts w:ascii="Arial" w:cs="Arial" w:eastAsia="Arial" w:hAnsi="Arial"/>
          <w:b/>
          <w:bCs/>
          <w:sz w:val="22"/>
          <w:szCs w:val="22"/>
        </w:rPr>
        <w:t xml:space="preserve">espacios en blanco, tabuladores, saltos de línea y comentarios</w:t>
      </w:r>
      <w:r>
        <w:rPr>
          <w:rFonts w:ascii="Arial" w:cs="Arial" w:eastAsia="Arial" w:hAnsi="Arial"/>
          <w:sz w:val="22"/>
          <w:szCs w:val="22"/>
        </w:rPr>
        <w:t xml:space="preserve">, así como de detectar y reportar </w:t>
      </w:r>
      <w:r>
        <w:rPr>
          <w:rFonts w:ascii="Arial" w:cs="Arial" w:eastAsia="Arial" w:hAnsi="Arial"/>
          <w:b/>
          <w:bCs/>
          <w:sz w:val="22"/>
          <w:szCs w:val="22"/>
        </w:rPr>
        <w:t xml:space="preserve">errores morfológicos</w:t>
      </w:r>
      <w:r>
        <w:rPr>
          <w:rFonts w:ascii="Arial" w:cs="Arial" w:eastAsia="Arial" w:hAnsi="Arial"/>
          <w:sz w:val="22"/>
          <w:szCs w:val="22"/>
        </w:rPr>
        <w:t xml:space="preserve">, es decir, secuencias de caracteres que no corresponden a ningún token válido del lenguaje.</w:t>
      </w:r>
    </w:p>
    <w:p>
      <w:pPr>
        <w:spacing w:after="120"/>
      </w:pPr>
      <w:r>
        <w:t xml:space="preserve"/>
      </w:r>
    </w:p>
    <w:p>
      <w:pPr>
        <w:pStyle w:val="Heading1"/>
        <w:spacing w:after="160" w:before="360"/>
      </w:pPr>
      <w:r>
        <w:rPr>
          <w:rFonts w:ascii="Arial" w:cs="Arial" w:eastAsia="Arial" w:hAnsi="Arial"/>
          <w:b/>
          <w:bCs/>
          <w:color w:val="1F3864"/>
          <w:sz w:val="28"/>
          <w:szCs w:val="28"/>
        </w:rPr>
        <w:t xml:space="preserve">3. La herramienta JFlex</w:t>
      </w:r>
    </w:p>
    <w:p>
      <w:pPr>
        <w:spacing w:after="160" w:line="360"/>
        <w:jc w:val="both"/>
      </w:pPr>
      <w:r>
        <w:rPr>
          <w:rFonts w:ascii="Arial" w:cs="Arial" w:eastAsia="Arial" w:hAnsi="Arial"/>
          <w:b/>
          <w:bCs/>
          <w:sz w:val="22"/>
          <w:szCs w:val="22"/>
        </w:rPr>
        <w:t xml:space="preserve">JFlex</w:t>
      </w:r>
      <w:r>
        <w:rPr>
          <w:rFonts w:ascii="Arial" w:cs="Arial" w:eastAsia="Arial" w:hAnsi="Arial"/>
          <w:sz w:val="22"/>
          <w:szCs w:val="22"/>
        </w:rPr>
        <w:t xml:space="preserve"> es un generador de analizadores léxicos para Java. A partir de un fichero de especificación con extensión </w:t>
      </w:r>
      <w:r>
        <w:rPr>
          <w:rFonts w:ascii="Courier New" w:cs="Courier New" w:eastAsia="Courier New" w:hAnsi="Courier New"/>
          <w:sz w:val="20"/>
          <w:szCs w:val="20"/>
        </w:rPr>
        <w:t xml:space="preserve">.flex</w:t>
      </w:r>
      <w:r>
        <w:rPr>
          <w:rFonts w:ascii="Arial" w:cs="Arial" w:eastAsia="Arial" w:hAnsi="Arial"/>
          <w:sz w:val="22"/>
          <w:szCs w:val="22"/>
        </w:rPr>
        <w:t xml:space="preserve">, que contiene las expresiones regulares y las acciones Java asociadas a cada patrón, JFlex genera automáticamente una clase Java que implementa el analizador. El método principal de esta clase, </w:t>
      </w:r>
      <w:r>
        <w:rPr>
          <w:rFonts w:ascii="Courier New" w:cs="Courier New" w:eastAsia="Courier New" w:hAnsi="Courier New"/>
          <w:sz w:val="20"/>
          <w:szCs w:val="20"/>
        </w:rPr>
        <w:t xml:space="preserve">yylex()</w:t>
      </w:r>
      <w:r>
        <w:rPr>
          <w:rFonts w:ascii="Arial" w:cs="Arial" w:eastAsia="Arial" w:hAnsi="Arial"/>
          <w:sz w:val="22"/>
          <w:szCs w:val="22"/>
        </w:rPr>
        <w:t xml:space="preserve">, devuelve el siguiente token cada vez que se le invoca.</w:t>
      </w:r>
    </w:p>
    <w:p>
      <w:pPr>
        <w:spacing w:after="160" w:line="360"/>
        <w:jc w:val="both"/>
      </w:pPr>
      <w:r>
        <w:rPr>
          <w:rFonts w:ascii="Arial" w:cs="Arial" w:eastAsia="Arial" w:hAnsi="Arial"/>
          <w:sz w:val="22"/>
          <w:szCs w:val="22"/>
        </w:rPr>
        <w:t xml:space="preserve">La ventaja principal de utilizar un generador como JFlex es que el programador se centra en describir qué hay que reconocer, en lugar de implementar manualmente la máquina de estados finitos que recorre el texto. JFlex construye internamente un autómata finito determinista (DFA) optimizado a partir de las expresiones regulares proporcionadas.</w:t>
      </w:r>
    </w:p>
    <w:p>
      <w:pPr>
        <w:pStyle w:val="Heading2"/>
        <w:spacing w:after="120" w:before="280"/>
      </w:pPr>
      <w:r>
        <w:rPr>
          <w:rFonts w:ascii="Arial" w:cs="Arial" w:eastAsia="Arial" w:hAnsi="Arial"/>
          <w:b/>
          <w:bCs/>
          <w:color w:val="2E5496"/>
          <w:sz w:val="24"/>
          <w:szCs w:val="24"/>
        </w:rPr>
        <w:t xml:space="preserve">3.1. Estructura del fichero de especificación</w:t>
      </w:r>
    </w:p>
    <w:p>
      <w:pPr>
        <w:spacing w:after="160" w:line="360"/>
        <w:jc w:val="both"/>
      </w:pPr>
      <w:r>
        <w:rPr>
          <w:rFonts w:ascii="Arial" w:cs="Arial" w:eastAsia="Arial" w:hAnsi="Arial"/>
          <w:sz w:val="22"/>
          <w:szCs w:val="22"/>
        </w:rPr>
        <w:t xml:space="preserve">Un fichero </w:t>
      </w:r>
      <w:r>
        <w:rPr>
          <w:rFonts w:ascii="Courier New" w:cs="Courier New" w:eastAsia="Courier New" w:hAnsi="Courier New"/>
          <w:sz w:val="20"/>
          <w:szCs w:val="20"/>
        </w:rPr>
        <w:t xml:space="preserve">.flex</w:t>
      </w:r>
      <w:r>
        <w:rPr>
          <w:rFonts w:ascii="Arial" w:cs="Arial" w:eastAsia="Arial" w:hAnsi="Arial"/>
          <w:sz w:val="22"/>
          <w:szCs w:val="22"/>
        </w:rPr>
        <w:t xml:space="preserve"> se divide en tres secciones separadas por la secuencia </w:t>
      </w:r>
      <w:r>
        <w:rPr>
          <w:rFonts w:ascii="Courier New" w:cs="Courier New" w:eastAsia="Courier New" w:hAnsi="Courier New"/>
          <w:sz w:val="20"/>
          <w:szCs w:val="20"/>
        </w:rPr>
        <w:t xml:space="preserve">%%</w:t>
      </w:r>
      <w:r>
        <w:rPr>
          <w:rFonts w:ascii="Arial" w:cs="Arial" w:eastAsia="Arial" w:hAnsi="Arial"/>
          <w:sz w:val="22"/>
          <w:szCs w:val="22"/>
        </w:rPr>
        <w:t xml:space="preserve">:</w:t>
      </w:r>
    </w:p>
    <w:p>
      <w:pPr>
        <w:spacing w:after="80"/>
      </w:pPr>
      <w:r>
        <w:t xml:space="preserve"/>
      </w:r>
    </w:p>
    <w:p>
      <w:pPr>
        <w:shd w:fill="EFEFEF" w:color="auto" w:val="clear"/>
        <w:spacing w:after="0" w:before="0" w:line="240"/>
        <w:ind w:left="360" w:right="360"/>
      </w:pPr>
      <w:r>
        <w:rPr>
          <w:rFonts w:ascii="Courier New" w:cs="Courier New" w:eastAsia="Courier New" w:hAnsi="Courier New"/>
          <w:sz w:val="18"/>
          <w:szCs w:val="18"/>
        </w:rPr>
        <w:t xml:space="preserve">[Código de usuario — Java que va antes de la clase generada]</w:t>
      </w:r>
    </w:p>
    <w:p>
      <w:pPr>
        <w:shd w:fill="EFEFEF" w:color="auto" w:val="clear"/>
        <w:spacing w:after="0" w:before="0" w:line="240"/>
        <w:ind w:left="360" w:right="360"/>
      </w:pPr>
      <w:r>
        <w:rPr>
          <w:rFonts w:ascii="Courier New" w:cs="Courier New" w:eastAsia="Courier New" w:hAnsi="Courier New"/>
          <w:sz w:val="18"/>
          <w:szCs w:val="18"/>
        </w:rPr>
        <w:t xml:space="preserve">%%</w:t>
      </w:r>
    </w:p>
    <w:p>
      <w:pPr>
        <w:shd w:fill="EFEFEF" w:color="auto" w:val="clear"/>
        <w:spacing w:after="0" w:before="0" w:line="240"/>
        <w:ind w:left="360" w:right="360"/>
      </w:pPr>
      <w:r>
        <w:rPr>
          <w:rFonts w:ascii="Courier New" w:cs="Courier New" w:eastAsia="Courier New" w:hAnsi="Courier New"/>
          <w:sz w:val="18"/>
          <w:szCs w:val="18"/>
        </w:rPr>
        <w:t xml:space="preserve">[Directivas (%class, %type…) y macros de expresiones regulares]</w:t>
      </w:r>
    </w:p>
    <w:p>
      <w:pPr>
        <w:shd w:fill="EFEFEF" w:color="auto" w:val="clear"/>
        <w:spacing w:after="0" w:before="0" w:line="240"/>
        <w:ind w:left="360" w:right="360"/>
      </w:pPr>
      <w:r>
        <w:rPr>
          <w:rFonts w:ascii="Courier New" w:cs="Courier New" w:eastAsia="Courier New" w:hAnsi="Courier New"/>
          <w:sz w:val="18"/>
          <w:szCs w:val="18"/>
        </w:rPr>
        <w:t xml:space="preserve">%%</w:t>
      </w:r>
    </w:p>
    <w:p>
      <w:pPr>
        <w:shd w:fill="EFEFEF" w:color="auto" w:val="clear"/>
        <w:spacing w:after="0" w:before="0" w:line="240"/>
        <w:ind w:left="360" w:right="360"/>
      </w:pPr>
      <w:r>
        <w:rPr>
          <w:rFonts w:ascii="Courier New" w:cs="Courier New" w:eastAsia="Courier New" w:hAnsi="Courier New"/>
          <w:sz w:val="18"/>
          <w:szCs w:val="18"/>
        </w:rPr>
        <w:t xml:space="preserve">[Reglas léxicas: patrón  { acción Java }]</w:t>
      </w:r>
    </w:p>
    <w:p>
      <w:pPr>
        <w:shd w:fill="EFEFEF" w:color="auto" w:val="clear"/>
        <w:spacing w:after="0" w:before="0" w:line="240"/>
        <w:ind w:left="360" w:right="360"/>
      </w:pPr>
      <w:r>
        <w:rPr>
          <w:rFonts w:ascii="Courier New" w:cs="Courier New" w:eastAsia="Courier New" w:hAnsi="Courier New"/>
          <w:sz w:val="10"/>
          <w:szCs w:val="10"/>
        </w:rPr>
        <w:t xml:space="preserve"/>
      </w:r>
    </w:p>
    <w:p>
      <w:pPr>
        <w:spacing w:after="120"/>
      </w:pPr>
      <w:r>
        <w:t xml:space="preserve"/>
      </w:r>
    </w:p>
    <w:p>
      <w:pPr>
        <w:spacing w:after="160" w:line="360"/>
        <w:jc w:val="both"/>
      </w:pPr>
      <w:r>
        <w:rPr>
          <w:rFonts w:ascii="Arial" w:cs="Arial" w:eastAsia="Arial" w:hAnsi="Arial"/>
          <w:sz w:val="22"/>
          <w:szCs w:val="22"/>
        </w:rPr>
        <w:t xml:space="preserve">Un aspecto importante a tener en cuenta es que las directivas de configuración —como </w:t>
      </w:r>
      <w:r>
        <w:rPr>
          <w:rFonts w:ascii="Courier New" w:cs="Courier New" w:eastAsia="Courier New" w:hAnsi="Courier New"/>
          <w:sz w:val="20"/>
          <w:szCs w:val="20"/>
        </w:rPr>
        <w:t xml:space="preserve">%class</w:t>
      </w:r>
      <w:r>
        <w:rPr>
          <w:rFonts w:ascii="Arial" w:cs="Arial" w:eastAsia="Arial" w:hAnsi="Arial"/>
          <w:sz w:val="22"/>
          <w:szCs w:val="22"/>
        </w:rPr>
        <w:t xml:space="preserve"> o </w:t>
      </w:r>
      <w:r>
        <w:rPr>
          <w:rFonts w:ascii="Courier New" w:cs="Courier New" w:eastAsia="Courier New" w:hAnsi="Courier New"/>
          <w:sz w:val="20"/>
          <w:szCs w:val="20"/>
        </w:rPr>
        <w:t xml:space="preserve">%type</w:t>
      </w:r>
      <w:r>
        <w:rPr>
          <w:rFonts w:ascii="Arial" w:cs="Arial" w:eastAsia="Arial" w:hAnsi="Arial"/>
          <w:sz w:val="22"/>
          <w:szCs w:val="22"/>
        </w:rPr>
        <w:t xml:space="preserve">— pertenecen a la </w:t>
      </w:r>
      <w:r>
        <w:rPr>
          <w:rFonts w:ascii="Arial" w:cs="Arial" w:eastAsia="Arial" w:hAnsi="Arial"/>
          <w:b/>
          <w:bCs/>
          <w:sz w:val="22"/>
          <w:szCs w:val="22"/>
        </w:rPr>
        <w:t xml:space="preserve">segunda sección</w:t>
      </w:r>
      <w:r>
        <w:rPr>
          <w:rFonts w:ascii="Arial" w:cs="Arial" w:eastAsia="Arial" w:hAnsi="Arial"/>
          <w:sz w:val="22"/>
          <w:szCs w:val="22"/>
        </w:rPr>
        <w:t xml:space="preserve">, entre los dos </w:t>
      </w:r>
      <w:r>
        <w:rPr>
          <w:rFonts w:ascii="Courier New" w:cs="Courier New" w:eastAsia="Courier New" w:hAnsi="Courier New"/>
          <w:sz w:val="20"/>
          <w:szCs w:val="20"/>
        </w:rPr>
        <w:t xml:space="preserve">%%</w:t>
      </w:r>
      <w:r>
        <w:rPr>
          <w:rFonts w:ascii="Arial" w:cs="Arial" w:eastAsia="Arial" w:hAnsi="Arial"/>
          <w:sz w:val="22"/>
          <w:szCs w:val="22"/>
        </w:rPr>
        <w:t xml:space="preserve">. Si se colocan antes del primer separador, JFlex las trata como código de usuario y las ignora, usando los valores por defecto.</w:t>
      </w:r>
    </w:p>
    <w:p>
      <w:pPr>
        <w:spacing w:after="120"/>
      </w:pPr>
      <w:r>
        <w:t xml:space="preserve"/>
      </w:r>
    </w:p>
    <w:p>
      <w:pPr>
        <w:pStyle w:val="Heading1"/>
        <w:spacing w:after="160" w:before="360"/>
      </w:pPr>
      <w:r>
        <w:rPr>
          <w:rFonts w:ascii="Arial" w:cs="Arial" w:eastAsia="Arial" w:hAnsi="Arial"/>
          <w:b/>
          <w:bCs/>
          <w:color w:val="1F3864"/>
          <w:sz w:val="28"/>
          <w:szCs w:val="28"/>
        </w:rPr>
        <w:t xml:space="preserve">4. Diseño del fichero de especificación</w:t>
      </w:r>
    </w:p>
    <w:p>
      <w:pPr>
        <w:pStyle w:val="Heading2"/>
        <w:spacing w:after="120" w:before="280"/>
      </w:pPr>
      <w:r>
        <w:rPr>
          <w:rFonts w:ascii="Arial" w:cs="Arial" w:eastAsia="Arial" w:hAnsi="Arial"/>
          <w:b/>
          <w:bCs/>
          <w:color w:val="2E5496"/>
          <w:sz w:val="24"/>
          <w:szCs w:val="24"/>
        </w:rPr>
        <w:t xml:space="preserve">4.1. Directivas y bloque de código</w:t>
      </w:r>
    </w:p>
    <w:p>
      <w:pPr>
        <w:spacing w:after="160" w:line="360"/>
        <w:jc w:val="both"/>
      </w:pPr>
      <w:r>
        <w:rPr>
          <w:rFonts w:ascii="Arial" w:cs="Arial" w:eastAsia="Arial" w:hAnsi="Arial"/>
          <w:sz w:val="22"/>
          <w:szCs w:val="22"/>
        </w:rPr>
        <w:t xml:space="preserve">La especificación comienza con las directivas que configuran la clase generada. Las más relevantes son </w:t>
      </w:r>
      <w:r>
        <w:rPr>
          <w:rFonts w:ascii="Courier New" w:cs="Courier New" w:eastAsia="Courier New" w:hAnsi="Courier New"/>
          <w:sz w:val="20"/>
          <w:szCs w:val="20"/>
        </w:rPr>
        <w:t xml:space="preserve">%class AnalizadorLexico</w:t>
      </w:r>
      <w:r>
        <w:rPr>
          <w:rFonts w:ascii="Arial" w:cs="Arial" w:eastAsia="Arial" w:hAnsi="Arial"/>
          <w:sz w:val="22"/>
          <w:szCs w:val="22"/>
        </w:rPr>
        <w:t xml:space="preserve"> (nombre de la clase), </w:t>
      </w:r>
      <w:r>
        <w:rPr>
          <w:rFonts w:ascii="Courier New" w:cs="Courier New" w:eastAsia="Courier New" w:hAnsi="Courier New"/>
          <w:sz w:val="20"/>
          <w:szCs w:val="20"/>
        </w:rPr>
        <w:t xml:space="preserve">%type int</w:t>
      </w:r>
      <w:r>
        <w:rPr>
          <w:rFonts w:ascii="Arial" w:cs="Arial" w:eastAsia="Arial" w:hAnsi="Arial"/>
          <w:sz w:val="22"/>
          <w:szCs w:val="22"/>
        </w:rPr>
        <w:t xml:space="preserve"> (tipo de retorno de </w:t>
      </w:r>
      <w:r>
        <w:rPr>
          <w:rFonts w:ascii="Courier New" w:cs="Courier New" w:eastAsia="Courier New" w:hAnsi="Courier New"/>
          <w:sz w:val="20"/>
          <w:szCs w:val="20"/>
        </w:rPr>
        <w:t xml:space="preserve">yylex()</w:t>
      </w:r>
      <w:r>
        <w:rPr>
          <w:rFonts w:ascii="Arial" w:cs="Arial" w:eastAsia="Arial" w:hAnsi="Arial"/>
          <w:sz w:val="22"/>
          <w:szCs w:val="22"/>
        </w:rPr>
        <w:t xml:space="preserve">), </w:t>
      </w:r>
      <w:r>
        <w:rPr>
          <w:rFonts w:ascii="Courier New" w:cs="Courier New" w:eastAsia="Courier New" w:hAnsi="Courier New"/>
          <w:sz w:val="20"/>
          <w:szCs w:val="20"/>
        </w:rPr>
        <w:t xml:space="preserve">%line</w:t>
      </w:r>
      <w:r>
        <w:rPr>
          <w:rFonts w:ascii="Arial" w:cs="Arial" w:eastAsia="Arial" w:hAnsi="Arial"/>
          <w:sz w:val="22"/>
          <w:szCs w:val="22"/>
        </w:rPr>
        <w:t xml:space="preserve"> y </w:t>
      </w:r>
      <w:r>
        <w:rPr>
          <w:rFonts w:ascii="Courier New" w:cs="Courier New" w:eastAsia="Courier New" w:hAnsi="Courier New"/>
          <w:sz w:val="20"/>
          <w:szCs w:val="20"/>
        </w:rPr>
        <w:t xml:space="preserve">%column</w:t>
      </w:r>
      <w:r>
        <w:rPr>
          <w:rFonts w:ascii="Arial" w:cs="Arial" w:eastAsia="Arial" w:hAnsi="Arial"/>
          <w:sz w:val="22"/>
          <w:szCs w:val="22"/>
        </w:rPr>
        <w:t xml:space="preserve"> (activan el seguimiento automático de fila y columna, necesario para los mensajes de error).</w:t>
      </w:r>
    </w:p>
    <w:p>
      <w:pPr>
        <w:spacing w:after="160" w:line="360"/>
        <w:jc w:val="both"/>
      </w:pPr>
      <w:r>
        <w:rPr>
          <w:rFonts w:ascii="Arial" w:cs="Arial" w:eastAsia="Arial" w:hAnsi="Arial"/>
          <w:sz w:val="22"/>
          <w:szCs w:val="22"/>
        </w:rPr>
        <w:t xml:space="preserve">Dentro del bloque </w:t>
      </w:r>
      <w:r>
        <w:rPr>
          <w:rFonts w:ascii="Courier New" w:cs="Courier New" w:eastAsia="Courier New" w:hAnsi="Courier New"/>
          <w:sz w:val="20"/>
          <w:szCs w:val="20"/>
        </w:rPr>
        <w:t xml:space="preserve">%{ … %}</w:t>
      </w:r>
      <w:r>
        <w:rPr>
          <w:rFonts w:ascii="Arial" w:cs="Arial" w:eastAsia="Arial" w:hAnsi="Arial"/>
          <w:sz w:val="22"/>
          <w:szCs w:val="22"/>
        </w:rPr>
        <w:t xml:space="preserve"> se declaran las constantes enteras que identifican cada tipo de token. El método </w:t>
      </w:r>
      <w:r>
        <w:rPr>
          <w:rFonts w:ascii="Courier New" w:cs="Courier New" w:eastAsia="Courier New" w:hAnsi="Courier New"/>
          <w:sz w:val="20"/>
          <w:szCs w:val="20"/>
        </w:rPr>
        <w:t xml:space="preserve">yylex()</w:t>
      </w:r>
      <w:r>
        <w:rPr>
          <w:rFonts w:ascii="Arial" w:cs="Arial" w:eastAsia="Arial" w:hAnsi="Arial"/>
          <w:sz w:val="22"/>
          <w:szCs w:val="22"/>
        </w:rPr>
        <w:t xml:space="preserve"> devuelve uno de estos valores en cada llamada, y el programa de prueba los utiliza para saber qué token acaba de reconocerse. Se definieron 56 tokens en total, además de una constante especial </w:t>
      </w:r>
      <w:r>
        <w:rPr>
          <w:rFonts w:ascii="Courier New" w:cs="Courier New" w:eastAsia="Courier New" w:hAnsi="Courier New"/>
          <w:sz w:val="20"/>
          <w:szCs w:val="20"/>
        </w:rPr>
        <w:t xml:space="preserve">TOK_ERROR = -1</w:t>
      </w:r>
      <w:r>
        <w:rPr>
          <w:rFonts w:ascii="Arial" w:cs="Arial" w:eastAsia="Arial" w:hAnsi="Arial"/>
          <w:sz w:val="22"/>
          <w:szCs w:val="22"/>
        </w:rPr>
        <w:t xml:space="preserve"> para señalizar errores léxicos, dado que JFlex reserva el valor </w:t>
      </w:r>
      <w:r>
        <w:rPr>
          <w:rFonts w:ascii="Courier New" w:cs="Courier New" w:eastAsia="Courier New" w:hAnsi="Courier New"/>
          <w:sz w:val="20"/>
          <w:szCs w:val="20"/>
        </w:rPr>
        <w:t xml:space="preserve">0</w:t>
      </w:r>
      <w:r>
        <w:rPr>
          <w:rFonts w:ascii="Arial" w:cs="Arial" w:eastAsia="Arial" w:hAnsi="Arial"/>
          <w:sz w:val="22"/>
          <w:szCs w:val="22"/>
        </w:rPr>
        <w:t xml:space="preserve"> para el fin de fichero.</w:t>
      </w:r>
    </w:p>
    <w:p>
      <w:pPr>
        <w:pStyle w:val="Heading2"/>
        <w:spacing w:after="120" w:before="280"/>
      </w:pPr>
      <w:r>
        <w:rPr>
          <w:rFonts w:ascii="Arial" w:cs="Arial" w:eastAsia="Arial" w:hAnsi="Arial"/>
          <w:b/>
          <w:bCs/>
          <w:color w:val="2E5496"/>
          <w:sz w:val="24"/>
          <w:szCs w:val="24"/>
        </w:rPr>
        <w:t xml:space="preserve">4.2. Macros (sección de definiciones)</w:t>
      </w:r>
    </w:p>
    <w:p>
      <w:pPr>
        <w:spacing w:after="160" w:line="360"/>
        <w:jc w:val="both"/>
      </w:pPr>
      <w:r>
        <w:rPr>
          <w:rFonts w:ascii="Arial" w:cs="Arial" w:eastAsia="Arial" w:hAnsi="Arial"/>
          <w:sz w:val="22"/>
          <w:szCs w:val="22"/>
        </w:rPr>
        <w:t xml:space="preserve">Para simplificar la escritura de las reglas léxicas se definieron tres macros reutilizables:</w:t>
      </w:r>
    </w:p>
    <w:p>
      <w:pPr>
        <w:spacing w:after="60"/>
      </w:pPr>
      <w:r>
        <w:t xml:space="preserve"/>
      </w:r>
    </w:p>
    <w:p>
      <w:pPr>
        <w:shd w:fill="EFEFEF" w:color="auto" w:val="clear"/>
        <w:spacing w:after="0" w:before="0" w:line="240"/>
        <w:ind w:left="360" w:right="360"/>
      </w:pPr>
      <w:r>
        <w:rPr>
          <w:rFonts w:ascii="Courier New" w:cs="Courier New" w:eastAsia="Courier New" w:hAnsi="Courier New"/>
          <w:sz w:val="18"/>
          <w:szCs w:val="18"/>
        </w:rPr>
        <w:t xml:space="preserve">letra     = [a-zA-Z]</w:t>
      </w:r>
    </w:p>
    <w:p>
      <w:pPr>
        <w:shd w:fill="EFEFEF" w:color="auto" w:val="clear"/>
        <w:spacing w:after="0" w:before="0" w:line="240"/>
        <w:ind w:left="360" w:right="360"/>
      </w:pPr>
      <w:r>
        <w:rPr>
          <w:rFonts w:ascii="Courier New" w:cs="Courier New" w:eastAsia="Courier New" w:hAnsi="Courier New"/>
          <w:sz w:val="18"/>
          <w:szCs w:val="18"/>
        </w:rPr>
        <w:t xml:space="preserve">digito    = [0-9]</w:t>
      </w:r>
    </w:p>
    <w:p>
      <w:pPr>
        <w:shd w:fill="EFEFEF" w:color="auto" w:val="clear"/>
        <w:spacing w:after="0" w:before="0" w:line="240"/>
        <w:ind w:left="360" w:right="360"/>
      </w:pPr>
      <w:r>
        <w:rPr>
          <w:rFonts w:ascii="Courier New" w:cs="Courier New" w:eastAsia="Courier New" w:hAnsi="Courier New"/>
          <w:sz w:val="18"/>
          <w:szCs w:val="18"/>
        </w:rPr>
        <w:t xml:space="preserve">id_valido = {letra}({letra}|{digito})*</w:t>
      </w:r>
    </w:p>
    <w:p>
      <w:pPr>
        <w:shd w:fill="EFEFEF" w:color="auto" w:val="clear"/>
        <w:spacing w:after="0" w:before="0" w:line="240"/>
        <w:ind w:left="360" w:right="360"/>
      </w:pPr>
      <w:r>
        <w:rPr>
          <w:rFonts w:ascii="Courier New" w:cs="Courier New" w:eastAsia="Courier New" w:hAnsi="Courier New"/>
          <w:sz w:val="10"/>
          <w:szCs w:val="10"/>
        </w:rPr>
        <w:t xml:space="preserve"/>
      </w:r>
    </w:p>
    <w:p>
      <w:pPr>
        <w:spacing w:after="120"/>
      </w:pPr>
      <w:r>
        <w:t xml:space="preserve"/>
      </w:r>
    </w:p>
    <w:p>
      <w:pPr>
        <w:spacing w:after="160" w:line="360"/>
        <w:jc w:val="both"/>
      </w:pPr>
      <w:r>
        <w:rPr>
          <w:rFonts w:ascii="Arial" w:cs="Arial" w:eastAsia="Arial" w:hAnsi="Arial"/>
          <w:sz w:val="22"/>
          <w:szCs w:val="22"/>
        </w:rPr>
        <w:t xml:space="preserve">La macro </w:t>
      </w:r>
      <w:r>
        <w:rPr>
          <w:rFonts w:ascii="Courier New" w:cs="Courier New" w:eastAsia="Courier New" w:hAnsi="Courier New"/>
          <w:sz w:val="20"/>
          <w:szCs w:val="20"/>
        </w:rPr>
        <w:t xml:space="preserve">id_valido</w:t>
      </w:r>
      <w:r>
        <w:rPr>
          <w:rFonts w:ascii="Arial" w:cs="Arial" w:eastAsia="Arial" w:hAnsi="Arial"/>
          <w:sz w:val="22"/>
          <w:szCs w:val="22"/>
        </w:rPr>
        <w:t xml:space="preserve"> captura el patrón que deben seguir los identificadores de Pocket: comienzan obligatoriamente por una letra y pueden ir seguidos de cualquier combinación de letras y dígitos.</w:t>
      </w:r>
    </w:p>
    <w:p>
      <w:pPr>
        <w:pStyle w:val="Heading2"/>
        <w:spacing w:after="120" w:before="280"/>
      </w:pPr>
      <w:r>
        <w:rPr>
          <w:rFonts w:ascii="Arial" w:cs="Arial" w:eastAsia="Arial" w:hAnsi="Arial"/>
          <w:b/>
          <w:bCs/>
          <w:color w:val="2E5496"/>
          <w:sz w:val="24"/>
          <w:szCs w:val="24"/>
        </w:rPr>
        <w:t xml:space="preserve">4.3. Reglas léxicas</w:t>
      </w:r>
    </w:p>
    <w:p>
      <w:pPr>
        <w:spacing w:after="160" w:line="360"/>
        <w:jc w:val="both"/>
      </w:pPr>
      <w:r>
        <w:rPr>
          <w:rFonts w:ascii="Arial" w:cs="Arial" w:eastAsia="Arial" w:hAnsi="Arial"/>
          <w:sz w:val="22"/>
          <w:szCs w:val="22"/>
        </w:rPr>
        <w:t xml:space="preserve">Las reglas léxicas se organizan en los siguientes bloques, cuyo orden es relevante:</w:t>
      </w:r>
    </w:p>
    <w:p>
      <w:pPr>
        <w:spacing w:after="80"/>
      </w:pPr>
      <w:r>
        <w:t xml:space="preserve"/>
      </w:r>
    </w:p>
    <w:p>
      <w:pPr>
        <w:pStyle w:val="ListParagraph"/>
        <w:numPr>
          <w:ilvl w:val="0"/>
          <w:numId w:val="2"/>
        </w:numPr>
        <w:spacing w:after="100" w:line="320"/>
      </w:pPr>
      <w:r>
        <w:rPr>
          <w:rFonts w:ascii="Arial" w:cs="Arial" w:eastAsia="Arial" w:hAnsi="Arial"/>
          <w:b/>
          <w:bCs/>
          <w:sz w:val="22"/>
          <w:szCs w:val="22"/>
        </w:rPr>
        <w:t xml:space="preserve">Palabras reservadas. </w:t>
      </w:r>
      <w:r>
        <w:rPr>
          <w:rFonts w:ascii="Arial" w:cs="Arial" w:eastAsia="Arial" w:hAnsi="Arial"/>
          <w:sz w:val="22"/>
          <w:szCs w:val="22"/>
        </w:rPr>
        <w:t xml:space="preserve">Las 29 palabras clave del lenguaje (</w:t>
      </w:r>
      <w:r>
        <w:rPr>
          <w:rFonts w:ascii="Courier New" w:cs="Courier New" w:eastAsia="Courier New" w:hAnsi="Courier New"/>
          <w:sz w:val="20"/>
          <w:szCs w:val="20"/>
        </w:rPr>
        <w:t xml:space="preserve">main</w:t>
      </w:r>
      <w:r>
        <w:rPr>
          <w:rFonts w:ascii="Arial" w:cs="Arial" w:eastAsia="Arial" w:hAnsi="Arial"/>
          <w:sz w:val="22"/>
          <w:szCs w:val="22"/>
        </w:rPr>
        <w:t xml:space="preserve">, </w:t>
      </w:r>
      <w:r>
        <w:rPr>
          <w:rFonts w:ascii="Courier New" w:cs="Courier New" w:eastAsia="Courier New" w:hAnsi="Courier New"/>
          <w:sz w:val="20"/>
          <w:szCs w:val="20"/>
        </w:rPr>
        <w:t xml:space="preserve">int</w:t>
      </w:r>
      <w:r>
        <w:rPr>
          <w:rFonts w:ascii="Arial" w:cs="Arial" w:eastAsia="Arial" w:hAnsi="Arial"/>
          <w:sz w:val="22"/>
          <w:szCs w:val="22"/>
        </w:rPr>
        <w:t xml:space="preserve">, </w:t>
      </w:r>
      <w:r>
        <w:rPr>
          <w:rFonts w:ascii="Courier New" w:cs="Courier New" w:eastAsia="Courier New" w:hAnsi="Courier New"/>
          <w:sz w:val="20"/>
          <w:szCs w:val="20"/>
        </w:rPr>
        <w:t xml:space="preserve">if</w:t>
      </w:r>
      <w:r>
        <w:rPr>
          <w:rFonts w:ascii="Arial" w:cs="Arial" w:eastAsia="Arial" w:hAnsi="Arial"/>
          <w:sz w:val="22"/>
          <w:szCs w:val="22"/>
        </w:rPr>
        <w:t xml:space="preserve">, </w:t>
      </w:r>
      <w:r>
        <w:rPr>
          <w:rFonts w:ascii="Courier New" w:cs="Courier New" w:eastAsia="Courier New" w:hAnsi="Courier New"/>
          <w:sz w:val="20"/>
          <w:szCs w:val="20"/>
        </w:rPr>
        <w:t xml:space="preserve">while</w:t>
      </w:r>
      <w:r>
        <w:rPr>
          <w:rFonts w:ascii="Arial" w:cs="Arial" w:eastAsia="Arial" w:hAnsi="Arial"/>
          <w:sz w:val="22"/>
          <w:szCs w:val="22"/>
        </w:rPr>
        <w:t xml:space="preserve">, etc.) se colocan antes de la regla de identificadores. De este modo, cuando JFlex intenta reconocer un lexema, la cadena </w:t>
      </w:r>
      <w:r>
        <w:rPr>
          <w:rFonts w:ascii="Courier New" w:cs="Courier New" w:eastAsia="Courier New" w:hAnsi="Courier New"/>
          <w:sz w:val="20"/>
          <w:szCs w:val="20"/>
        </w:rPr>
        <w:t xml:space="preserve">while</w:t>
      </w:r>
      <w:r>
        <w:rPr>
          <w:rFonts w:ascii="Arial" w:cs="Arial" w:eastAsia="Arial" w:hAnsi="Arial"/>
          <w:sz w:val="22"/>
          <w:szCs w:val="22"/>
        </w:rPr>
        <w:t xml:space="preserve"> produce el token </w:t>
      </w:r>
      <w:r>
        <w:rPr>
          <w:rFonts w:ascii="Courier New" w:cs="Courier New" w:eastAsia="Courier New" w:hAnsi="Courier New"/>
          <w:sz w:val="20"/>
          <w:szCs w:val="20"/>
        </w:rPr>
        <w:t xml:space="preserve">TOK_WHILE</w:t>
      </w:r>
      <w:r>
        <w:rPr>
          <w:rFonts w:ascii="Arial" w:cs="Arial" w:eastAsia="Arial" w:hAnsi="Arial"/>
          <w:sz w:val="22"/>
          <w:szCs w:val="22"/>
        </w:rPr>
        <w:t xml:space="preserve"> en lugar de </w:t>
      </w:r>
      <w:r>
        <w:rPr>
          <w:rFonts w:ascii="Courier New" w:cs="Courier New" w:eastAsia="Courier New" w:hAnsi="Courier New"/>
          <w:sz w:val="20"/>
          <w:szCs w:val="20"/>
        </w:rPr>
        <w:t xml:space="preserve">TOK_IDENTIFICADOR</w:t>
      </w:r>
      <w:r>
        <w:rPr>
          <w:rFonts w:ascii="Arial" w:cs="Arial" w:eastAsia="Arial" w:hAnsi="Arial"/>
          <w:sz w:val="22"/>
          <w:szCs w:val="22"/>
        </w:rPr>
        <w:t xml:space="preserve">, aplicando la regla de primera coincidencia.</w:t>
      </w:r>
    </w:p>
    <w:p>
      <w:pPr>
        <w:pStyle w:val="ListParagraph"/>
        <w:numPr>
          <w:ilvl w:val="0"/>
          <w:numId w:val="2"/>
        </w:numPr>
        <w:spacing w:after="100" w:line="320"/>
      </w:pPr>
      <w:r>
        <w:rPr>
          <w:rFonts w:ascii="Arial" w:cs="Arial" w:eastAsia="Arial" w:hAnsi="Arial"/>
          <w:b/>
          <w:bCs/>
          <w:sz w:val="22"/>
          <w:szCs w:val="22"/>
        </w:rPr>
        <w:t xml:space="preserve">Operadores de dos caracteres. </w:t>
      </w:r>
      <w:r>
        <w:rPr>
          <w:rFonts w:ascii="Arial" w:cs="Arial" w:eastAsia="Arial" w:hAnsi="Arial"/>
          <w:sz w:val="22"/>
          <w:szCs w:val="22"/>
        </w:rPr>
        <w:t xml:space="preserve">Los seis operadores compuestos (</w:t>
      </w:r>
      <w:r>
        <w:rPr>
          <w:rFonts w:ascii="Courier New" w:cs="Courier New" w:eastAsia="Courier New" w:hAnsi="Courier New"/>
          <w:sz w:val="20"/>
          <w:szCs w:val="20"/>
        </w:rPr>
        <w:t xml:space="preserve">&amp;&amp;</w:t>
      </w:r>
      <w:r>
        <w:rPr>
          <w:rFonts w:ascii="Arial" w:cs="Arial" w:eastAsia="Arial" w:hAnsi="Arial"/>
          <w:sz w:val="22"/>
          <w:szCs w:val="22"/>
        </w:rPr>
        <w:t xml:space="preserve">, </w:t>
      </w:r>
      <w:r>
        <w:rPr>
          <w:rFonts w:ascii="Courier New" w:cs="Courier New" w:eastAsia="Courier New" w:hAnsi="Courier New"/>
          <w:sz w:val="20"/>
          <w:szCs w:val="20"/>
        </w:rPr>
        <w:t xml:space="preserve">||</w:t>
      </w:r>
      <w:r>
        <w:rPr>
          <w:rFonts w:ascii="Arial" w:cs="Arial" w:eastAsia="Arial" w:hAnsi="Arial"/>
          <w:sz w:val="22"/>
          <w:szCs w:val="22"/>
        </w:rPr>
        <w:t xml:space="preserve">, </w:t>
      </w:r>
      <w:r>
        <w:rPr>
          <w:rFonts w:ascii="Courier New" w:cs="Courier New" w:eastAsia="Courier New" w:hAnsi="Courier New"/>
          <w:sz w:val="20"/>
          <w:szCs w:val="20"/>
        </w:rPr>
        <w:t xml:space="preserve">==</w:t>
      </w:r>
      <w:r>
        <w:rPr>
          <w:rFonts w:ascii="Arial" w:cs="Arial" w:eastAsia="Arial" w:hAnsi="Arial"/>
          <w:sz w:val="22"/>
          <w:szCs w:val="22"/>
        </w:rPr>
        <w:t xml:space="preserve">, </w:t>
      </w:r>
      <w:r>
        <w:rPr>
          <w:rFonts w:ascii="Courier New" w:cs="Courier New" w:eastAsia="Courier New" w:hAnsi="Courier New"/>
          <w:sz w:val="20"/>
          <w:szCs w:val="20"/>
        </w:rPr>
        <w:t xml:space="preserve">!=</w:t>
      </w:r>
      <w:r>
        <w:rPr>
          <w:rFonts w:ascii="Arial" w:cs="Arial" w:eastAsia="Arial" w:hAnsi="Arial"/>
          <w:sz w:val="22"/>
          <w:szCs w:val="22"/>
        </w:rPr>
        <w:t xml:space="preserve">, </w:t>
      </w:r>
      <w:r>
        <w:rPr>
          <w:rFonts w:ascii="Courier New" w:cs="Courier New" w:eastAsia="Courier New" w:hAnsi="Courier New"/>
          <w:sz w:val="20"/>
          <w:szCs w:val="20"/>
        </w:rPr>
        <w:t xml:space="preserve">&lt;=</w:t>
      </w:r>
      <w:r>
        <w:rPr>
          <w:rFonts w:ascii="Arial" w:cs="Arial" w:eastAsia="Arial" w:hAnsi="Arial"/>
          <w:sz w:val="22"/>
          <w:szCs w:val="22"/>
        </w:rPr>
        <w:t xml:space="preserve">, </w:t>
      </w:r>
      <w:r>
        <w:rPr>
          <w:rFonts w:ascii="Courier New" w:cs="Courier New" w:eastAsia="Courier New" w:hAnsi="Courier New"/>
          <w:sz w:val="20"/>
          <w:szCs w:val="20"/>
        </w:rPr>
        <w:t xml:space="preserve">&gt;=</w:t>
      </w:r>
      <w:r>
        <w:rPr>
          <w:rFonts w:ascii="Arial" w:cs="Arial" w:eastAsia="Arial" w:hAnsi="Arial"/>
          <w:sz w:val="22"/>
          <w:szCs w:val="22"/>
        </w:rPr>
        <w:t xml:space="preserve">) aparecen antes que sus versiones de un carácter. Aunque JFlex aplica la regla del lexema más largo —lo que en la práctica impide que </w:t>
      </w:r>
      <w:r>
        <w:rPr>
          <w:rFonts w:ascii="Courier New" w:cs="Courier New" w:eastAsia="Courier New" w:hAnsi="Courier New"/>
          <w:sz w:val="20"/>
          <w:szCs w:val="20"/>
        </w:rPr>
        <w:t xml:space="preserve">&amp;&amp;</w:t>
      </w:r>
      <w:r>
        <w:rPr>
          <w:rFonts w:ascii="Arial" w:cs="Arial" w:eastAsia="Arial" w:hAnsi="Arial"/>
          <w:sz w:val="22"/>
          <w:szCs w:val="22"/>
        </w:rPr>
        <w:t xml:space="preserve"> se interprete como dos </w:t>
      </w:r>
      <w:r>
        <w:rPr>
          <w:rFonts w:ascii="Courier New" w:cs="Courier New" w:eastAsia="Courier New" w:hAnsi="Courier New"/>
          <w:sz w:val="20"/>
          <w:szCs w:val="20"/>
        </w:rPr>
        <w:t xml:space="preserve">&amp;</w:t>
      </w:r>
      <w:r>
        <w:rPr>
          <w:rFonts w:ascii="Arial" w:cs="Arial" w:eastAsia="Arial" w:hAnsi="Arial"/>
          <w:sz w:val="22"/>
          <w:szCs w:val="22"/>
        </w:rPr>
        <w:t xml:space="preserve"> separados—, mantener este orden explicita la intención y previene posibles ambigüedades.</w:t>
      </w:r>
    </w:p>
    <w:p>
      <w:pPr>
        <w:pStyle w:val="ListParagraph"/>
        <w:numPr>
          <w:ilvl w:val="0"/>
          <w:numId w:val="2"/>
        </w:numPr>
        <w:spacing w:after="100" w:line="320"/>
      </w:pPr>
      <w:r>
        <w:rPr>
          <w:rFonts w:ascii="Arial" w:cs="Arial" w:eastAsia="Arial" w:hAnsi="Arial"/>
          <w:b/>
          <w:bCs/>
          <w:sz w:val="22"/>
          <w:szCs w:val="22"/>
        </w:rPr>
        <w:t xml:space="preserve">Operadores y delimitadores de un carácter. </w:t>
      </w:r>
      <w:r>
        <w:rPr>
          <w:rFonts w:ascii="Arial" w:cs="Arial" w:eastAsia="Arial" w:hAnsi="Arial"/>
          <w:sz w:val="22"/>
          <w:szCs w:val="22"/>
        </w:rPr>
        <w:t xml:space="preserve">Los 18 símbolos restantes (</w:t>
      </w:r>
      <w:r>
        <w:rPr>
          <w:rFonts w:ascii="Courier New" w:cs="Courier New" w:eastAsia="Courier New" w:hAnsi="Courier New"/>
          <w:sz w:val="20"/>
          <w:szCs w:val="20"/>
        </w:rPr>
        <w:t xml:space="preserve">;</w:t>
      </w:r>
      <w:r>
        <w:rPr>
          <w:rFonts w:ascii="Arial" w:cs="Arial" w:eastAsia="Arial" w:hAnsi="Arial"/>
          <w:sz w:val="22"/>
          <w:szCs w:val="22"/>
        </w:rPr>
        <w:t xml:space="preserve">, </w:t>
      </w:r>
      <w:r>
        <w:rPr>
          <w:rFonts w:ascii="Courier New" w:cs="Courier New" w:eastAsia="Courier New" w:hAnsi="Courier New"/>
          <w:sz w:val="20"/>
          <w:szCs w:val="20"/>
        </w:rPr>
        <w:t xml:space="preserve">,</w:t>
      </w:r>
      <w:r>
        <w:rPr>
          <w:rFonts w:ascii="Arial" w:cs="Arial" w:eastAsia="Arial" w:hAnsi="Arial"/>
          <w:sz w:val="22"/>
          <w:szCs w:val="22"/>
        </w:rPr>
        <w:t xml:space="preserve">, </w:t>
      </w:r>
      <w:r>
        <w:rPr>
          <w:rFonts w:ascii="Courier New" w:cs="Courier New" w:eastAsia="Courier New" w:hAnsi="Courier New"/>
          <w:sz w:val="20"/>
          <w:szCs w:val="20"/>
        </w:rPr>
        <w:t xml:space="preserve">(</w:t>
      </w:r>
      <w:r>
        <w:rPr>
          <w:rFonts w:ascii="Arial" w:cs="Arial" w:eastAsia="Arial" w:hAnsi="Arial"/>
          <w:sz w:val="22"/>
          <w:szCs w:val="22"/>
        </w:rPr>
        <w:t xml:space="preserve">, </w:t>
      </w:r>
      <w:r>
        <w:rPr>
          <w:rFonts w:ascii="Courier New" w:cs="Courier New" w:eastAsia="Courier New" w:hAnsi="Courier New"/>
          <w:sz w:val="20"/>
          <w:szCs w:val="20"/>
        </w:rPr>
        <w:t xml:space="preserve">{</w:t>
      </w:r>
      <w:r>
        <w:rPr>
          <w:rFonts w:ascii="Arial" w:cs="Arial" w:eastAsia="Arial" w:hAnsi="Arial"/>
          <w:sz w:val="22"/>
          <w:szCs w:val="22"/>
        </w:rPr>
        <w:t xml:space="preserve">, </w:t>
      </w:r>
      <w:r>
        <w:rPr>
          <w:rFonts w:ascii="Courier New" w:cs="Courier New" w:eastAsia="Courier New" w:hAnsi="Courier New"/>
          <w:sz w:val="20"/>
          <w:szCs w:val="20"/>
        </w:rPr>
        <w:t xml:space="preserve">=</w:t>
      </w:r>
      <w:r>
        <w:rPr>
          <w:rFonts w:ascii="Arial" w:cs="Arial" w:eastAsia="Arial" w:hAnsi="Arial"/>
          <w:sz w:val="22"/>
          <w:szCs w:val="22"/>
        </w:rPr>
        <w:t xml:space="preserve">, </w:t>
      </w:r>
      <w:r>
        <w:rPr>
          <w:rFonts w:ascii="Courier New" w:cs="Courier New" w:eastAsia="Courier New" w:hAnsi="Courier New"/>
          <w:sz w:val="20"/>
          <w:szCs w:val="20"/>
        </w:rPr>
        <w:t xml:space="preserve">+</w:t>
      </w:r>
      <w:r>
        <w:rPr>
          <w:rFonts w:ascii="Arial" w:cs="Arial" w:eastAsia="Arial" w:hAnsi="Arial"/>
          <w:sz w:val="22"/>
          <w:szCs w:val="22"/>
        </w:rPr>
        <w:t xml:space="preserve">…). Los caracteres con significado especial en expresiones regulares se protegen encerrándolos entre comillas dobles.</w:t>
      </w:r>
    </w:p>
    <w:p>
      <w:pPr>
        <w:pStyle w:val="ListParagraph"/>
        <w:numPr>
          <w:ilvl w:val="0"/>
          <w:numId w:val="2"/>
        </w:numPr>
        <w:spacing w:after="100" w:line="320"/>
      </w:pPr>
      <w:r>
        <w:rPr>
          <w:rFonts w:ascii="Arial" w:cs="Arial" w:eastAsia="Arial" w:hAnsi="Arial"/>
          <w:b/>
          <w:bCs/>
          <w:sz w:val="22"/>
          <w:szCs w:val="22"/>
        </w:rPr>
        <w:t xml:space="preserve">Identificadores y constantes. </w:t>
      </w:r>
      <w:r>
        <w:rPr>
          <w:rFonts w:ascii="Arial" w:cs="Arial" w:eastAsia="Arial" w:hAnsi="Arial"/>
          <w:sz w:val="22"/>
          <w:szCs w:val="22"/>
        </w:rPr>
        <w:t xml:space="preserve">La regla de identificador aplica la macro </w:t>
      </w:r>
      <w:r>
        <w:rPr>
          <w:rFonts w:ascii="Courier New" w:cs="Courier New" w:eastAsia="Courier New" w:hAnsi="Courier New"/>
          <w:sz w:val="20"/>
          <w:szCs w:val="20"/>
        </w:rPr>
        <w:t xml:space="preserve">{id_valido}</w:t>
      </w:r>
      <w:r>
        <w:rPr>
          <w:rFonts w:ascii="Arial" w:cs="Arial" w:eastAsia="Arial" w:hAnsi="Arial"/>
          <w:sz w:val="22"/>
          <w:szCs w:val="22"/>
        </w:rPr>
        <w:t xml:space="preserve"> e incluye una comprobación de longitud: si el lexema reconocido supera los 100 caracteres, se emite un mensaje de error morfológico por la salida estándar de errores y se devuelve </w:t>
      </w:r>
      <w:r>
        <w:rPr>
          <w:rFonts w:ascii="Courier New" w:cs="Courier New" w:eastAsia="Courier New" w:hAnsi="Courier New"/>
          <w:sz w:val="20"/>
          <w:szCs w:val="20"/>
        </w:rPr>
        <w:t xml:space="preserve">TOK_ERROR</w:t>
      </w:r>
      <w:r>
        <w:rPr>
          <w:rFonts w:ascii="Arial" w:cs="Arial" w:eastAsia="Arial" w:hAnsi="Arial"/>
          <w:sz w:val="22"/>
          <w:szCs w:val="22"/>
        </w:rPr>
        <w:t xml:space="preserve">. De lo contrario, devuelve </w:t>
      </w:r>
      <w:r>
        <w:rPr>
          <w:rFonts w:ascii="Courier New" w:cs="Courier New" w:eastAsia="Courier New" w:hAnsi="Courier New"/>
          <w:sz w:val="20"/>
          <w:szCs w:val="20"/>
        </w:rPr>
        <w:t xml:space="preserve">TOK_IDENTIFICADOR</w:t>
      </w:r>
      <w:r>
        <w:rPr>
          <w:rFonts w:ascii="Arial" w:cs="Arial" w:eastAsia="Arial" w:hAnsi="Arial"/>
          <w:sz w:val="22"/>
          <w:szCs w:val="22"/>
        </w:rPr>
        <w:t xml:space="preserve">. Las constantes enteras y reales se reconocen con </w:t>
      </w:r>
      <w:r>
        <w:rPr>
          <w:rFonts w:ascii="Courier New" w:cs="Courier New" w:eastAsia="Courier New" w:hAnsi="Courier New"/>
          <w:sz w:val="20"/>
          <w:szCs w:val="20"/>
        </w:rPr>
        <w:t xml:space="preserve">{digito}+</w:t>
      </w:r>
      <w:r>
        <w:rPr>
          <w:rFonts w:ascii="Arial" w:cs="Arial" w:eastAsia="Arial" w:hAnsi="Arial"/>
          <w:sz w:val="22"/>
          <w:szCs w:val="22"/>
        </w:rPr>
        <w:t xml:space="preserve"> y </w:t>
      </w:r>
      <w:r>
        <w:rPr>
          <w:rFonts w:ascii="Courier New" w:cs="Courier New" w:eastAsia="Courier New" w:hAnsi="Courier New"/>
          <w:sz w:val="20"/>
          <w:szCs w:val="20"/>
        </w:rPr>
        <w:t xml:space="preserve">{digito}+"."{digito}+</w:t>
      </w:r>
      <w:r>
        <w:rPr>
          <w:rFonts w:ascii="Arial" w:cs="Arial" w:eastAsia="Arial" w:hAnsi="Arial"/>
          <w:sz w:val="22"/>
          <w:szCs w:val="22"/>
        </w:rPr>
        <w:t xml:space="preserve"> respectivamente, siendo la regla de constante real la que aparece primero.</w:t>
      </w:r>
    </w:p>
    <w:p>
      <w:pPr>
        <w:pStyle w:val="ListParagraph"/>
        <w:numPr>
          <w:ilvl w:val="0"/>
          <w:numId w:val="2"/>
        </w:numPr>
        <w:spacing w:after="100" w:line="320"/>
      </w:pPr>
      <w:r>
        <w:rPr>
          <w:rFonts w:ascii="Arial" w:cs="Arial" w:eastAsia="Arial" w:hAnsi="Arial"/>
          <w:b/>
          <w:bCs/>
          <w:sz w:val="22"/>
          <w:szCs w:val="22"/>
        </w:rPr>
        <w:t xml:space="preserve">Ignorar espacios y comentarios. </w:t>
      </w:r>
      <w:r>
        <w:rPr>
          <w:rFonts w:ascii="Arial" w:cs="Arial" w:eastAsia="Arial" w:hAnsi="Arial"/>
          <w:sz w:val="22"/>
          <w:szCs w:val="22"/>
        </w:rPr>
        <w:t xml:space="preserve">El patrón </w:t>
      </w:r>
      <w:r>
        <w:rPr>
          <w:rFonts w:ascii="Courier New" w:cs="Courier New" w:eastAsia="Courier New" w:hAnsi="Courier New"/>
          <w:sz w:val="20"/>
          <w:szCs w:val="20"/>
        </w:rPr>
        <w:t xml:space="preserve">[ \t\r\n]+</w:t>
      </w:r>
      <w:r>
        <w:rPr>
          <w:rFonts w:ascii="Arial" w:cs="Arial" w:eastAsia="Arial" w:hAnsi="Arial"/>
          <w:sz w:val="22"/>
          <w:szCs w:val="22"/>
        </w:rPr>
        <w:t xml:space="preserve"> consume cualquier secuencia de blancos sin devolver token. Los comentarios de línea (</w:t>
      </w:r>
      <w:r>
        <w:rPr>
          <w:rFonts w:ascii="Courier New" w:cs="Courier New" w:eastAsia="Courier New" w:hAnsi="Courier New"/>
          <w:sz w:val="20"/>
          <w:szCs w:val="20"/>
        </w:rPr>
        <w:t xml:space="preserve">//</w:t>
      </w:r>
      <w:r>
        <w:rPr>
          <w:rFonts w:ascii="Arial" w:cs="Arial" w:eastAsia="Arial" w:hAnsi="Arial"/>
          <w:sz w:val="22"/>
          <w:szCs w:val="22"/>
        </w:rPr>
        <w:t xml:space="preserve"> hasta fin de línea) se capturan con </w:t>
      </w:r>
      <w:r>
        <w:rPr>
          <w:rFonts w:ascii="Courier New" w:cs="Courier New" w:eastAsia="Courier New" w:hAnsi="Courier New"/>
          <w:sz w:val="20"/>
          <w:szCs w:val="20"/>
        </w:rPr>
        <w:t xml:space="preserve">"//"[^\n]*</w:t>
      </w:r>
      <w:r>
        <w:rPr>
          <w:rFonts w:ascii="Arial" w:cs="Arial" w:eastAsia="Arial" w:hAnsi="Arial"/>
          <w:sz w:val="22"/>
          <w:szCs w:val="22"/>
        </w:rPr>
        <w:t xml:space="preserve"> y se descartan de igual manera.</w:t>
      </w:r>
    </w:p>
    <w:p>
      <w:pPr>
        <w:pStyle w:val="ListParagraph"/>
        <w:numPr>
          <w:ilvl w:val="0"/>
          <w:numId w:val="2"/>
        </w:numPr>
        <w:spacing w:after="100" w:line="320"/>
      </w:pPr>
      <w:r>
        <w:rPr>
          <w:rFonts w:ascii="Arial" w:cs="Arial" w:eastAsia="Arial" w:hAnsi="Arial"/>
          <w:b/>
          <w:bCs/>
          <w:sz w:val="22"/>
          <w:szCs w:val="22"/>
        </w:rPr>
        <w:t xml:space="preserve">Error por símbolo no permitido. </w:t>
      </w:r>
      <w:r>
        <w:rPr>
          <w:rFonts w:ascii="Arial" w:cs="Arial" w:eastAsia="Arial" w:hAnsi="Arial"/>
          <w:sz w:val="22"/>
          <w:szCs w:val="22"/>
        </w:rPr>
        <w:t xml:space="preserve">El comodín </w:t>
      </w:r>
      <w:r>
        <w:rPr>
          <w:rFonts w:ascii="Courier New" w:cs="Courier New" w:eastAsia="Courier New" w:hAnsi="Courier New"/>
          <w:sz w:val="20"/>
          <w:szCs w:val="20"/>
        </w:rPr>
        <w:t xml:space="preserve">.</w:t>
      </w:r>
      <w:r>
        <w:rPr>
          <w:rFonts w:ascii="Arial" w:cs="Arial" w:eastAsia="Arial" w:hAnsi="Arial"/>
          <w:sz w:val="22"/>
          <w:szCs w:val="22"/>
        </w:rPr>
        <w:t xml:space="preserve"> al final de la sección captura cualquier carácter no reconocido por las reglas anteriores, emite el mensaje de error morfológico correspondiente y devuelve </w:t>
      </w:r>
      <w:r>
        <w:rPr>
          <w:rFonts w:ascii="Courier New" w:cs="Courier New" w:eastAsia="Courier New" w:hAnsi="Courier New"/>
          <w:sz w:val="20"/>
          <w:szCs w:val="20"/>
        </w:rPr>
        <w:t xml:space="preserve">TOK_ERROR</w:t>
      </w:r>
      <w:r>
        <w:rPr>
          <w:rFonts w:ascii="Arial" w:cs="Arial" w:eastAsia="Arial" w:hAnsi="Arial"/>
          <w:sz w:val="22"/>
          <w:szCs w:val="22"/>
        </w:rPr>
        <w:t xml:space="preserve">.</w:t>
      </w:r>
    </w:p>
    <w:p>
      <w:pPr>
        <w:pStyle w:val="ListParagraph"/>
        <w:numPr>
          <w:ilvl w:val="0"/>
          <w:numId w:val="2"/>
        </w:numPr>
        <w:spacing w:after="120" w:line="320"/>
      </w:pPr>
      <w:r>
        <w:rPr>
          <w:rFonts w:ascii="Arial" w:cs="Arial" w:eastAsia="Arial" w:hAnsi="Arial"/>
          <w:b/>
          <w:bCs/>
          <w:sz w:val="22"/>
          <w:szCs w:val="22"/>
        </w:rPr>
        <w:t xml:space="preserve">Fin de fichero. </w:t>
      </w:r>
      <w:r>
        <w:rPr>
          <w:rFonts w:ascii="Arial" w:cs="Arial" w:eastAsia="Arial" w:hAnsi="Arial"/>
          <w:sz w:val="22"/>
          <w:szCs w:val="22"/>
        </w:rPr>
        <w:t xml:space="preserve">La regla </w:t>
      </w:r>
      <w:r>
        <w:rPr>
          <w:rFonts w:ascii="Courier New" w:cs="Courier New" w:eastAsia="Courier New" w:hAnsi="Courier New"/>
          <w:sz w:val="20"/>
          <w:szCs w:val="20"/>
        </w:rPr>
        <w:t xml:space="preserve">&lt;&lt;EOF&gt;&gt;</w:t>
      </w:r>
      <w:r>
        <w:rPr>
          <w:rFonts w:ascii="Arial" w:cs="Arial" w:eastAsia="Arial" w:hAnsi="Arial"/>
          <w:sz w:val="22"/>
          <w:szCs w:val="22"/>
        </w:rPr>
        <w:t xml:space="preserve"> devuelve </w:t>
      </w:r>
      <w:r>
        <w:rPr>
          <w:rFonts w:ascii="Courier New" w:cs="Courier New" w:eastAsia="Courier New" w:hAnsi="Courier New"/>
          <w:sz w:val="20"/>
          <w:szCs w:val="20"/>
        </w:rPr>
        <w:t xml:space="preserve">0</w:t>
      </w:r>
      <w:r>
        <w:rPr>
          <w:rFonts w:ascii="Arial" w:cs="Arial" w:eastAsia="Arial" w:hAnsi="Arial"/>
          <w:sz w:val="22"/>
          <w:szCs w:val="22"/>
        </w:rPr>
        <w:t xml:space="preserve"> para indicar al programa de prueba que no hay más tokens. Sin esta regla, JFlex 1.9 genera un </w:t>
      </w:r>
      <w:r>
        <w:rPr>
          <w:rFonts w:ascii="Courier New" w:cs="Courier New" w:eastAsia="Courier New" w:hAnsi="Courier New"/>
          <w:sz w:val="20"/>
          <w:szCs w:val="20"/>
        </w:rPr>
        <w:t xml:space="preserve">return null</w:t>
      </w:r>
      <w:r>
        <w:rPr>
          <w:rFonts w:ascii="Arial" w:cs="Arial" w:eastAsia="Arial" w:hAnsi="Arial"/>
          <w:sz w:val="22"/>
          <w:szCs w:val="22"/>
        </w:rPr>
        <w:t xml:space="preserve"> que es incompatible con el tipo de retorno </w:t>
      </w:r>
      <w:r>
        <w:rPr>
          <w:rFonts w:ascii="Courier New" w:cs="Courier New" w:eastAsia="Courier New" w:hAnsi="Courier New"/>
          <w:sz w:val="20"/>
          <w:szCs w:val="20"/>
        </w:rPr>
        <w:t xml:space="preserve">int</w:t>
      </w:r>
      <w:r>
        <w:rPr>
          <w:rFonts w:ascii="Arial" w:cs="Arial" w:eastAsia="Arial" w:hAnsi="Arial"/>
          <w:sz w:val="22"/>
          <w:szCs w:val="22"/>
        </w:rPr>
        <w:t xml:space="preserve">.</w:t>
      </w:r>
    </w:p>
    <w:p>
      <w:pPr>
        <w:spacing w:after="120"/>
      </w:pPr>
      <w:r>
        <w:t xml:space="preserve"/>
      </w:r>
    </w:p>
    <w:p>
      <w:pPr>
        <w:pStyle w:val="Heading1"/>
        <w:spacing w:after="160" w:before="360"/>
      </w:pPr>
      <w:r>
        <w:rPr>
          <w:rFonts w:ascii="Arial" w:cs="Arial" w:eastAsia="Arial" w:hAnsi="Arial"/>
          <w:b/>
          <w:bCs/>
          <w:color w:val="1F3864"/>
          <w:sz w:val="28"/>
          <w:szCs w:val="28"/>
        </w:rPr>
        <w:t xml:space="preserve">5. Tokens del lenguaje Pocket</w:t>
      </w:r>
    </w:p>
    <w:p>
      <w:pPr>
        <w:spacing w:after="160" w:line="360"/>
        <w:jc w:val="both"/>
      </w:pPr>
      <w:r>
        <w:rPr>
          <w:rFonts w:ascii="Arial" w:cs="Arial" w:eastAsia="Arial" w:hAnsi="Arial"/>
          <w:sz w:val="22"/>
          <w:szCs w:val="22"/>
        </w:rPr>
        <w:t xml:space="preserve">A continuación se muestra una selección representativa de los tokens reconocidos, agrupados por categoría. En total la especificación cubre 56 tokens.</w:t>
      </w:r>
    </w:p>
    <w:p>
      <w:pPr>
        <w:spacing w:after="100"/>
      </w:pPr>
      <w: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787"/>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50"/>
            </w:tcMar>
          </w:tcPr>
          <w:p>
            <w:pPr>
              <w:jc w:val="left"/>
            </w:pPr>
            <w:r>
              <w:rPr>
                <w:rFonts w:ascii="Arial" w:cs="Arial" w:eastAsia="Arial" w:hAnsi="Arial"/>
                <w:b/>
                <w:bCs/>
                <w:color w:val="FFFFFF"/>
                <w:sz w:val="20"/>
                <w:szCs w:val="20"/>
              </w:rPr>
              <w:t xml:space="preserve">Token</w:t>
            </w:r>
          </w:p>
        </w:tc>
        <w:tc>
          <w:tcPr>
            <w:tcW w:type="dxa" w:w="2500"/>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50"/>
            </w:tcMar>
          </w:tcPr>
          <w:p>
            <w:pPr>
              <w:jc w:val="left"/>
            </w:pPr>
            <w:r>
              <w:rPr>
                <w:rFonts w:ascii="Arial" w:cs="Arial" w:eastAsia="Arial" w:hAnsi="Arial"/>
                <w:b/>
                <w:bCs/>
                <w:color w:val="FFFFFF"/>
                <w:sz w:val="20"/>
                <w:szCs w:val="20"/>
              </w:rPr>
              <w:t xml:space="preserve">Lexema</w:t>
            </w:r>
          </w:p>
        </w:tc>
        <w:tc>
          <w:tcPr>
            <w:tcW w:type="dxa" w:w="2787"/>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50"/>
            </w:tcMar>
          </w:tcPr>
          <w:p>
            <w:pPr>
              <w:jc w:val="left"/>
            </w:pPr>
            <w:r>
              <w:rPr>
                <w:rFonts w:ascii="Arial" w:cs="Arial" w:eastAsia="Arial" w:hAnsi="Arial"/>
                <w:b/>
                <w:bCs/>
                <w:color w:val="FFFFFF"/>
                <w:sz w:val="20"/>
                <w:szCs w:val="20"/>
              </w:rPr>
              <w:t xml:space="preserve">Expresión regular</w:t>
            </w:r>
          </w:p>
        </w:tc>
      </w:tr>
      <w:tr>
        <w:trPr>
          <w:tblHeader w:val="false"/>
        </w:trPr>
        <w:tc>
          <w:tcPr>
            <w:tcW w:type="dxa" w:w="3500"/>
            <w:tcBorders>
              <w:top w:val="single" w:color="CCCCCC" w:sz="1"/>
              <w:left w:val="single" w:color="CCCCCC" w:sz="1"/>
              <w:bottom w:val="single" w:color="CCCCCC" w:sz="1"/>
              <w:right w:val="single" w:color="CCCCCC" w:sz="1"/>
            </w:tcBorders>
            <w:shd w:val="clear" w:fill="auto" w:color="auto"/>
            <w:tcMar>
              <w:top w:type="dxa" w:w="80"/>
              <w:left w:type="dxa" w:w="150"/>
              <w:bottom w:type="dxa" w:w="80"/>
              <w:right w:type="dxa" w:w="150"/>
            </w:tcMar>
          </w:tcPr>
          <w:p>
            <w:pPr>
              <w:jc w:val="left"/>
            </w:pPr>
            <w:r>
              <w:rPr>
                <w:rFonts w:ascii="Courier New" w:cs="Courier New" w:eastAsia="Courier New" w:hAnsi="Courier New"/>
                <w:b w:val="false"/>
                <w:bCs w:val="false"/>
                <w:color w:val="000000"/>
                <w:sz w:val="18"/>
                <w:szCs w:val="18"/>
              </w:rPr>
              <w:t xml:space="preserve">TOK_MAIN</w:t>
            </w:r>
          </w:p>
        </w:tc>
        <w:tc>
          <w:tcPr>
            <w:tcW w:type="dxa" w:w="2500"/>
            <w:tcBorders>
              <w:top w:val="single" w:color="CCCCCC" w:sz="1"/>
              <w:left w:val="single" w:color="CCCCCC" w:sz="1"/>
              <w:bottom w:val="single" w:color="CCCCCC" w:sz="1"/>
              <w:right w:val="single" w:color="CCCCCC" w:sz="1"/>
            </w:tcBorders>
            <w:shd w:val="clear" w:fill="auto" w:color="auto"/>
            <w:tcMar>
              <w:top w:type="dxa" w:w="80"/>
              <w:left w:type="dxa" w:w="150"/>
              <w:bottom w:type="dxa" w:w="80"/>
              <w:right w:type="dxa" w:w="150"/>
            </w:tcMar>
          </w:tcPr>
          <w:p>
            <w:pPr>
              <w:jc w:val="left"/>
            </w:pPr>
            <w:r>
              <w:rPr>
                <w:rFonts w:ascii="Courier New" w:cs="Courier New" w:eastAsia="Courier New" w:hAnsi="Courier New"/>
                <w:b w:val="false"/>
                <w:bCs w:val="false"/>
                <w:color w:val="000000"/>
                <w:sz w:val="18"/>
                <w:szCs w:val="18"/>
              </w:rPr>
              <w:t xml:space="preserve">main</w:t>
            </w:r>
          </w:p>
        </w:tc>
        <w:tc>
          <w:tcPr>
            <w:tcW w:type="dxa" w:w="2787"/>
            <w:tcBorders>
              <w:top w:val="single" w:color="CCCCCC" w:sz="1"/>
              <w:left w:val="single" w:color="CCCCCC" w:sz="1"/>
              <w:bottom w:val="single" w:color="CCCCCC" w:sz="1"/>
              <w:right w:val="single" w:color="CCCCCC" w:sz="1"/>
            </w:tcBorders>
            <w:shd w:val="clear" w:fill="auto" w:color="auto"/>
            <w:tcMar>
              <w:top w:type="dxa" w:w="80"/>
              <w:left w:type="dxa" w:w="150"/>
              <w:bottom w:type="dxa" w:w="80"/>
              <w:right w:type="dxa" w:w="150"/>
            </w:tcMar>
          </w:tcPr>
          <w:p>
            <w:pPr>
              <w:jc w:val="left"/>
            </w:pPr>
            <w:r>
              <w:rPr>
                <w:rFonts w:ascii="Courier New" w:cs="Courier New" w:eastAsia="Courier New" w:hAnsi="Courier New"/>
                <w:b w:val="false"/>
                <w:bCs w:val="false"/>
                <w:color w:val="000000"/>
                <w:sz w:val="18"/>
                <w:szCs w:val="18"/>
              </w:rPr>
              <w:t xml:space="preserve">"main"</w:t>
            </w:r>
          </w:p>
        </w:tc>
      </w:tr>
      <w:tr>
        <w:trPr>
          <w:tblHeader w:val="false"/>
        </w:trPr>
        <w:tc>
          <w:tcPr>
            <w:tcW w:type="dxa" w:w="3500"/>
            <w:tcBorders>
              <w:top w:val="single" w:color="CCCCCC" w:sz="1"/>
              <w:left w:val="single" w:color="CCCCCC" w:sz="1"/>
              <w:bottom w:val="single" w:color="CCCCCC" w:sz="1"/>
              <w:right w:val="single" w:color="CCCCCC" w:sz="1"/>
            </w:tcBorders>
            <w:shd w:val="clear" w:fill="auto" w:color="auto"/>
            <w:tcMar>
              <w:top w:type="dxa" w:w="80"/>
              <w:left w:type="dxa" w:w="150"/>
              <w:bottom w:type="dxa" w:w="80"/>
              <w:right w:type="dxa" w:w="150"/>
            </w:tcMar>
          </w:tcPr>
          <w:p>
            <w:pPr>
              <w:jc w:val="left"/>
            </w:pPr>
            <w:r>
              <w:rPr>
                <w:rFonts w:ascii="Courier New" w:cs="Courier New" w:eastAsia="Courier New" w:hAnsi="Courier New"/>
                <w:b w:val="false"/>
                <w:bCs w:val="false"/>
                <w:color w:val="000000"/>
                <w:sz w:val="18"/>
                <w:szCs w:val="18"/>
              </w:rPr>
              <w:t xml:space="preserve">TOK_INT</w:t>
            </w:r>
          </w:p>
        </w:tc>
        <w:tc>
          <w:tcPr>
            <w:tcW w:type="dxa" w:w="2500"/>
            <w:tcBorders>
              <w:top w:val="single" w:color="CCCCCC" w:sz="1"/>
              <w:left w:val="single" w:color="CCCCCC" w:sz="1"/>
              <w:bottom w:val="single" w:color="CCCCCC" w:sz="1"/>
              <w:right w:val="single" w:color="CCCCCC" w:sz="1"/>
            </w:tcBorders>
            <w:shd w:val="clear" w:fill="auto" w:color="auto"/>
            <w:tcMar>
              <w:top w:type="dxa" w:w="80"/>
              <w:left w:type="dxa" w:w="150"/>
              <w:bottom w:type="dxa" w:w="80"/>
              <w:right w:type="dxa" w:w="150"/>
            </w:tcMar>
          </w:tcPr>
          <w:p>
            <w:pPr>
              <w:jc w:val="left"/>
            </w:pPr>
            <w:r>
              <w:rPr>
                <w:rFonts w:ascii="Courier New" w:cs="Courier New" w:eastAsia="Courier New" w:hAnsi="Courier New"/>
                <w:b w:val="false"/>
                <w:bCs w:val="false"/>
                <w:color w:val="000000"/>
                <w:sz w:val="18"/>
                <w:szCs w:val="18"/>
              </w:rPr>
              <w:t xml:space="preserve">int</w:t>
            </w:r>
          </w:p>
        </w:tc>
        <w:tc>
          <w:tcPr>
            <w:tcW w:type="dxa" w:w="2787"/>
            <w:tcBorders>
              <w:top w:val="single" w:color="CCCCCC" w:sz="1"/>
              <w:left w:val="single" w:color="CCCCCC" w:sz="1"/>
              <w:bottom w:val="single" w:color="CCCCCC" w:sz="1"/>
              <w:right w:val="single" w:color="CCCCCC" w:sz="1"/>
            </w:tcBorders>
            <w:shd w:val="clear" w:fill="auto" w:color="auto"/>
            <w:tcMar>
              <w:top w:type="dxa" w:w="80"/>
              <w:left w:type="dxa" w:w="150"/>
              <w:bottom w:type="dxa" w:w="80"/>
              <w:right w:type="dxa" w:w="150"/>
            </w:tcMar>
          </w:tcPr>
          <w:p>
            <w:pPr>
              <w:jc w:val="left"/>
            </w:pPr>
            <w:r>
              <w:rPr>
                <w:rFonts w:ascii="Courier New" w:cs="Courier New" w:eastAsia="Courier New" w:hAnsi="Courier New"/>
                <w:b w:val="false"/>
                <w:bCs w:val="false"/>
                <w:color w:val="000000"/>
                <w:sz w:val="18"/>
                <w:szCs w:val="18"/>
              </w:rPr>
              <w:t xml:space="preserve">"int"</w:t>
            </w:r>
          </w:p>
        </w:tc>
      </w:tr>
      <w:tr>
        <w:trPr>
          <w:tblHeader w:val="false"/>
        </w:trPr>
        <w:tc>
          <w:tcPr>
            <w:tcW w:type="dxa" w:w="3500"/>
            <w:tcBorders>
              <w:top w:val="single" w:color="CCCCCC" w:sz="1"/>
              <w:left w:val="single" w:color="CCCCCC" w:sz="1"/>
              <w:bottom w:val="single" w:color="CCCCCC" w:sz="1"/>
              <w:right w:val="single" w:color="CCCCCC" w:sz="1"/>
            </w:tcBorders>
            <w:shd w:val="clear" w:fill="auto" w:color="auto"/>
            <w:tcMar>
              <w:top w:type="dxa" w:w="80"/>
              <w:left w:type="dxa" w:w="150"/>
              <w:bottom w:type="dxa" w:w="80"/>
              <w:right w:type="dxa" w:w="150"/>
            </w:tcMar>
          </w:tcPr>
          <w:p>
            <w:pPr>
              <w:jc w:val="left"/>
            </w:pPr>
            <w:r>
              <w:rPr>
                <w:rFonts w:ascii="Courier New" w:cs="Courier New" w:eastAsia="Courier New" w:hAnsi="Courier New"/>
                <w:b w:val="false"/>
                <w:bCs w:val="false"/>
                <w:color w:val="000000"/>
                <w:sz w:val="18"/>
                <w:szCs w:val="18"/>
              </w:rPr>
              <w:t xml:space="preserve">TOK_IF</w:t>
            </w:r>
          </w:p>
        </w:tc>
        <w:tc>
          <w:tcPr>
            <w:tcW w:type="dxa" w:w="2500"/>
            <w:tcBorders>
              <w:top w:val="single" w:color="CCCCCC" w:sz="1"/>
              <w:left w:val="single" w:color="CCCCCC" w:sz="1"/>
              <w:bottom w:val="single" w:color="CCCCCC" w:sz="1"/>
              <w:right w:val="single" w:color="CCCCCC" w:sz="1"/>
            </w:tcBorders>
            <w:shd w:val="clear" w:fill="auto" w:color="auto"/>
            <w:tcMar>
              <w:top w:type="dxa" w:w="80"/>
              <w:left w:type="dxa" w:w="150"/>
              <w:bottom w:type="dxa" w:w="80"/>
              <w:right w:type="dxa" w:w="150"/>
            </w:tcMar>
          </w:tcPr>
          <w:p>
            <w:pPr>
              <w:jc w:val="left"/>
            </w:pPr>
            <w:r>
              <w:rPr>
                <w:rFonts w:ascii="Courier New" w:cs="Courier New" w:eastAsia="Courier New" w:hAnsi="Courier New"/>
                <w:b w:val="false"/>
                <w:bCs w:val="false"/>
                <w:color w:val="000000"/>
                <w:sz w:val="18"/>
                <w:szCs w:val="18"/>
              </w:rPr>
              <w:t xml:space="preserve">if</w:t>
            </w:r>
          </w:p>
        </w:tc>
        <w:tc>
          <w:tcPr>
            <w:tcW w:type="dxa" w:w="2787"/>
            <w:tcBorders>
              <w:top w:val="single" w:color="CCCCCC" w:sz="1"/>
              <w:left w:val="single" w:color="CCCCCC" w:sz="1"/>
              <w:bottom w:val="single" w:color="CCCCCC" w:sz="1"/>
              <w:right w:val="single" w:color="CCCCCC" w:sz="1"/>
            </w:tcBorders>
            <w:shd w:val="clear" w:fill="auto" w:color="auto"/>
            <w:tcMar>
              <w:top w:type="dxa" w:w="80"/>
              <w:left w:type="dxa" w:w="150"/>
              <w:bottom w:type="dxa" w:w="80"/>
              <w:right w:type="dxa" w:w="150"/>
            </w:tcMar>
          </w:tcPr>
          <w:p>
            <w:pPr>
              <w:jc w:val="left"/>
            </w:pPr>
            <w:r>
              <w:rPr>
                <w:rFonts w:ascii="Courier New" w:cs="Courier New" w:eastAsia="Courier New" w:hAnsi="Courier New"/>
                <w:b w:val="false"/>
                <w:bCs w:val="false"/>
                <w:color w:val="000000"/>
                <w:sz w:val="18"/>
                <w:szCs w:val="18"/>
              </w:rPr>
              <w:t xml:space="preserve">"if"</w:t>
            </w:r>
          </w:p>
        </w:tc>
      </w:tr>
      <w:tr>
        <w:trPr>
          <w:tblHeader w:val="false"/>
        </w:trPr>
        <w:tc>
          <w:tcPr>
            <w:tcW w:type="dxa" w:w="3500"/>
            <w:tcBorders>
              <w:top w:val="single" w:color="CCCCCC" w:sz="1"/>
              <w:left w:val="single" w:color="CCCCCC" w:sz="1"/>
              <w:bottom w:val="single" w:color="CCCCCC" w:sz="1"/>
              <w:right w:val="single" w:color="CCCCCC" w:sz="1"/>
            </w:tcBorders>
            <w:shd w:val="clear" w:fill="auto" w:color="auto"/>
            <w:tcMar>
              <w:top w:type="dxa" w:w="80"/>
              <w:left w:type="dxa" w:w="150"/>
              <w:bottom w:type="dxa" w:w="80"/>
              <w:right w:type="dxa" w:w="150"/>
            </w:tcMar>
          </w:tcPr>
          <w:p>
            <w:pPr>
              <w:jc w:val="left"/>
            </w:pPr>
            <w:r>
              <w:rPr>
                <w:rFonts w:ascii="Courier New" w:cs="Courier New" w:eastAsia="Courier New" w:hAnsi="Courier New"/>
                <w:b w:val="false"/>
                <w:bCs w:val="false"/>
                <w:color w:val="000000"/>
                <w:sz w:val="18"/>
                <w:szCs w:val="18"/>
              </w:rPr>
              <w:t xml:space="preserve">TOK_WHILE</w:t>
            </w:r>
          </w:p>
        </w:tc>
        <w:tc>
          <w:tcPr>
            <w:tcW w:type="dxa" w:w="2500"/>
            <w:tcBorders>
              <w:top w:val="single" w:color="CCCCCC" w:sz="1"/>
              <w:left w:val="single" w:color="CCCCCC" w:sz="1"/>
              <w:bottom w:val="single" w:color="CCCCCC" w:sz="1"/>
              <w:right w:val="single" w:color="CCCCCC" w:sz="1"/>
            </w:tcBorders>
            <w:shd w:val="clear" w:fill="auto" w:color="auto"/>
            <w:tcMar>
              <w:top w:type="dxa" w:w="80"/>
              <w:left w:type="dxa" w:w="150"/>
              <w:bottom w:type="dxa" w:w="80"/>
              <w:right w:type="dxa" w:w="150"/>
            </w:tcMar>
          </w:tcPr>
          <w:p>
            <w:pPr>
              <w:jc w:val="left"/>
            </w:pPr>
            <w:r>
              <w:rPr>
                <w:rFonts w:ascii="Courier New" w:cs="Courier New" w:eastAsia="Courier New" w:hAnsi="Courier New"/>
                <w:b w:val="false"/>
                <w:bCs w:val="false"/>
                <w:color w:val="000000"/>
                <w:sz w:val="18"/>
                <w:szCs w:val="18"/>
              </w:rPr>
              <w:t xml:space="preserve">while</w:t>
            </w:r>
          </w:p>
        </w:tc>
        <w:tc>
          <w:tcPr>
            <w:tcW w:type="dxa" w:w="2787"/>
            <w:tcBorders>
              <w:top w:val="single" w:color="CCCCCC" w:sz="1"/>
              <w:left w:val="single" w:color="CCCCCC" w:sz="1"/>
              <w:bottom w:val="single" w:color="CCCCCC" w:sz="1"/>
              <w:right w:val="single" w:color="CCCCCC" w:sz="1"/>
            </w:tcBorders>
            <w:shd w:val="clear" w:fill="auto" w:color="auto"/>
            <w:tcMar>
              <w:top w:type="dxa" w:w="80"/>
              <w:left w:type="dxa" w:w="150"/>
              <w:bottom w:type="dxa" w:w="80"/>
              <w:right w:type="dxa" w:w="150"/>
            </w:tcMar>
          </w:tcPr>
          <w:p>
            <w:pPr>
              <w:jc w:val="left"/>
            </w:pPr>
            <w:r>
              <w:rPr>
                <w:rFonts w:ascii="Courier New" w:cs="Courier New" w:eastAsia="Courier New" w:hAnsi="Courier New"/>
                <w:b w:val="false"/>
                <w:bCs w:val="false"/>
                <w:color w:val="000000"/>
                <w:sz w:val="18"/>
                <w:szCs w:val="18"/>
              </w:rPr>
              <w:t xml:space="preserve">"while"</w:t>
            </w:r>
          </w:p>
        </w:tc>
      </w:tr>
      <w:tr>
        <w:trPr>
          <w:tblHeader w:val="false"/>
        </w:trPr>
        <w:tc>
          <w:tcPr>
            <w:tcW w:type="dxa" w:w="3500"/>
            <w:tcBorders>
              <w:top w:val="single" w:color="CCCCCC" w:sz="1"/>
              <w:left w:val="single" w:color="CCCCCC" w:sz="1"/>
              <w:bottom w:val="single" w:color="CCCCCC" w:sz="1"/>
              <w:right w:val="single" w:color="CCCCCC" w:sz="1"/>
            </w:tcBorders>
            <w:shd w:val="clear" w:fill="auto" w:color="auto"/>
            <w:tcMar>
              <w:top w:type="dxa" w:w="80"/>
              <w:left w:type="dxa" w:w="150"/>
              <w:bottom w:type="dxa" w:w="80"/>
              <w:right w:type="dxa" w:w="150"/>
            </w:tcMar>
          </w:tcPr>
          <w:p>
            <w:pPr>
              <w:jc w:val="left"/>
            </w:pPr>
            <w:r>
              <w:rPr>
                <w:rFonts w:ascii="Courier New" w:cs="Courier New" w:eastAsia="Courier New" w:hAnsi="Courier New"/>
                <w:b w:val="false"/>
                <w:bCs w:val="false"/>
                <w:color w:val="000000"/>
                <w:sz w:val="18"/>
                <w:szCs w:val="18"/>
              </w:rPr>
              <w:t xml:space="preserve">TOK_AND</w:t>
            </w:r>
          </w:p>
        </w:tc>
        <w:tc>
          <w:tcPr>
            <w:tcW w:type="dxa" w:w="2500"/>
            <w:tcBorders>
              <w:top w:val="single" w:color="CCCCCC" w:sz="1"/>
              <w:left w:val="single" w:color="CCCCCC" w:sz="1"/>
              <w:bottom w:val="single" w:color="CCCCCC" w:sz="1"/>
              <w:right w:val="single" w:color="CCCCCC" w:sz="1"/>
            </w:tcBorders>
            <w:shd w:val="clear" w:fill="auto" w:color="auto"/>
            <w:tcMar>
              <w:top w:type="dxa" w:w="80"/>
              <w:left w:type="dxa" w:w="150"/>
              <w:bottom w:type="dxa" w:w="80"/>
              <w:right w:type="dxa" w:w="150"/>
            </w:tcMar>
          </w:tcPr>
          <w:p>
            <w:pPr>
              <w:jc w:val="left"/>
            </w:pPr>
            <w:r>
              <w:rPr>
                <w:rFonts w:ascii="Courier New" w:cs="Courier New" w:eastAsia="Courier New" w:hAnsi="Courier New"/>
                <w:b w:val="false"/>
                <w:bCs w:val="false"/>
                <w:color w:val="000000"/>
                <w:sz w:val="18"/>
                <w:szCs w:val="18"/>
              </w:rPr>
              <w:t xml:space="preserve">&amp;&amp;</w:t>
            </w:r>
          </w:p>
        </w:tc>
        <w:tc>
          <w:tcPr>
            <w:tcW w:type="dxa" w:w="2787"/>
            <w:tcBorders>
              <w:top w:val="single" w:color="CCCCCC" w:sz="1"/>
              <w:left w:val="single" w:color="CCCCCC" w:sz="1"/>
              <w:bottom w:val="single" w:color="CCCCCC" w:sz="1"/>
              <w:right w:val="single" w:color="CCCCCC" w:sz="1"/>
            </w:tcBorders>
            <w:shd w:val="clear" w:fill="auto" w:color="auto"/>
            <w:tcMar>
              <w:top w:type="dxa" w:w="80"/>
              <w:left w:type="dxa" w:w="150"/>
              <w:bottom w:type="dxa" w:w="80"/>
              <w:right w:type="dxa" w:w="150"/>
            </w:tcMar>
          </w:tcPr>
          <w:p>
            <w:pPr>
              <w:jc w:val="left"/>
            </w:pPr>
            <w:r>
              <w:rPr>
                <w:rFonts w:ascii="Courier New" w:cs="Courier New" w:eastAsia="Courier New" w:hAnsi="Courier New"/>
                <w:b w:val="false"/>
                <w:bCs w:val="false"/>
                <w:color w:val="000000"/>
                <w:sz w:val="18"/>
                <w:szCs w:val="18"/>
              </w:rPr>
              <w:t xml:space="preserve">"&amp;&amp;"</w:t>
            </w:r>
          </w:p>
        </w:tc>
      </w:tr>
      <w:tr>
        <w:trPr>
          <w:tblHeader w:val="false"/>
        </w:trPr>
        <w:tc>
          <w:tcPr>
            <w:tcW w:type="dxa" w:w="3500"/>
            <w:tcBorders>
              <w:top w:val="single" w:color="CCCCCC" w:sz="1"/>
              <w:left w:val="single" w:color="CCCCCC" w:sz="1"/>
              <w:bottom w:val="single" w:color="CCCCCC" w:sz="1"/>
              <w:right w:val="single" w:color="CCCCCC" w:sz="1"/>
            </w:tcBorders>
            <w:shd w:val="clear" w:fill="auto" w:color="auto"/>
            <w:tcMar>
              <w:top w:type="dxa" w:w="80"/>
              <w:left w:type="dxa" w:w="150"/>
              <w:bottom w:type="dxa" w:w="80"/>
              <w:right w:type="dxa" w:w="150"/>
            </w:tcMar>
          </w:tcPr>
          <w:p>
            <w:pPr>
              <w:jc w:val="left"/>
            </w:pPr>
            <w:r>
              <w:rPr>
                <w:rFonts w:ascii="Courier New" w:cs="Courier New" w:eastAsia="Courier New" w:hAnsi="Courier New"/>
                <w:b w:val="false"/>
                <w:bCs w:val="false"/>
                <w:color w:val="000000"/>
                <w:sz w:val="18"/>
                <w:szCs w:val="18"/>
              </w:rPr>
              <w:t xml:space="preserve">TOK_IGUAL</w:t>
            </w:r>
          </w:p>
        </w:tc>
        <w:tc>
          <w:tcPr>
            <w:tcW w:type="dxa" w:w="2500"/>
            <w:tcBorders>
              <w:top w:val="single" w:color="CCCCCC" w:sz="1"/>
              <w:left w:val="single" w:color="CCCCCC" w:sz="1"/>
              <w:bottom w:val="single" w:color="CCCCCC" w:sz="1"/>
              <w:right w:val="single" w:color="CCCCCC" w:sz="1"/>
            </w:tcBorders>
            <w:shd w:val="clear" w:fill="auto" w:color="auto"/>
            <w:tcMar>
              <w:top w:type="dxa" w:w="80"/>
              <w:left w:type="dxa" w:w="150"/>
              <w:bottom w:type="dxa" w:w="80"/>
              <w:right w:type="dxa" w:w="150"/>
            </w:tcMar>
          </w:tcPr>
          <w:p>
            <w:pPr>
              <w:jc w:val="left"/>
            </w:pPr>
            <w:r>
              <w:rPr>
                <w:rFonts w:ascii="Courier New" w:cs="Courier New" w:eastAsia="Courier New" w:hAnsi="Courier New"/>
                <w:b w:val="false"/>
                <w:bCs w:val="false"/>
                <w:color w:val="000000"/>
                <w:sz w:val="18"/>
                <w:szCs w:val="18"/>
              </w:rPr>
              <w:t xml:space="preserve">==</w:t>
            </w:r>
          </w:p>
        </w:tc>
        <w:tc>
          <w:tcPr>
            <w:tcW w:type="dxa" w:w="2787"/>
            <w:tcBorders>
              <w:top w:val="single" w:color="CCCCCC" w:sz="1"/>
              <w:left w:val="single" w:color="CCCCCC" w:sz="1"/>
              <w:bottom w:val="single" w:color="CCCCCC" w:sz="1"/>
              <w:right w:val="single" w:color="CCCCCC" w:sz="1"/>
            </w:tcBorders>
            <w:shd w:val="clear" w:fill="auto" w:color="auto"/>
            <w:tcMar>
              <w:top w:type="dxa" w:w="80"/>
              <w:left w:type="dxa" w:w="150"/>
              <w:bottom w:type="dxa" w:w="80"/>
              <w:right w:type="dxa" w:w="150"/>
            </w:tcMar>
          </w:tcPr>
          <w:p>
            <w:pPr>
              <w:jc w:val="left"/>
            </w:pPr>
            <w:r>
              <w:rPr>
                <w:rFonts w:ascii="Courier New" w:cs="Courier New" w:eastAsia="Courier New" w:hAnsi="Courier New"/>
                <w:b w:val="false"/>
                <w:bCs w:val="false"/>
                <w:color w:val="000000"/>
                <w:sz w:val="18"/>
                <w:szCs w:val="18"/>
              </w:rPr>
              <w:t xml:space="preserve">"=="</w:t>
            </w:r>
          </w:p>
        </w:tc>
      </w:tr>
      <w:tr>
        <w:trPr>
          <w:tblHeader w:val="false"/>
        </w:trPr>
        <w:tc>
          <w:tcPr>
            <w:tcW w:type="dxa" w:w="3500"/>
            <w:tcBorders>
              <w:top w:val="single" w:color="CCCCCC" w:sz="1"/>
              <w:left w:val="single" w:color="CCCCCC" w:sz="1"/>
              <w:bottom w:val="single" w:color="CCCCCC" w:sz="1"/>
              <w:right w:val="single" w:color="CCCCCC" w:sz="1"/>
            </w:tcBorders>
            <w:shd w:val="clear" w:fill="auto" w:color="auto"/>
            <w:tcMar>
              <w:top w:type="dxa" w:w="80"/>
              <w:left w:type="dxa" w:w="150"/>
              <w:bottom w:type="dxa" w:w="80"/>
              <w:right w:type="dxa" w:w="150"/>
            </w:tcMar>
          </w:tcPr>
          <w:p>
            <w:pPr>
              <w:jc w:val="left"/>
            </w:pPr>
            <w:r>
              <w:rPr>
                <w:rFonts w:ascii="Courier New" w:cs="Courier New" w:eastAsia="Courier New" w:hAnsi="Courier New"/>
                <w:b w:val="false"/>
                <w:bCs w:val="false"/>
                <w:color w:val="000000"/>
                <w:sz w:val="18"/>
                <w:szCs w:val="18"/>
              </w:rPr>
              <w:t xml:space="preserve">TOK_MENORIGUAL</w:t>
            </w:r>
          </w:p>
        </w:tc>
        <w:tc>
          <w:tcPr>
            <w:tcW w:type="dxa" w:w="2500"/>
            <w:tcBorders>
              <w:top w:val="single" w:color="CCCCCC" w:sz="1"/>
              <w:left w:val="single" w:color="CCCCCC" w:sz="1"/>
              <w:bottom w:val="single" w:color="CCCCCC" w:sz="1"/>
              <w:right w:val="single" w:color="CCCCCC" w:sz="1"/>
            </w:tcBorders>
            <w:shd w:val="clear" w:fill="auto" w:color="auto"/>
            <w:tcMar>
              <w:top w:type="dxa" w:w="80"/>
              <w:left w:type="dxa" w:w="150"/>
              <w:bottom w:type="dxa" w:w="80"/>
              <w:right w:type="dxa" w:w="150"/>
            </w:tcMar>
          </w:tcPr>
          <w:p>
            <w:pPr>
              <w:jc w:val="left"/>
            </w:pPr>
            <w:r>
              <w:rPr>
                <w:rFonts w:ascii="Courier New" w:cs="Courier New" w:eastAsia="Courier New" w:hAnsi="Courier New"/>
                <w:b w:val="false"/>
                <w:bCs w:val="false"/>
                <w:color w:val="000000"/>
                <w:sz w:val="18"/>
                <w:szCs w:val="18"/>
              </w:rPr>
              <w:t xml:space="preserve">&lt;=</w:t>
            </w:r>
          </w:p>
        </w:tc>
        <w:tc>
          <w:tcPr>
            <w:tcW w:type="dxa" w:w="2787"/>
            <w:tcBorders>
              <w:top w:val="single" w:color="CCCCCC" w:sz="1"/>
              <w:left w:val="single" w:color="CCCCCC" w:sz="1"/>
              <w:bottom w:val="single" w:color="CCCCCC" w:sz="1"/>
              <w:right w:val="single" w:color="CCCCCC" w:sz="1"/>
            </w:tcBorders>
            <w:shd w:val="clear" w:fill="auto" w:color="auto"/>
            <w:tcMar>
              <w:top w:type="dxa" w:w="80"/>
              <w:left w:type="dxa" w:w="150"/>
              <w:bottom w:type="dxa" w:w="80"/>
              <w:right w:type="dxa" w:w="150"/>
            </w:tcMar>
          </w:tcPr>
          <w:p>
            <w:pPr>
              <w:jc w:val="left"/>
            </w:pPr>
            <w:r>
              <w:rPr>
                <w:rFonts w:ascii="Courier New" w:cs="Courier New" w:eastAsia="Courier New" w:hAnsi="Courier New"/>
                <w:b w:val="false"/>
                <w:bCs w:val="false"/>
                <w:color w:val="000000"/>
                <w:sz w:val="18"/>
                <w:szCs w:val="18"/>
              </w:rPr>
              <w:t xml:space="preserve">"&lt;="</w:t>
            </w:r>
          </w:p>
        </w:tc>
      </w:tr>
      <w:tr>
        <w:trPr>
          <w:tblHeader w:val="false"/>
        </w:trPr>
        <w:tc>
          <w:tcPr>
            <w:tcW w:type="dxa" w:w="3500"/>
            <w:tcBorders>
              <w:top w:val="single" w:color="CCCCCC" w:sz="1"/>
              <w:left w:val="single" w:color="CCCCCC" w:sz="1"/>
              <w:bottom w:val="single" w:color="CCCCCC" w:sz="1"/>
              <w:right w:val="single" w:color="CCCCCC" w:sz="1"/>
            </w:tcBorders>
            <w:shd w:val="clear" w:fill="auto" w:color="auto"/>
            <w:tcMar>
              <w:top w:type="dxa" w:w="80"/>
              <w:left w:type="dxa" w:w="150"/>
              <w:bottom w:type="dxa" w:w="80"/>
              <w:right w:type="dxa" w:w="150"/>
            </w:tcMar>
          </w:tcPr>
          <w:p>
            <w:pPr>
              <w:jc w:val="left"/>
            </w:pPr>
            <w:r>
              <w:rPr>
                <w:rFonts w:ascii="Courier New" w:cs="Courier New" w:eastAsia="Courier New" w:hAnsi="Courier New"/>
                <w:b w:val="false"/>
                <w:bCs w:val="false"/>
                <w:color w:val="000000"/>
                <w:sz w:val="18"/>
                <w:szCs w:val="18"/>
              </w:rPr>
              <w:t xml:space="preserve">TOK_IDENTIFICADOR</w:t>
            </w:r>
          </w:p>
        </w:tc>
        <w:tc>
          <w:tcPr>
            <w:tcW w:type="dxa" w:w="2500"/>
            <w:tcBorders>
              <w:top w:val="single" w:color="CCCCCC" w:sz="1"/>
              <w:left w:val="single" w:color="CCCCCC" w:sz="1"/>
              <w:bottom w:val="single" w:color="CCCCCC" w:sz="1"/>
              <w:right w:val="single" w:color="CCCCCC" w:sz="1"/>
            </w:tcBorders>
            <w:shd w:val="clear" w:fill="auto" w:color="auto"/>
            <w:tcMar>
              <w:top w:type="dxa" w:w="80"/>
              <w:left w:type="dxa" w:w="150"/>
              <w:bottom w:type="dxa" w:w="80"/>
              <w:right w:type="dxa" w:w="150"/>
            </w:tcMar>
          </w:tcPr>
          <w:p>
            <w:pPr>
              <w:jc w:val="left"/>
            </w:pPr>
            <w:r>
              <w:rPr>
                <w:rFonts w:ascii="Courier New" w:cs="Courier New" w:eastAsia="Courier New" w:hAnsi="Courier New"/>
                <w:b w:val="false"/>
                <w:bCs w:val="false"/>
                <w:color w:val="000000"/>
                <w:sz w:val="18"/>
                <w:szCs w:val="18"/>
              </w:rPr>
              <w:t xml:space="preserve">v8, total…</w:t>
            </w:r>
          </w:p>
        </w:tc>
        <w:tc>
          <w:tcPr>
            <w:tcW w:type="dxa" w:w="2787"/>
            <w:tcBorders>
              <w:top w:val="single" w:color="CCCCCC" w:sz="1"/>
              <w:left w:val="single" w:color="CCCCCC" w:sz="1"/>
              <w:bottom w:val="single" w:color="CCCCCC" w:sz="1"/>
              <w:right w:val="single" w:color="CCCCCC" w:sz="1"/>
            </w:tcBorders>
            <w:shd w:val="clear" w:fill="auto" w:color="auto"/>
            <w:tcMar>
              <w:top w:type="dxa" w:w="80"/>
              <w:left w:type="dxa" w:w="150"/>
              <w:bottom w:type="dxa" w:w="80"/>
              <w:right w:type="dxa" w:w="150"/>
            </w:tcMar>
          </w:tcPr>
          <w:p>
            <w:pPr>
              <w:jc w:val="left"/>
            </w:pPr>
            <w:r>
              <w:rPr>
                <w:rFonts w:ascii="Courier New" w:cs="Courier New" w:eastAsia="Courier New" w:hAnsi="Courier New"/>
                <w:b w:val="false"/>
                <w:bCs w:val="false"/>
                <w:color w:val="000000"/>
                <w:sz w:val="18"/>
                <w:szCs w:val="18"/>
              </w:rPr>
              <w:t xml:space="preserve">{id_valido}</w:t>
            </w:r>
          </w:p>
        </w:tc>
      </w:tr>
      <w:tr>
        <w:trPr>
          <w:tblHeader w:val="false"/>
        </w:trPr>
        <w:tc>
          <w:tcPr>
            <w:tcW w:type="dxa" w:w="3500"/>
            <w:tcBorders>
              <w:top w:val="single" w:color="CCCCCC" w:sz="1"/>
              <w:left w:val="single" w:color="CCCCCC" w:sz="1"/>
              <w:bottom w:val="single" w:color="CCCCCC" w:sz="1"/>
              <w:right w:val="single" w:color="CCCCCC" w:sz="1"/>
            </w:tcBorders>
            <w:shd w:val="clear" w:fill="auto" w:color="auto"/>
            <w:tcMar>
              <w:top w:type="dxa" w:w="80"/>
              <w:left w:type="dxa" w:w="150"/>
              <w:bottom w:type="dxa" w:w="80"/>
              <w:right w:type="dxa" w:w="150"/>
            </w:tcMar>
          </w:tcPr>
          <w:p>
            <w:pPr>
              <w:jc w:val="left"/>
            </w:pPr>
            <w:r>
              <w:rPr>
                <w:rFonts w:ascii="Courier New" w:cs="Courier New" w:eastAsia="Courier New" w:hAnsi="Courier New"/>
                <w:b w:val="false"/>
                <w:bCs w:val="false"/>
                <w:color w:val="000000"/>
                <w:sz w:val="18"/>
                <w:szCs w:val="18"/>
              </w:rPr>
              <w:t xml:space="preserve">TOK_CONSTANTE_ENTERA</w:t>
            </w:r>
          </w:p>
        </w:tc>
        <w:tc>
          <w:tcPr>
            <w:tcW w:type="dxa" w:w="2500"/>
            <w:tcBorders>
              <w:top w:val="single" w:color="CCCCCC" w:sz="1"/>
              <w:left w:val="single" w:color="CCCCCC" w:sz="1"/>
              <w:bottom w:val="single" w:color="CCCCCC" w:sz="1"/>
              <w:right w:val="single" w:color="CCCCCC" w:sz="1"/>
            </w:tcBorders>
            <w:shd w:val="clear" w:fill="auto" w:color="auto"/>
            <w:tcMar>
              <w:top w:type="dxa" w:w="80"/>
              <w:left w:type="dxa" w:w="150"/>
              <w:bottom w:type="dxa" w:w="80"/>
              <w:right w:type="dxa" w:w="150"/>
            </w:tcMar>
          </w:tcPr>
          <w:p>
            <w:pPr>
              <w:jc w:val="left"/>
            </w:pPr>
            <w:r>
              <w:rPr>
                <w:rFonts w:ascii="Courier New" w:cs="Courier New" w:eastAsia="Courier New" w:hAnsi="Courier New"/>
                <w:b w:val="false"/>
                <w:bCs w:val="false"/>
                <w:color w:val="000000"/>
                <w:sz w:val="18"/>
                <w:szCs w:val="18"/>
              </w:rPr>
              <w:t xml:space="preserve">1234, 09</w:t>
            </w:r>
          </w:p>
        </w:tc>
        <w:tc>
          <w:tcPr>
            <w:tcW w:type="dxa" w:w="2787"/>
            <w:tcBorders>
              <w:top w:val="single" w:color="CCCCCC" w:sz="1"/>
              <w:left w:val="single" w:color="CCCCCC" w:sz="1"/>
              <w:bottom w:val="single" w:color="CCCCCC" w:sz="1"/>
              <w:right w:val="single" w:color="CCCCCC" w:sz="1"/>
            </w:tcBorders>
            <w:shd w:val="clear" w:fill="auto" w:color="auto"/>
            <w:tcMar>
              <w:top w:type="dxa" w:w="80"/>
              <w:left w:type="dxa" w:w="150"/>
              <w:bottom w:type="dxa" w:w="80"/>
              <w:right w:type="dxa" w:w="150"/>
            </w:tcMar>
          </w:tcPr>
          <w:p>
            <w:pPr>
              <w:jc w:val="left"/>
            </w:pPr>
            <w:r>
              <w:rPr>
                <w:rFonts w:ascii="Courier New" w:cs="Courier New" w:eastAsia="Courier New" w:hAnsi="Courier New"/>
                <w:b w:val="false"/>
                <w:bCs w:val="false"/>
                <w:color w:val="000000"/>
                <w:sz w:val="18"/>
                <w:szCs w:val="18"/>
              </w:rPr>
              <w:t xml:space="preserve">{digito}+</w:t>
            </w:r>
          </w:p>
        </w:tc>
      </w:tr>
      <w:tr>
        <w:trPr>
          <w:tblHeader w:val="false"/>
        </w:trPr>
        <w:tc>
          <w:tcPr>
            <w:tcW w:type="dxa" w:w="3500"/>
            <w:tcBorders>
              <w:top w:val="single" w:color="CCCCCC" w:sz="1"/>
              <w:left w:val="single" w:color="CCCCCC" w:sz="1"/>
              <w:bottom w:val="single" w:color="CCCCCC" w:sz="1"/>
              <w:right w:val="single" w:color="CCCCCC" w:sz="1"/>
            </w:tcBorders>
            <w:shd w:val="clear" w:fill="auto" w:color="auto"/>
            <w:tcMar>
              <w:top w:type="dxa" w:w="80"/>
              <w:left w:type="dxa" w:w="150"/>
              <w:bottom w:type="dxa" w:w="80"/>
              <w:right w:type="dxa" w:w="150"/>
            </w:tcMar>
          </w:tcPr>
          <w:p>
            <w:pPr>
              <w:jc w:val="left"/>
            </w:pPr>
            <w:r>
              <w:rPr>
                <w:rFonts w:ascii="Courier New" w:cs="Courier New" w:eastAsia="Courier New" w:hAnsi="Courier New"/>
                <w:b w:val="false"/>
                <w:bCs w:val="false"/>
                <w:color w:val="000000"/>
                <w:sz w:val="18"/>
                <w:szCs w:val="18"/>
              </w:rPr>
              <w:t xml:space="preserve">TOK_CONSTANTE_REAL</w:t>
            </w:r>
          </w:p>
        </w:tc>
        <w:tc>
          <w:tcPr>
            <w:tcW w:type="dxa" w:w="2500"/>
            <w:tcBorders>
              <w:top w:val="single" w:color="CCCCCC" w:sz="1"/>
              <w:left w:val="single" w:color="CCCCCC" w:sz="1"/>
              <w:bottom w:val="single" w:color="CCCCCC" w:sz="1"/>
              <w:right w:val="single" w:color="CCCCCC" w:sz="1"/>
            </w:tcBorders>
            <w:shd w:val="clear" w:fill="auto" w:color="auto"/>
            <w:tcMar>
              <w:top w:type="dxa" w:w="80"/>
              <w:left w:type="dxa" w:w="150"/>
              <w:bottom w:type="dxa" w:w="80"/>
              <w:right w:type="dxa" w:w="150"/>
            </w:tcMar>
          </w:tcPr>
          <w:p>
            <w:pPr>
              <w:jc w:val="left"/>
            </w:pPr>
            <w:r>
              <w:rPr>
                <w:rFonts w:ascii="Courier New" w:cs="Courier New" w:eastAsia="Courier New" w:hAnsi="Courier New"/>
                <w:b w:val="false"/>
                <w:bCs w:val="false"/>
                <w:color w:val="000000"/>
                <w:sz w:val="18"/>
                <w:szCs w:val="18"/>
              </w:rPr>
              <w:t xml:space="preserve">3.14</w:t>
            </w:r>
          </w:p>
        </w:tc>
        <w:tc>
          <w:tcPr>
            <w:tcW w:type="dxa" w:w="2787"/>
            <w:tcBorders>
              <w:top w:val="single" w:color="CCCCCC" w:sz="1"/>
              <w:left w:val="single" w:color="CCCCCC" w:sz="1"/>
              <w:bottom w:val="single" w:color="CCCCCC" w:sz="1"/>
              <w:right w:val="single" w:color="CCCCCC" w:sz="1"/>
            </w:tcBorders>
            <w:shd w:val="clear" w:fill="auto" w:color="auto"/>
            <w:tcMar>
              <w:top w:type="dxa" w:w="80"/>
              <w:left w:type="dxa" w:w="150"/>
              <w:bottom w:type="dxa" w:w="80"/>
              <w:right w:type="dxa" w:w="150"/>
            </w:tcMar>
          </w:tcPr>
          <w:p>
            <w:pPr>
              <w:jc w:val="left"/>
            </w:pPr>
            <w:r>
              <w:rPr>
                <w:rFonts w:ascii="Courier New" w:cs="Courier New" w:eastAsia="Courier New" w:hAnsi="Courier New"/>
                <w:b w:val="false"/>
                <w:bCs w:val="false"/>
                <w:color w:val="000000"/>
                <w:sz w:val="18"/>
                <w:szCs w:val="18"/>
              </w:rPr>
              <w:t xml:space="preserve">{digito}+"."{digito}+</w:t>
            </w:r>
          </w:p>
        </w:tc>
      </w:tr>
      <w:tr>
        <w:trPr>
          <w:tblHeader w:val="false"/>
        </w:trPr>
        <w:tc>
          <w:tcPr>
            <w:tcW w:type="dxa" w:w="3500"/>
            <w:tcBorders>
              <w:top w:val="single" w:color="CCCCCC" w:sz="1"/>
              <w:left w:val="single" w:color="CCCCCC" w:sz="1"/>
              <w:bottom w:val="single" w:color="CCCCCC" w:sz="1"/>
              <w:right w:val="single" w:color="CCCCCC" w:sz="1"/>
            </w:tcBorders>
            <w:shd w:val="clear" w:fill="auto" w:color="auto"/>
            <w:tcMar>
              <w:top w:type="dxa" w:w="80"/>
              <w:left w:type="dxa" w:w="150"/>
              <w:bottom w:type="dxa" w:w="80"/>
              <w:right w:type="dxa" w:w="150"/>
            </w:tcMar>
          </w:tcPr>
          <w:p>
            <w:pPr>
              <w:jc w:val="left"/>
            </w:pPr>
            <w:r>
              <w:rPr>
                <w:rFonts w:ascii="Courier New" w:cs="Courier New" w:eastAsia="Courier New" w:hAnsi="Courier New"/>
                <w:b w:val="false"/>
                <w:bCs w:val="false"/>
                <w:color w:val="000000"/>
                <w:sz w:val="18"/>
                <w:szCs w:val="18"/>
              </w:rPr>
              <w:t xml:space="preserve">TOK_TRUE</w:t>
            </w:r>
          </w:p>
        </w:tc>
        <w:tc>
          <w:tcPr>
            <w:tcW w:type="dxa" w:w="2500"/>
            <w:tcBorders>
              <w:top w:val="single" w:color="CCCCCC" w:sz="1"/>
              <w:left w:val="single" w:color="CCCCCC" w:sz="1"/>
              <w:bottom w:val="single" w:color="CCCCCC" w:sz="1"/>
              <w:right w:val="single" w:color="CCCCCC" w:sz="1"/>
            </w:tcBorders>
            <w:shd w:val="clear" w:fill="auto" w:color="auto"/>
            <w:tcMar>
              <w:top w:type="dxa" w:w="80"/>
              <w:left w:type="dxa" w:w="150"/>
              <w:bottom w:type="dxa" w:w="80"/>
              <w:right w:type="dxa" w:w="150"/>
            </w:tcMar>
          </w:tcPr>
          <w:p>
            <w:pPr>
              <w:jc w:val="left"/>
            </w:pPr>
            <w:r>
              <w:rPr>
                <w:rFonts w:ascii="Courier New" w:cs="Courier New" w:eastAsia="Courier New" w:hAnsi="Courier New"/>
                <w:b w:val="false"/>
                <w:bCs w:val="false"/>
                <w:color w:val="000000"/>
                <w:sz w:val="18"/>
                <w:szCs w:val="18"/>
              </w:rPr>
              <w:t xml:space="preserve">true</w:t>
            </w:r>
          </w:p>
        </w:tc>
        <w:tc>
          <w:tcPr>
            <w:tcW w:type="dxa" w:w="2787"/>
            <w:tcBorders>
              <w:top w:val="single" w:color="CCCCCC" w:sz="1"/>
              <w:left w:val="single" w:color="CCCCCC" w:sz="1"/>
              <w:bottom w:val="single" w:color="CCCCCC" w:sz="1"/>
              <w:right w:val="single" w:color="CCCCCC" w:sz="1"/>
            </w:tcBorders>
            <w:shd w:val="clear" w:fill="auto" w:color="auto"/>
            <w:tcMar>
              <w:top w:type="dxa" w:w="80"/>
              <w:left w:type="dxa" w:w="150"/>
              <w:bottom w:type="dxa" w:w="80"/>
              <w:right w:type="dxa" w:w="150"/>
            </w:tcMar>
          </w:tcPr>
          <w:p>
            <w:pPr>
              <w:jc w:val="left"/>
            </w:pPr>
            <w:r>
              <w:rPr>
                <w:rFonts w:ascii="Courier New" w:cs="Courier New" w:eastAsia="Courier New" w:hAnsi="Courier New"/>
                <w:b w:val="false"/>
                <w:bCs w:val="false"/>
                <w:color w:val="000000"/>
                <w:sz w:val="18"/>
                <w:szCs w:val="18"/>
              </w:rPr>
              <w:t xml:space="preserve">"true"</w:t>
            </w:r>
          </w:p>
        </w:tc>
      </w:tr>
      <w:tr>
        <w:trPr>
          <w:tblHeader w:val="false"/>
        </w:trPr>
        <w:tc>
          <w:tcPr>
            <w:tcW w:type="dxa" w:w="3500"/>
            <w:tcBorders>
              <w:top w:val="single" w:color="CCCCCC" w:sz="1"/>
              <w:left w:val="single" w:color="CCCCCC" w:sz="1"/>
              <w:bottom w:val="single" w:color="CCCCCC" w:sz="1"/>
              <w:right w:val="single" w:color="CCCCCC" w:sz="1"/>
            </w:tcBorders>
            <w:shd w:val="clear" w:fill="auto" w:color="auto"/>
            <w:tcMar>
              <w:top w:type="dxa" w:w="80"/>
              <w:left w:type="dxa" w:w="150"/>
              <w:bottom w:type="dxa" w:w="80"/>
              <w:right w:type="dxa" w:w="150"/>
            </w:tcMar>
          </w:tcPr>
          <w:p>
            <w:pPr>
              <w:jc w:val="left"/>
            </w:pPr>
            <w:r>
              <w:rPr>
                <w:rFonts w:ascii="Courier New" w:cs="Courier New" w:eastAsia="Courier New" w:hAnsi="Courier New"/>
                <w:b w:val="false"/>
                <w:bCs w:val="false"/>
                <w:color w:val="000000"/>
                <w:sz w:val="18"/>
                <w:szCs w:val="18"/>
              </w:rPr>
              <w:t xml:space="preserve">TOK_FALSE</w:t>
            </w:r>
          </w:p>
        </w:tc>
        <w:tc>
          <w:tcPr>
            <w:tcW w:type="dxa" w:w="2500"/>
            <w:tcBorders>
              <w:top w:val="single" w:color="CCCCCC" w:sz="1"/>
              <w:left w:val="single" w:color="CCCCCC" w:sz="1"/>
              <w:bottom w:val="single" w:color="CCCCCC" w:sz="1"/>
              <w:right w:val="single" w:color="CCCCCC" w:sz="1"/>
            </w:tcBorders>
            <w:shd w:val="clear" w:fill="auto" w:color="auto"/>
            <w:tcMar>
              <w:top w:type="dxa" w:w="80"/>
              <w:left w:type="dxa" w:w="150"/>
              <w:bottom w:type="dxa" w:w="80"/>
              <w:right w:type="dxa" w:w="150"/>
            </w:tcMar>
          </w:tcPr>
          <w:p>
            <w:pPr>
              <w:jc w:val="left"/>
            </w:pPr>
            <w:r>
              <w:rPr>
                <w:rFonts w:ascii="Courier New" w:cs="Courier New" w:eastAsia="Courier New" w:hAnsi="Courier New"/>
                <w:b w:val="false"/>
                <w:bCs w:val="false"/>
                <w:color w:val="000000"/>
                <w:sz w:val="18"/>
                <w:szCs w:val="18"/>
              </w:rPr>
              <w:t xml:space="preserve">false</w:t>
            </w:r>
          </w:p>
        </w:tc>
        <w:tc>
          <w:tcPr>
            <w:tcW w:type="dxa" w:w="2787"/>
            <w:tcBorders>
              <w:top w:val="single" w:color="CCCCCC" w:sz="1"/>
              <w:left w:val="single" w:color="CCCCCC" w:sz="1"/>
              <w:bottom w:val="single" w:color="CCCCCC" w:sz="1"/>
              <w:right w:val="single" w:color="CCCCCC" w:sz="1"/>
            </w:tcBorders>
            <w:shd w:val="clear" w:fill="auto" w:color="auto"/>
            <w:tcMar>
              <w:top w:type="dxa" w:w="80"/>
              <w:left w:type="dxa" w:w="150"/>
              <w:bottom w:type="dxa" w:w="80"/>
              <w:right w:type="dxa" w:w="150"/>
            </w:tcMar>
          </w:tcPr>
          <w:p>
            <w:pPr>
              <w:jc w:val="left"/>
            </w:pPr>
            <w:r>
              <w:rPr>
                <w:rFonts w:ascii="Courier New" w:cs="Courier New" w:eastAsia="Courier New" w:hAnsi="Courier New"/>
                <w:b w:val="false"/>
                <w:bCs w:val="false"/>
                <w:color w:val="000000"/>
                <w:sz w:val="18"/>
                <w:szCs w:val="18"/>
              </w:rPr>
              <w:t xml:space="preserve">"false"</w:t>
            </w:r>
          </w:p>
        </w:tc>
      </w:tr>
    </w:tbl>
    <w:p>
      <w:pPr>
        <w:spacing w:after="120"/>
      </w:pPr>
      <w:r>
        <w:t xml:space="preserve"/>
      </w:r>
    </w:p>
    <w:p>
      <w:pPr>
        <w:pStyle w:val="Heading1"/>
        <w:spacing w:after="160" w:before="360"/>
      </w:pPr>
      <w:r>
        <w:rPr>
          <w:rFonts w:ascii="Arial" w:cs="Arial" w:eastAsia="Arial" w:hAnsi="Arial"/>
          <w:b/>
          <w:bCs/>
          <w:color w:val="1F3864"/>
          <w:sz w:val="28"/>
          <w:szCs w:val="28"/>
        </w:rPr>
        <w:t xml:space="preserve">6. Programa de prueba</w:t>
      </w:r>
    </w:p>
    <w:p>
      <w:pPr>
        <w:spacing w:after="160" w:line="360"/>
        <w:jc w:val="both"/>
      </w:pPr>
      <w:r>
        <w:rPr>
          <w:rFonts w:ascii="Arial" w:cs="Arial" w:eastAsia="Arial" w:hAnsi="Arial"/>
          <w:sz w:val="22"/>
          <w:szCs w:val="22"/>
        </w:rPr>
        <w:t xml:space="preserve">El programa de prueba está implementado en la clase </w:t>
      </w:r>
      <w:r>
        <w:rPr>
          <w:rFonts w:ascii="Courier New" w:cs="Courier New" w:eastAsia="Courier New" w:hAnsi="Courier New"/>
          <w:sz w:val="20"/>
          <w:szCs w:val="20"/>
        </w:rPr>
        <w:t xml:space="preserve">Main</w:t>
      </w:r>
      <w:r>
        <w:rPr>
          <w:rFonts w:ascii="Arial" w:cs="Arial" w:eastAsia="Arial" w:hAnsi="Arial"/>
          <w:sz w:val="22"/>
          <w:szCs w:val="22"/>
        </w:rPr>
        <w:t xml:space="preserve">. Recibe como argumentos los nombres del fichero de entrada y del fichero de salida, instancia </w:t>
      </w:r>
      <w:r>
        <w:rPr>
          <w:rFonts w:ascii="Courier New" w:cs="Courier New" w:eastAsia="Courier New" w:hAnsi="Courier New"/>
          <w:sz w:val="20"/>
          <w:szCs w:val="20"/>
        </w:rPr>
        <w:t xml:space="preserve">AnalizadorLexico</w:t>
      </w:r>
      <w:r>
        <w:rPr>
          <w:rFonts w:ascii="Arial" w:cs="Arial" w:eastAsia="Arial" w:hAnsi="Arial"/>
          <w:sz w:val="22"/>
          <w:szCs w:val="22"/>
        </w:rPr>
        <w:t xml:space="preserve"> pasándole un </w:t>
      </w:r>
      <w:r>
        <w:rPr>
          <w:rFonts w:ascii="Courier New" w:cs="Courier New" w:eastAsia="Courier New" w:hAnsi="Courier New"/>
          <w:sz w:val="20"/>
          <w:szCs w:val="20"/>
        </w:rPr>
        <w:t xml:space="preserve">FileReader</w:t>
      </w:r>
      <w:r>
        <w:rPr>
          <w:rFonts w:ascii="Arial" w:cs="Arial" w:eastAsia="Arial" w:hAnsi="Arial"/>
          <w:sz w:val="22"/>
          <w:szCs w:val="22"/>
        </w:rPr>
        <w:t xml:space="preserve"> sobre el fichero de entrada, e invoca </w:t>
      </w:r>
      <w:r>
        <w:rPr>
          <w:rFonts w:ascii="Courier New" w:cs="Courier New" w:eastAsia="Courier New" w:hAnsi="Courier New"/>
          <w:sz w:val="20"/>
          <w:szCs w:val="20"/>
        </w:rPr>
        <w:t xml:space="preserve">yylex()</w:t>
      </w:r>
      <w:r>
        <w:rPr>
          <w:rFonts w:ascii="Arial" w:cs="Arial" w:eastAsia="Arial" w:hAnsi="Arial"/>
          <w:sz w:val="22"/>
          <w:szCs w:val="22"/>
        </w:rPr>
        <w:t xml:space="preserve"> en un bucle hasta que recibe </w:t>
      </w:r>
      <w:r>
        <w:rPr>
          <w:rFonts w:ascii="Courier New" w:cs="Courier New" w:eastAsia="Courier New" w:hAnsi="Courier New"/>
          <w:sz w:val="20"/>
          <w:szCs w:val="20"/>
        </w:rPr>
        <w:t xml:space="preserve">0</w:t>
      </w:r>
      <w:r>
        <w:rPr>
          <w:rFonts w:ascii="Arial" w:cs="Arial" w:eastAsia="Arial" w:hAnsi="Arial"/>
          <w:sz w:val="22"/>
          <w:szCs w:val="22"/>
        </w:rPr>
        <w:t xml:space="preserve"> (EOF) o </w:t>
      </w:r>
      <w:r>
        <w:rPr>
          <w:rFonts w:ascii="Courier New" w:cs="Courier New" w:eastAsia="Courier New" w:hAnsi="Courier New"/>
          <w:sz w:val="20"/>
          <w:szCs w:val="20"/>
        </w:rPr>
        <w:t xml:space="preserve">TOK_ERROR</w:t>
      </w:r>
      <w:r>
        <w:rPr>
          <w:rFonts w:ascii="Arial" w:cs="Arial" w:eastAsia="Arial" w:hAnsi="Arial"/>
          <w:sz w:val="22"/>
          <w:szCs w:val="22"/>
        </w:rPr>
        <w:t xml:space="preserve"> (error léxico):</w:t>
      </w:r>
    </w:p>
    <w:p>
      <w:pPr>
        <w:spacing w:after="80"/>
      </w:pPr>
      <w:r>
        <w:t xml:space="preserve"/>
      </w:r>
    </w:p>
    <w:p>
      <w:pPr>
        <w:shd w:fill="EFEFEF" w:color="auto" w:val="clear"/>
        <w:spacing w:after="0" w:before="0" w:line="240"/>
        <w:ind w:left="360" w:right="360"/>
      </w:pPr>
      <w:r>
        <w:rPr>
          <w:rFonts w:ascii="Courier New" w:cs="Courier New" w:eastAsia="Courier New" w:hAnsi="Courier New"/>
          <w:sz w:val="18"/>
          <w:szCs w:val="18"/>
        </w:rPr>
        <w:t xml:space="preserve">int token;</w:t>
      </w:r>
    </w:p>
    <w:p>
      <w:pPr>
        <w:shd w:fill="EFEFEF" w:color="auto" w:val="clear"/>
        <w:spacing w:after="0" w:before="0" w:line="240"/>
        <w:ind w:left="360" w:right="360"/>
      </w:pPr>
      <w:r>
        <w:rPr>
          <w:rFonts w:ascii="Courier New" w:cs="Courier New" w:eastAsia="Courier New" w:hAnsi="Courier New"/>
          <w:sz w:val="18"/>
          <w:szCs w:val="18"/>
        </w:rPr>
        <w:t xml:space="preserve">while ((token = lexer.yylex()) != 0) {</w:t>
      </w:r>
    </w:p>
    <w:p>
      <w:pPr>
        <w:shd w:fill="EFEFEF" w:color="auto" w:val="clear"/>
        <w:spacing w:after="0" w:before="0" w:line="240"/>
        <w:ind w:left="360" w:right="360"/>
      </w:pPr>
      <w:r>
        <w:rPr>
          <w:rFonts w:ascii="Courier New" w:cs="Courier New" w:eastAsia="Courier New" w:hAnsi="Courier New"/>
          <w:sz w:val="18"/>
          <w:szCs w:val="18"/>
        </w:rPr>
        <w:t xml:space="preserve">    if (token == AnalizadorLexico.TOK_ERROR) break;</w:t>
      </w:r>
    </w:p>
    <w:p>
      <w:pPr>
        <w:shd w:fill="EFEFEF" w:color="auto" w:val="clear"/>
        <w:spacing w:after="0" w:before="0" w:line="240"/>
        <w:ind w:left="360" w:right="360"/>
      </w:pPr>
      <w:r>
        <w:rPr>
          <w:rFonts w:ascii="Courier New" w:cs="Courier New" w:eastAsia="Courier New" w:hAnsi="Courier New"/>
          <w:sz w:val="18"/>
          <w:szCs w:val="18"/>
        </w:rPr>
        <w:t xml:space="preserve">    salida.println(nombreToken(token) + "\t" + lexer.yytext());</w:t>
      </w:r>
    </w:p>
    <w:p>
      <w:pPr>
        <w:shd w:fill="EFEFEF" w:color="auto" w:val="clear"/>
        <w:spacing w:after="0" w:before="0" w:line="240"/>
        <w:ind w:left="360" w:right="360"/>
      </w:pPr>
      <w:r>
        <w:rPr>
          <w:rFonts w:ascii="Courier New" w:cs="Courier New" w:eastAsia="Courier New" w:hAnsi="Courier New"/>
          <w:sz w:val="18"/>
          <w:szCs w:val="18"/>
        </w:rPr>
        <w:t xml:space="preserve">}</w:t>
      </w:r>
    </w:p>
    <w:p>
      <w:pPr>
        <w:shd w:fill="EFEFEF" w:color="auto" w:val="clear"/>
        <w:spacing w:after="0" w:before="0" w:line="240"/>
        <w:ind w:left="360" w:right="360"/>
      </w:pPr>
      <w:r>
        <w:rPr>
          <w:rFonts w:ascii="Courier New" w:cs="Courier New" w:eastAsia="Courier New" w:hAnsi="Courier New"/>
          <w:sz w:val="10"/>
          <w:szCs w:val="10"/>
        </w:rPr>
        <w:t xml:space="preserve"/>
      </w:r>
    </w:p>
    <w:p>
      <w:pPr>
        <w:spacing w:after="120"/>
      </w:pPr>
      <w:r>
        <w:t xml:space="preserve"/>
      </w:r>
    </w:p>
    <w:p>
      <w:pPr>
        <w:spacing w:after="160" w:line="360"/>
        <w:jc w:val="both"/>
      </w:pPr>
      <w:r>
        <w:rPr>
          <w:rFonts w:ascii="Arial" w:cs="Arial" w:eastAsia="Arial" w:hAnsi="Arial"/>
          <w:sz w:val="22"/>
          <w:szCs w:val="22"/>
        </w:rPr>
        <w:t xml:space="preserve">El método auxiliar </w:t>
      </w:r>
      <w:r>
        <w:rPr>
          <w:rFonts w:ascii="Courier New" w:cs="Courier New" w:eastAsia="Courier New" w:hAnsi="Courier New"/>
          <w:sz w:val="20"/>
          <w:szCs w:val="20"/>
        </w:rPr>
        <w:t xml:space="preserve">nombreToken(int)</w:t>
      </w:r>
      <w:r>
        <w:rPr>
          <w:rFonts w:ascii="Arial" w:cs="Arial" w:eastAsia="Arial" w:hAnsi="Arial"/>
          <w:sz w:val="22"/>
          <w:szCs w:val="22"/>
        </w:rPr>
        <w:t xml:space="preserve"> traduce el entero devuelto por </w:t>
      </w:r>
      <w:r>
        <w:rPr>
          <w:rFonts w:ascii="Courier New" w:cs="Courier New" w:eastAsia="Courier New" w:hAnsi="Courier New"/>
          <w:sz w:val="20"/>
          <w:szCs w:val="20"/>
        </w:rPr>
        <w:t xml:space="preserve">yylex()</w:t>
      </w:r>
      <w:r>
        <w:rPr>
          <w:rFonts w:ascii="Arial" w:cs="Arial" w:eastAsia="Arial" w:hAnsi="Arial"/>
          <w:sz w:val="22"/>
          <w:szCs w:val="22"/>
        </w:rPr>
        <w:t xml:space="preserve"> al nombre del token en forma de cadena (por ejemplo, </w:t>
      </w:r>
      <w:r>
        <w:rPr>
          <w:rFonts w:ascii="Courier New" w:cs="Courier New" w:eastAsia="Courier New" w:hAnsi="Courier New"/>
          <w:sz w:val="20"/>
          <w:szCs w:val="20"/>
        </w:rPr>
        <w:t xml:space="preserve">54 → "TOK_IDENTIFICADOR"</w:t>
      </w:r>
      <w:r>
        <w:rPr>
          <w:rFonts w:ascii="Arial" w:cs="Arial" w:eastAsia="Arial" w:hAnsi="Arial"/>
          <w:sz w:val="22"/>
          <w:szCs w:val="22"/>
        </w:rPr>
        <w:t xml:space="preserve">) mediante un </w:t>
      </w:r>
      <w:r>
        <w:rPr>
          <w:rFonts w:ascii="Courier New" w:cs="Courier New" w:eastAsia="Courier New" w:hAnsi="Courier New"/>
          <w:sz w:val="20"/>
          <w:szCs w:val="20"/>
        </w:rPr>
        <w:t xml:space="preserve">switch</w:t>
      </w:r>
      <w:r>
        <w:rPr>
          <w:rFonts w:ascii="Arial" w:cs="Arial" w:eastAsia="Arial" w:hAnsi="Arial"/>
          <w:sz w:val="22"/>
          <w:szCs w:val="22"/>
        </w:rPr>
        <w:t xml:space="preserve"> con todos los tokens definidos.</w:t>
      </w:r>
    </w:p>
    <w:p>
      <w:pPr>
        <w:spacing w:after="160" w:line="360"/>
        <w:jc w:val="both"/>
      </w:pPr>
      <w:r>
        <w:rPr>
          <w:rFonts w:ascii="Arial" w:cs="Arial" w:eastAsia="Arial" w:hAnsi="Arial"/>
          <w:sz w:val="22"/>
          <w:szCs w:val="22"/>
        </w:rPr>
        <w:t xml:space="preserve">Cuando se detecta un error léxico, el propio analizador imprime el mensaje en </w:t>
      </w:r>
      <w:r>
        <w:rPr>
          <w:rFonts w:ascii="Courier New" w:cs="Courier New" w:eastAsia="Courier New" w:hAnsi="Courier New"/>
          <w:sz w:val="20"/>
          <w:szCs w:val="20"/>
        </w:rPr>
        <w:t xml:space="preserve">stderr</w:t>
      </w:r>
      <w:r>
        <w:rPr>
          <w:rFonts w:ascii="Arial" w:cs="Arial" w:eastAsia="Arial" w:hAnsi="Arial"/>
          <w:sz w:val="22"/>
          <w:szCs w:val="22"/>
        </w:rPr>
        <w:t xml:space="preserve"> antes de devolver </w:t>
      </w:r>
      <w:r>
        <w:rPr>
          <w:rFonts w:ascii="Courier New" w:cs="Courier New" w:eastAsia="Courier New" w:hAnsi="Courier New"/>
          <w:sz w:val="20"/>
          <w:szCs w:val="20"/>
        </w:rPr>
        <w:t xml:space="preserve">TOK_ERROR</w:t>
      </w:r>
      <w:r>
        <w:rPr>
          <w:rFonts w:ascii="Arial" w:cs="Arial" w:eastAsia="Arial" w:hAnsi="Arial"/>
          <w:sz w:val="22"/>
          <w:szCs w:val="22"/>
        </w:rPr>
        <w:t xml:space="preserve">. El programa detiene entonces el análisis y cierra el fichero de salida, que contendrá todos los tokens reconocidos hasta ese punto.</w:t>
      </w:r>
    </w:p>
    <w:p>
      <w:pPr>
        <w:spacing w:after="120"/>
      </w:pPr>
      <w:r>
        <w:t xml:space="preserve"/>
      </w:r>
    </w:p>
    <w:p>
      <w:pPr>
        <w:pStyle w:val="Heading1"/>
        <w:spacing w:after="160" w:before="360"/>
      </w:pPr>
      <w:r>
        <w:rPr>
          <w:rFonts w:ascii="Arial" w:cs="Arial" w:eastAsia="Arial" w:hAnsi="Arial"/>
          <w:b/>
          <w:bCs/>
          <w:color w:val="1F3864"/>
          <w:sz w:val="28"/>
          <w:szCs w:val="28"/>
        </w:rPr>
        <w:t xml:space="preserve">7. Entorno de desarrollo y ejecución</w:t>
      </w:r>
    </w:p>
    <w:p>
      <w:pPr>
        <w:spacing w:after="160" w:line="360"/>
        <w:jc w:val="both"/>
      </w:pPr>
      <w:r>
        <w:rPr>
          <w:rFonts w:ascii="Arial" w:cs="Arial" w:eastAsia="Arial" w:hAnsi="Arial"/>
          <w:sz w:val="22"/>
          <w:szCs w:val="22"/>
        </w:rPr>
        <w:t xml:space="preserve">El proyecto se ha desarrollado íntegramente en </w:t>
      </w:r>
      <w:r>
        <w:rPr>
          <w:rFonts w:ascii="Arial" w:cs="Arial" w:eastAsia="Arial" w:hAnsi="Arial"/>
          <w:b/>
          <w:bCs/>
          <w:sz w:val="22"/>
          <w:szCs w:val="22"/>
        </w:rPr>
        <w:t xml:space="preserve">IntelliJ IDEA</w:t>
      </w:r>
      <w:r>
        <w:rPr>
          <w:rFonts w:ascii="Arial" w:cs="Arial" w:eastAsia="Arial" w:hAnsi="Arial"/>
          <w:sz w:val="22"/>
          <w:szCs w:val="22"/>
        </w:rPr>
        <w:t xml:space="preserve">, configurado como módulo Java estándar. La carpeta </w:t>
      </w:r>
      <w:r>
        <w:rPr>
          <w:rFonts w:ascii="Courier New" w:cs="Courier New" w:eastAsia="Courier New" w:hAnsi="Courier New"/>
          <w:sz w:val="20"/>
          <w:szCs w:val="20"/>
        </w:rPr>
        <w:t xml:space="preserve">src/</w:t>
      </w:r>
      <w:r>
        <w:rPr>
          <w:rFonts w:ascii="Arial" w:cs="Arial" w:eastAsia="Arial" w:hAnsi="Arial"/>
          <w:sz w:val="22"/>
          <w:szCs w:val="22"/>
        </w:rPr>
        <w:t xml:space="preserve"> contiene los ficheros fuente y está marcada como directorio de fuentes (</w:t>
      </w:r>
      <w:r>
        <w:rPr>
          <w:rFonts w:ascii="Arial" w:cs="Arial" w:eastAsia="Arial" w:hAnsi="Arial"/>
          <w:i/>
          <w:iCs/>
          <w:sz w:val="22"/>
          <w:szCs w:val="22"/>
        </w:rPr>
        <w:t xml:space="preserve">Sources Root</w:t>
      </w:r>
      <w:r>
        <w:rPr>
          <w:rFonts w:ascii="Arial" w:cs="Arial" w:eastAsia="Arial" w:hAnsi="Arial"/>
          <w:sz w:val="22"/>
          <w:szCs w:val="22"/>
        </w:rPr>
        <w:t xml:space="preserve">). La carpeta </w:t>
      </w:r>
      <w:r>
        <w:rPr>
          <w:rFonts w:ascii="Courier New" w:cs="Courier New" w:eastAsia="Courier New" w:hAnsi="Courier New"/>
          <w:sz w:val="20"/>
          <w:szCs w:val="20"/>
        </w:rPr>
        <w:t xml:space="preserve">lib/</w:t>
      </w:r>
      <w:r>
        <w:rPr>
          <w:rFonts w:ascii="Arial" w:cs="Arial" w:eastAsia="Arial" w:hAnsi="Arial"/>
          <w:sz w:val="22"/>
          <w:szCs w:val="22"/>
        </w:rPr>
        <w:t xml:space="preserve"> aloja los dos ficheros JAR necesarios: </w:t>
      </w:r>
      <w:r>
        <w:rPr>
          <w:rFonts w:ascii="Courier New" w:cs="Courier New" w:eastAsia="Courier New" w:hAnsi="Courier New"/>
          <w:sz w:val="20"/>
          <w:szCs w:val="20"/>
        </w:rPr>
        <w:t xml:space="preserve">jflex-full-1.9.1.jar</w:t>
      </w:r>
      <w:r>
        <w:rPr>
          <w:rFonts w:ascii="Arial" w:cs="Arial" w:eastAsia="Arial" w:hAnsi="Arial"/>
          <w:sz w:val="22"/>
          <w:szCs w:val="22"/>
        </w:rPr>
        <w:t xml:space="preserve"> y </w:t>
      </w:r>
      <w:r>
        <w:rPr>
          <w:rFonts w:ascii="Courier New" w:cs="Courier New" w:eastAsia="Courier New" w:hAnsi="Courier New"/>
          <w:sz w:val="20"/>
          <w:szCs w:val="20"/>
        </w:rPr>
        <w:t xml:space="preserve">java-cup-11b-20160615.jar</w:t>
      </w:r>
      <w:r>
        <w:rPr>
          <w:rFonts w:ascii="Arial" w:cs="Arial" w:eastAsia="Arial" w:hAnsi="Arial"/>
          <w:sz w:val="22"/>
          <w:szCs w:val="22"/>
        </w:rPr>
        <w:t xml:space="preserve">, ambos añadidos como dependencias del módulo en </w:t>
      </w:r>
      <w:r>
        <w:rPr>
          <w:rFonts w:ascii="Arial" w:cs="Arial" w:eastAsia="Arial" w:hAnsi="Arial"/>
          <w:i/>
          <w:iCs/>
          <w:sz w:val="22"/>
          <w:szCs w:val="22"/>
        </w:rPr>
        <w:t xml:space="preserve">File → Project Structure → Modules → Dependencies</w:t>
      </w:r>
      <w:r>
        <w:rPr>
          <w:rFonts w:ascii="Arial" w:cs="Arial" w:eastAsia="Arial" w:hAnsi="Arial"/>
          <w:sz w:val="22"/>
          <w:szCs w:val="22"/>
        </w:rPr>
        <w:t xml:space="preserve">.</w:t>
      </w:r>
    </w:p>
    <w:p>
      <w:pPr>
        <w:pStyle w:val="Heading2"/>
        <w:spacing w:after="120" w:before="280"/>
      </w:pPr>
      <w:r>
        <w:rPr>
          <w:rFonts w:ascii="Arial" w:cs="Arial" w:eastAsia="Arial" w:hAnsi="Arial"/>
          <w:b/>
          <w:bCs/>
          <w:color w:val="2E5496"/>
          <w:sz w:val="24"/>
          <w:szCs w:val="24"/>
        </w:rPr>
        <w:t xml:space="preserve">7.1. Configuración de JFlex como herramienta externa</w:t>
      </w:r>
    </w:p>
    <w:p>
      <w:pPr>
        <w:spacing w:after="160" w:line="360"/>
        <w:jc w:val="both"/>
      </w:pPr>
      <w:r>
        <w:rPr>
          <w:rFonts w:ascii="Arial" w:cs="Arial" w:eastAsia="Arial" w:hAnsi="Arial"/>
          <w:sz w:val="22"/>
          <w:szCs w:val="22"/>
        </w:rPr>
        <w:t xml:space="preserve">Para poder invocar JFlex desde el propio IDE se configuró una </w:t>
      </w:r>
      <w:r>
        <w:rPr>
          <w:rFonts w:ascii="Arial" w:cs="Arial" w:eastAsia="Arial" w:hAnsi="Arial"/>
          <w:b/>
          <w:bCs/>
          <w:sz w:val="22"/>
          <w:szCs w:val="22"/>
        </w:rPr>
        <w:t xml:space="preserve">External Tool</w:t>
      </w:r>
      <w:r>
        <w:rPr>
          <w:rFonts w:ascii="Arial" w:cs="Arial" w:eastAsia="Arial" w:hAnsi="Arial"/>
          <w:sz w:val="22"/>
          <w:szCs w:val="22"/>
        </w:rPr>
        <w:t xml:space="preserve"> en </w:t>
      </w:r>
      <w:r>
        <w:rPr>
          <w:rFonts w:ascii="Arial" w:cs="Arial" w:eastAsia="Arial" w:hAnsi="Arial"/>
          <w:i/>
          <w:iCs/>
          <w:sz w:val="22"/>
          <w:szCs w:val="22"/>
        </w:rPr>
        <w:t xml:space="preserve">Settings → Tools → External Tools</w:t>
      </w:r>
      <w:r>
        <w:rPr>
          <w:rFonts w:ascii="Arial" w:cs="Arial" w:eastAsia="Arial" w:hAnsi="Arial"/>
          <w:sz w:val="22"/>
          <w:szCs w:val="22"/>
        </w:rPr>
        <w:t xml:space="preserve">. Los parámetros de la herramienta son los siguientes:</w:t>
      </w:r>
    </w:p>
    <w:p>
      <w:pPr>
        <w:spacing w:after="80"/>
      </w:pPr>
      <w: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800"/>
        <w:gridCol w:w="5987"/>
      </w:tblGrid>
      <w:tr>
        <w:trPr>
          <w:tblHeader/>
        </w:trPr>
        <w:tc>
          <w:tcPr>
            <w:tcW w:type="dxa" w:w="2800"/>
            <w:tcBorders>
              <w:top w:val="single" w:color="CCCCCC" w:sz="1"/>
              <w:left w:val="single" w:color="CCCCCC" w:sz="1"/>
              <w:bottom w:val="single" w:color="CCCCCC" w:sz="1"/>
              <w:right w:val="single" w:color="CCCCCC" w:sz="1"/>
            </w:tcBorders>
            <w:shd w:fill="1F3864" w:color="auto" w:val="clear"/>
            <w:tcMar>
              <w:top w:type="dxa" w:w="80"/>
              <w:left w:type="dxa" w:w="150"/>
              <w:bottom w:type="dxa" w:w="80"/>
              <w:right w:type="dxa" w:w="150"/>
            </w:tcMar>
          </w:tcPr>
          <w:p>
            <w:r>
              <w:rPr>
                <w:rFonts w:ascii="Arial" w:cs="Arial" w:eastAsia="Arial" w:hAnsi="Arial"/>
                <w:b/>
                <w:bCs/>
                <w:color w:val="FFFFFF"/>
                <w:sz w:val="20"/>
                <w:szCs w:val="20"/>
              </w:rPr>
              <w:t xml:space="preserve">Campo</w:t>
            </w:r>
          </w:p>
        </w:tc>
        <w:tc>
          <w:tcPr>
            <w:tcW w:type="dxa" w:w="5987"/>
            <w:tcBorders>
              <w:top w:val="single" w:color="CCCCCC" w:sz="1"/>
              <w:left w:val="single" w:color="CCCCCC" w:sz="1"/>
              <w:bottom w:val="single" w:color="CCCCCC" w:sz="1"/>
              <w:right w:val="single" w:color="CCCCCC" w:sz="1"/>
            </w:tcBorders>
            <w:shd w:fill="1F3864" w:color="auto" w:val="clear"/>
            <w:tcMar>
              <w:top w:type="dxa" w:w="80"/>
              <w:left w:type="dxa" w:w="150"/>
              <w:bottom w:type="dxa" w:w="80"/>
              <w:right w:type="dxa" w:w="150"/>
            </w:tcMar>
          </w:tcPr>
          <w:p>
            <w:r>
              <w:rPr>
                <w:rFonts w:ascii="Arial" w:cs="Arial" w:eastAsia="Arial" w:hAnsi="Arial"/>
                <w:b/>
                <w:bCs/>
                <w:color w:val="FFFFFF"/>
                <w:sz w:val="20"/>
                <w:szCs w:val="20"/>
              </w:rPr>
              <w:t xml:space="preserve">Valor</w:t>
            </w:r>
          </w:p>
        </w:tc>
      </w:tr>
      <w:tr>
        <w:tc>
          <w:tcPr>
            <w:tcW w:type="dxa" w:w="2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sz w:val="18"/>
                <w:szCs w:val="18"/>
              </w:rPr>
              <w:t xml:space="preserve">Program</w:t>
            </w:r>
          </w:p>
        </w:tc>
        <w:tc>
          <w:tcPr>
            <w:tcW w:type="dxa" w:w="5987"/>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sz w:val="18"/>
                <w:szCs w:val="18"/>
              </w:rPr>
              <w:t xml:space="preserve">$JDKPath$\bin\java</w:t>
            </w:r>
          </w:p>
        </w:tc>
      </w:tr>
      <w:tr>
        <w:tc>
          <w:tcPr>
            <w:tcW w:type="dxa" w:w="2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sz w:val="18"/>
                <w:szCs w:val="18"/>
              </w:rPr>
              <w:t xml:space="preserve">Arguments</w:t>
            </w:r>
          </w:p>
        </w:tc>
        <w:tc>
          <w:tcPr>
            <w:tcW w:type="dxa" w:w="5987"/>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sz w:val="18"/>
                <w:szCs w:val="18"/>
              </w:rPr>
              <w:t xml:space="preserve">-jar $ProjectFileDir$\lib\jflex-full-1.9.1.jar $FilePath$</w:t>
            </w:r>
          </w:p>
        </w:tc>
      </w:tr>
      <w:tr>
        <w:tc>
          <w:tcPr>
            <w:tcW w:type="dxa" w:w="2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sz w:val="18"/>
                <w:szCs w:val="18"/>
              </w:rPr>
              <w:t xml:space="preserve">Working directory</w:t>
            </w:r>
          </w:p>
        </w:tc>
        <w:tc>
          <w:tcPr>
            <w:tcW w:type="dxa" w:w="5987"/>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sz w:val="18"/>
                <w:szCs w:val="18"/>
              </w:rPr>
              <w:t xml:space="preserve">$ProjectFileDir$</w:t>
            </w:r>
          </w:p>
        </w:tc>
      </w:tr>
    </w:tbl>
    <w:p>
      <w:pPr>
        <w:spacing w:after="120"/>
      </w:pPr>
      <w:r>
        <w:t xml:space="preserve"/>
      </w:r>
    </w:p>
    <w:p>
      <w:pPr>
        <w:spacing w:after="160" w:line="360"/>
        <w:jc w:val="both"/>
      </w:pPr>
      <w:r>
        <w:rPr>
          <w:rFonts w:ascii="Arial" w:cs="Arial" w:eastAsia="Arial" w:hAnsi="Arial"/>
          <w:sz w:val="22"/>
          <w:szCs w:val="22"/>
        </w:rPr>
        <w:t xml:space="preserve">El campo </w:t>
      </w:r>
      <w:r>
        <w:rPr>
          <w:rFonts w:ascii="Courier New" w:cs="Courier New" w:eastAsia="Courier New" w:hAnsi="Courier New"/>
          <w:sz w:val="20"/>
          <w:szCs w:val="20"/>
        </w:rPr>
        <w:t xml:space="preserve">Program</w:t>
      </w:r>
      <w:r>
        <w:rPr>
          <w:rFonts w:ascii="Arial" w:cs="Arial" w:eastAsia="Arial" w:hAnsi="Arial"/>
          <w:sz w:val="22"/>
          <w:szCs w:val="22"/>
        </w:rPr>
        <w:t xml:space="preserve"> apunta al ejecutable </w:t>
      </w:r>
      <w:r>
        <w:rPr>
          <w:rFonts w:ascii="Courier New" w:cs="Courier New" w:eastAsia="Courier New" w:hAnsi="Courier New"/>
          <w:sz w:val="20"/>
          <w:szCs w:val="20"/>
        </w:rPr>
        <w:t xml:space="preserve">java.exe</w:t>
      </w:r>
      <w:r>
        <w:rPr>
          <w:rFonts w:ascii="Arial" w:cs="Arial" w:eastAsia="Arial" w:hAnsi="Arial"/>
          <w:sz w:val="22"/>
          <w:szCs w:val="22"/>
        </w:rPr>
        <w:t xml:space="preserve"> del JDK configurado en el proyecto, no directamente al JAR. Usar el JAR como program produce un error </w:t>
      </w:r>
      <w:r>
        <w:rPr>
          <w:rFonts w:ascii="Courier New" w:cs="Courier New" w:eastAsia="Courier New" w:hAnsi="Courier New"/>
          <w:sz w:val="20"/>
          <w:szCs w:val="20"/>
        </w:rPr>
        <w:t xml:space="preserve">CreateProcess error=193</w:t>
      </w:r>
      <w:r>
        <w:rPr>
          <w:rFonts w:ascii="Arial" w:cs="Arial" w:eastAsia="Arial" w:hAnsi="Arial"/>
          <w:sz w:val="22"/>
          <w:szCs w:val="22"/>
        </w:rPr>
        <w:t xml:space="preserve"> en Windows.</w:t>
      </w:r>
    </w:p>
    <w:p>
      <w:pPr>
        <w:pStyle w:val="Heading2"/>
        <w:spacing w:after="120" w:before="280"/>
      </w:pPr>
      <w:r>
        <w:rPr>
          <w:rFonts w:ascii="Arial" w:cs="Arial" w:eastAsia="Arial" w:hAnsi="Arial"/>
          <w:b/>
          <w:bCs/>
          <w:color w:val="2E5496"/>
          <w:sz w:val="24"/>
          <w:szCs w:val="24"/>
        </w:rPr>
        <w:t xml:space="preserve">7.2. Generación del analizador léxico</w:t>
      </w:r>
    </w:p>
    <w:p>
      <w:pPr>
        <w:spacing w:after="160" w:line="360"/>
        <w:jc w:val="both"/>
      </w:pPr>
      <w:r>
        <w:rPr>
          <w:rFonts w:ascii="Arial" w:cs="Arial" w:eastAsia="Arial" w:hAnsi="Arial"/>
          <w:sz w:val="22"/>
          <w:szCs w:val="22"/>
        </w:rPr>
        <w:t xml:space="preserve">Para generar la clase </w:t>
      </w:r>
      <w:r>
        <w:rPr>
          <w:rFonts w:ascii="Courier New" w:cs="Courier New" w:eastAsia="Courier New" w:hAnsi="Courier New"/>
          <w:sz w:val="20"/>
          <w:szCs w:val="20"/>
        </w:rPr>
        <w:t xml:space="preserve">AnalizadorLexico.java</w:t>
      </w:r>
      <w:r>
        <w:rPr>
          <w:rFonts w:ascii="Arial" w:cs="Arial" w:eastAsia="Arial" w:hAnsi="Arial"/>
          <w:sz w:val="22"/>
          <w:szCs w:val="22"/>
        </w:rPr>
        <w:t xml:space="preserve"> a partir del fichero de especificación se abre </w:t>
      </w:r>
      <w:r>
        <w:rPr>
          <w:rFonts w:ascii="Courier New" w:cs="Courier New" w:eastAsia="Courier New" w:hAnsi="Courier New"/>
          <w:sz w:val="20"/>
          <w:szCs w:val="20"/>
        </w:rPr>
        <w:t xml:space="preserve">AnalizadorLexico.flex</w:t>
      </w:r>
      <w:r>
        <w:rPr>
          <w:rFonts w:ascii="Arial" w:cs="Arial" w:eastAsia="Arial" w:hAnsi="Arial"/>
          <w:sz w:val="22"/>
          <w:szCs w:val="22"/>
        </w:rPr>
        <w:t xml:space="preserve"> en el editor y se selecciona </w:t>
      </w:r>
      <w:r>
        <w:rPr>
          <w:rFonts w:ascii="Arial" w:cs="Arial" w:eastAsia="Arial" w:hAnsi="Arial"/>
          <w:i/>
          <w:iCs/>
          <w:sz w:val="22"/>
          <w:szCs w:val="22"/>
        </w:rPr>
        <w:t xml:space="preserve">Tools → External Tools → [nombre de la herramienta]</w:t>
      </w:r>
      <w:r>
        <w:rPr>
          <w:rFonts w:ascii="Arial" w:cs="Arial" w:eastAsia="Arial" w:hAnsi="Arial"/>
          <w:sz w:val="22"/>
          <w:szCs w:val="22"/>
        </w:rPr>
        <w:t xml:space="preserve">. JFlex lee el fichero, construye el autómata y escribe </w:t>
      </w:r>
      <w:r>
        <w:rPr>
          <w:rFonts w:ascii="Courier New" w:cs="Courier New" w:eastAsia="Courier New" w:hAnsi="Courier New"/>
          <w:sz w:val="20"/>
          <w:szCs w:val="20"/>
        </w:rPr>
        <w:t xml:space="preserve">AnalizadorLexico.java</w:t>
      </w:r>
      <w:r>
        <w:rPr>
          <w:rFonts w:ascii="Arial" w:cs="Arial" w:eastAsia="Arial" w:hAnsi="Arial"/>
          <w:sz w:val="22"/>
          <w:szCs w:val="22"/>
        </w:rPr>
        <w:t xml:space="preserve"> en el mismo directorio </w:t>
      </w:r>
      <w:r>
        <w:rPr>
          <w:rFonts w:ascii="Courier New" w:cs="Courier New" w:eastAsia="Courier New" w:hAnsi="Courier New"/>
          <w:sz w:val="20"/>
          <w:szCs w:val="20"/>
        </w:rPr>
        <w:t xml:space="preserve">src/</w:t>
      </w:r>
      <w:r>
        <w:rPr>
          <w:rFonts w:ascii="Arial" w:cs="Arial" w:eastAsia="Arial" w:hAnsi="Arial"/>
          <w:sz w:val="22"/>
          <w:szCs w:val="22"/>
        </w:rPr>
        <w:t xml:space="preserve">. La salida esperada en la consola de IntelliJ es:</w:t>
      </w:r>
    </w:p>
    <w:p>
      <w:pPr>
        <w:spacing w:after="80"/>
      </w:pPr>
      <w:r>
        <w:t xml:space="preserve"/>
      </w:r>
    </w:p>
    <w:p>
      <w:pPr>
        <w:shd w:fill="EFEFEF" w:color="auto" w:val="clear"/>
        <w:spacing w:after="0" w:before="0" w:line="240"/>
        <w:ind w:left="360" w:right="360"/>
      </w:pPr>
      <w:r>
        <w:rPr>
          <w:rFonts w:ascii="Courier New" w:cs="Courier New" w:eastAsia="Courier New" w:hAnsi="Courier New"/>
          <w:sz w:val="18"/>
          <w:szCs w:val="18"/>
        </w:rPr>
        <w:t xml:space="preserve">Reading "...\src\AnalizadorLexico.flex"</w:t>
      </w:r>
    </w:p>
    <w:p>
      <w:pPr>
        <w:shd w:fill="EFEFEF" w:color="auto" w:val="clear"/>
        <w:spacing w:after="0" w:before="0" w:line="240"/>
        <w:ind w:left="360" w:right="360"/>
      </w:pPr>
      <w:r>
        <w:rPr>
          <w:rFonts w:ascii="Courier New" w:cs="Courier New" w:eastAsia="Courier New" w:hAnsi="Courier New"/>
          <w:sz w:val="18"/>
          <w:szCs w:val="18"/>
        </w:rPr>
        <w:t xml:space="preserve">Constructing NFA : 266 states in NFA</w:t>
      </w:r>
    </w:p>
    <w:p>
      <w:pPr>
        <w:shd w:fill="EFEFEF" w:color="auto" w:val="clear"/>
        <w:spacing w:after="0" w:before="0" w:line="240"/>
        <w:ind w:left="360" w:right="360"/>
      </w:pPr>
      <w:r>
        <w:rPr>
          <w:rFonts w:ascii="Courier New" w:cs="Courier New" w:eastAsia="Courier New" w:hAnsi="Courier New"/>
          <w:sz w:val="18"/>
          <w:szCs w:val="18"/>
        </w:rPr>
        <w:t xml:space="preserve">Converting NFA to DFA : ...</w:t>
      </w:r>
    </w:p>
    <w:p>
      <w:pPr>
        <w:shd w:fill="EFEFEF" w:color="auto" w:val="clear"/>
        <w:spacing w:after="0" w:before="0" w:line="240"/>
        <w:ind w:left="360" w:right="360"/>
      </w:pPr>
      <w:r>
        <w:rPr>
          <w:rFonts w:ascii="Courier New" w:cs="Courier New" w:eastAsia="Courier New" w:hAnsi="Courier New"/>
          <w:sz w:val="18"/>
          <w:szCs w:val="18"/>
        </w:rPr>
        <w:t xml:space="preserve">169 states before minimization, 164 states in minimized DFA</w:t>
      </w:r>
    </w:p>
    <w:p>
      <w:pPr>
        <w:shd w:fill="EFEFEF" w:color="auto" w:val="clear"/>
        <w:spacing w:after="0" w:before="0" w:line="240"/>
        <w:ind w:left="360" w:right="360"/>
      </w:pPr>
      <w:r>
        <w:rPr>
          <w:rFonts w:ascii="Courier New" w:cs="Courier New" w:eastAsia="Courier New" w:hAnsi="Courier New"/>
          <w:sz w:val="18"/>
          <w:szCs w:val="18"/>
        </w:rPr>
        <w:t xml:space="preserve">Writing code to "...\src\AnalizadorLexico.java"</w:t>
      </w:r>
    </w:p>
    <w:p>
      <w:pPr>
        <w:shd w:fill="EFEFEF" w:color="auto" w:val="clear"/>
        <w:spacing w:after="0" w:before="0" w:line="240"/>
        <w:ind w:left="360" w:right="360"/>
      </w:pPr>
      <w:r>
        <w:rPr>
          <w:rFonts w:ascii="Courier New" w:cs="Courier New" w:eastAsia="Courier New" w:hAnsi="Courier New"/>
          <w:sz w:val="10"/>
          <w:szCs w:val="10"/>
        </w:rPr>
        <w:t xml:space="preserve"/>
      </w:r>
    </w:p>
    <w:p>
      <w:pPr>
        <w:spacing w:after="120"/>
      </w:pPr>
      <w:r>
        <w:t xml:space="preserve"/>
      </w:r>
    </w:p>
    <w:p>
      <w:pPr>
        <w:spacing w:after="160" w:line="360"/>
        <w:jc w:val="both"/>
      </w:pPr>
      <w:r>
        <w:rPr>
          <w:rFonts w:ascii="Arial" w:cs="Arial" w:eastAsia="Arial" w:hAnsi="Arial"/>
          <w:sz w:val="22"/>
          <w:szCs w:val="22"/>
        </w:rPr>
        <w:t xml:space="preserve">Una vez generado el fichero, el fichero </w:t>
      </w:r>
      <w:r>
        <w:rPr>
          <w:rFonts w:ascii="Courier New" w:cs="Courier New" w:eastAsia="Courier New" w:hAnsi="Courier New"/>
          <w:sz w:val="20"/>
          <w:szCs w:val="20"/>
        </w:rPr>
        <w:t xml:space="preserve">AnalizadorLexico.java</w:t>
      </w:r>
      <w:r>
        <w:rPr>
          <w:rFonts w:ascii="Arial" w:cs="Arial" w:eastAsia="Arial" w:hAnsi="Arial"/>
          <w:sz w:val="22"/>
          <w:szCs w:val="22"/>
        </w:rPr>
        <w:t xml:space="preserve"> </w:t>
      </w:r>
      <w:r>
        <w:rPr>
          <w:rFonts w:ascii="Arial" w:cs="Arial" w:eastAsia="Arial" w:hAnsi="Arial"/>
          <w:b/>
          <w:bCs/>
          <w:sz w:val="22"/>
          <w:szCs w:val="22"/>
        </w:rPr>
        <w:t xml:space="preserve">no debe editarse manualmente</w:t>
      </w:r>
      <w:r>
        <w:rPr>
          <w:rFonts w:ascii="Arial" w:cs="Arial" w:eastAsia="Arial" w:hAnsi="Arial"/>
          <w:sz w:val="22"/>
          <w:szCs w:val="22"/>
        </w:rPr>
        <w:t xml:space="preserve">. Cualquier modificación debe hacerse en el </w:t>
      </w:r>
      <w:r>
        <w:rPr>
          <w:rFonts w:ascii="Courier New" w:cs="Courier New" w:eastAsia="Courier New" w:hAnsi="Courier New"/>
          <w:sz w:val="20"/>
          <w:szCs w:val="20"/>
        </w:rPr>
        <w:t xml:space="preserve">.flex</w:t>
      </w:r>
      <w:r>
        <w:rPr>
          <w:rFonts w:ascii="Arial" w:cs="Arial" w:eastAsia="Arial" w:hAnsi="Arial"/>
          <w:sz w:val="22"/>
          <w:szCs w:val="22"/>
        </w:rPr>
        <w:t xml:space="preserve"> y regenerar.</w:t>
      </w:r>
    </w:p>
    <w:p>
      <w:pPr>
        <w:pStyle w:val="Heading2"/>
        <w:spacing w:after="120" w:before="280"/>
      </w:pPr>
      <w:r>
        <w:rPr>
          <w:rFonts w:ascii="Arial" w:cs="Arial" w:eastAsia="Arial" w:hAnsi="Arial"/>
          <w:b/>
          <w:bCs/>
          <w:color w:val="2E5496"/>
          <w:sz w:val="24"/>
          <w:szCs w:val="24"/>
        </w:rPr>
        <w:t xml:space="preserve">7.3. Compilación y ejecución del programa de prueba</w:t>
      </w:r>
    </w:p>
    <w:p>
      <w:pPr>
        <w:spacing w:after="160" w:line="360"/>
        <w:jc w:val="both"/>
      </w:pPr>
      <w:r>
        <w:rPr>
          <w:rFonts w:ascii="Arial" w:cs="Arial" w:eastAsia="Arial" w:hAnsi="Arial"/>
          <w:sz w:val="22"/>
          <w:szCs w:val="22"/>
        </w:rPr>
        <w:t xml:space="preserve">Con el fichero </w:t>
      </w:r>
      <w:r>
        <w:rPr>
          <w:rFonts w:ascii="Courier New" w:cs="Courier New" w:eastAsia="Courier New" w:hAnsi="Courier New"/>
          <w:sz w:val="20"/>
          <w:szCs w:val="20"/>
        </w:rPr>
        <w:t xml:space="preserve">AnalizadorLexico.java</w:t>
      </w:r>
      <w:r>
        <w:rPr>
          <w:rFonts w:ascii="Arial" w:cs="Arial" w:eastAsia="Arial" w:hAnsi="Arial"/>
          <w:sz w:val="22"/>
          <w:szCs w:val="22"/>
        </w:rPr>
        <w:t xml:space="preserve"> ya generado, se compila el proyecto completo mediante </w:t>
      </w:r>
      <w:r>
        <w:rPr>
          <w:rFonts w:ascii="Arial" w:cs="Arial" w:eastAsia="Arial" w:hAnsi="Arial"/>
          <w:i/>
          <w:iCs/>
          <w:sz w:val="22"/>
          <w:szCs w:val="22"/>
        </w:rPr>
        <w:t xml:space="preserve">Build → Build Project</w:t>
      </w:r>
      <w:r>
        <w:rPr>
          <w:rFonts w:ascii="Arial" w:cs="Arial" w:eastAsia="Arial" w:hAnsi="Arial"/>
          <w:sz w:val="22"/>
          <w:szCs w:val="22"/>
        </w:rPr>
        <w:t xml:space="preserve">. A continuación se crea una </w:t>
      </w:r>
      <w:r>
        <w:rPr>
          <w:rFonts w:ascii="Arial" w:cs="Arial" w:eastAsia="Arial" w:hAnsi="Arial"/>
          <w:b/>
          <w:bCs/>
          <w:sz w:val="22"/>
          <w:szCs w:val="22"/>
        </w:rPr>
        <w:t xml:space="preserve">Run Configuration</w:t>
      </w:r>
      <w:r>
        <w:rPr>
          <w:rFonts w:ascii="Arial" w:cs="Arial" w:eastAsia="Arial" w:hAnsi="Arial"/>
          <w:sz w:val="22"/>
          <w:szCs w:val="22"/>
        </w:rPr>
        <w:t xml:space="preserve"> específica para cada caso de prueba. En </w:t>
      </w:r>
      <w:r>
        <w:rPr>
          <w:rFonts w:ascii="Arial" w:cs="Arial" w:eastAsia="Arial" w:hAnsi="Arial"/>
          <w:i/>
          <w:iCs/>
          <w:sz w:val="22"/>
          <w:szCs w:val="22"/>
        </w:rPr>
        <w:t xml:space="preserve">Run → Edit Configurations</w:t>
      </w:r>
      <w:r>
        <w:rPr>
          <w:rFonts w:ascii="Arial" w:cs="Arial" w:eastAsia="Arial" w:hAnsi="Arial"/>
          <w:sz w:val="22"/>
          <w:szCs w:val="22"/>
        </w:rPr>
        <w:t xml:space="preserve"> se añade una configuración de tipo </w:t>
      </w:r>
      <w:r>
        <w:rPr>
          <w:rFonts w:ascii="Arial" w:cs="Arial" w:eastAsia="Arial" w:hAnsi="Arial"/>
          <w:i/>
          <w:iCs/>
          <w:sz w:val="22"/>
          <w:szCs w:val="22"/>
        </w:rPr>
        <w:t xml:space="preserve">Application</w:t>
      </w:r>
      <w:r>
        <w:rPr>
          <w:rFonts w:ascii="Arial" w:cs="Arial" w:eastAsia="Arial" w:hAnsi="Arial"/>
          <w:sz w:val="22"/>
          <w:szCs w:val="22"/>
        </w:rPr>
        <w:t xml:space="preserve"> con los siguientes parámetros:</w:t>
      </w:r>
    </w:p>
    <w:p>
      <w:pPr>
        <w:spacing w:after="80"/>
      </w:pPr>
      <w: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800"/>
        <w:gridCol w:w="5987"/>
      </w:tblGrid>
      <w:tr>
        <w:trPr>
          <w:tblHeader/>
        </w:trPr>
        <w:tc>
          <w:tcPr>
            <w:tcW w:type="dxa" w:w="2800"/>
            <w:tcBorders>
              <w:top w:val="single" w:color="CCCCCC" w:sz="1"/>
              <w:left w:val="single" w:color="CCCCCC" w:sz="1"/>
              <w:bottom w:val="single" w:color="CCCCCC" w:sz="1"/>
              <w:right w:val="single" w:color="CCCCCC" w:sz="1"/>
            </w:tcBorders>
            <w:shd w:fill="1F3864" w:color="auto" w:val="clear"/>
            <w:tcMar>
              <w:top w:type="dxa" w:w="80"/>
              <w:left w:type="dxa" w:w="150"/>
              <w:bottom w:type="dxa" w:w="80"/>
              <w:right w:type="dxa" w:w="150"/>
            </w:tcMar>
          </w:tcPr>
          <w:p>
            <w:r>
              <w:rPr>
                <w:rFonts w:ascii="Arial" w:cs="Arial" w:eastAsia="Arial" w:hAnsi="Arial"/>
                <w:b/>
                <w:bCs/>
                <w:color w:val="FFFFFF"/>
                <w:sz w:val="20"/>
                <w:szCs w:val="20"/>
              </w:rPr>
              <w:t xml:space="preserve">Campo</w:t>
            </w:r>
          </w:p>
        </w:tc>
        <w:tc>
          <w:tcPr>
            <w:tcW w:type="dxa" w:w="5987"/>
            <w:tcBorders>
              <w:top w:val="single" w:color="CCCCCC" w:sz="1"/>
              <w:left w:val="single" w:color="CCCCCC" w:sz="1"/>
              <w:bottom w:val="single" w:color="CCCCCC" w:sz="1"/>
              <w:right w:val="single" w:color="CCCCCC" w:sz="1"/>
            </w:tcBorders>
            <w:shd w:fill="1F3864" w:color="auto" w:val="clear"/>
            <w:tcMar>
              <w:top w:type="dxa" w:w="80"/>
              <w:left w:type="dxa" w:w="150"/>
              <w:bottom w:type="dxa" w:w="80"/>
              <w:right w:type="dxa" w:w="150"/>
            </w:tcMar>
          </w:tcPr>
          <w:p>
            <w:r>
              <w:rPr>
                <w:rFonts w:ascii="Arial" w:cs="Arial" w:eastAsia="Arial" w:hAnsi="Arial"/>
                <w:b/>
                <w:bCs/>
                <w:color w:val="FFFFFF"/>
                <w:sz w:val="20"/>
                <w:szCs w:val="20"/>
              </w:rPr>
              <w:t xml:space="preserve">Valor</w:t>
            </w:r>
          </w:p>
        </w:tc>
      </w:tr>
      <w:tr>
        <w:tc>
          <w:tcPr>
            <w:tcW w:type="dxa" w:w="2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sz w:val="18"/>
                <w:szCs w:val="18"/>
              </w:rPr>
              <w:t xml:space="preserve">Main class</w:t>
            </w:r>
          </w:p>
        </w:tc>
        <w:tc>
          <w:tcPr>
            <w:tcW w:type="dxa" w:w="5987"/>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sz w:val="18"/>
                <w:szCs w:val="18"/>
              </w:rPr>
              <w:t xml:space="preserve">Main</w:t>
            </w:r>
          </w:p>
        </w:tc>
      </w:tr>
      <w:tr>
        <w:tc>
          <w:tcPr>
            <w:tcW w:type="dxa" w:w="2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sz w:val="18"/>
                <w:szCs w:val="18"/>
              </w:rPr>
              <w:t xml:space="preserve">Program arguments</w:t>
            </w:r>
          </w:p>
        </w:tc>
        <w:tc>
          <w:tcPr>
            <w:tcW w:type="dxa" w:w="5987"/>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sz w:val="18"/>
                <w:szCs w:val="18"/>
              </w:rPr>
              <w:t xml:space="preserve">test\entrada1.txt test\salida1_obtenida.txt</w:t>
            </w:r>
          </w:p>
        </w:tc>
      </w:tr>
      <w:tr>
        <w:tc>
          <w:tcPr>
            <w:tcW w:type="dxa" w:w="2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sz w:val="18"/>
                <w:szCs w:val="18"/>
              </w:rPr>
              <w:t xml:space="preserve">Working directory</w:t>
            </w:r>
          </w:p>
        </w:tc>
        <w:tc>
          <w:tcPr>
            <w:tcW w:type="dxa" w:w="5987"/>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sz w:val="18"/>
                <w:szCs w:val="18"/>
              </w:rPr>
              <w:t xml:space="preserve">$ProjectFileDir$</w:t>
            </w:r>
          </w:p>
        </w:tc>
      </w:tr>
    </w:tbl>
    <w:p>
      <w:pPr>
        <w:spacing w:after="120"/>
      </w:pPr>
      <w:r>
        <w:t xml:space="preserve"/>
      </w:r>
    </w:p>
    <w:p>
      <w:pPr>
        <w:spacing w:after="160" w:line="360"/>
        <w:jc w:val="both"/>
      </w:pPr>
      <w:r>
        <w:rPr>
          <w:rFonts w:ascii="Arial" w:cs="Arial" w:eastAsia="Arial" w:hAnsi="Arial"/>
          <w:sz w:val="22"/>
          <w:szCs w:val="22"/>
        </w:rPr>
        <w:t xml:space="preserve">Se crea una configuración análoga para </w:t>
      </w:r>
      <w:r>
        <w:rPr>
          <w:rFonts w:ascii="Courier New" w:cs="Courier New" w:eastAsia="Courier New" w:hAnsi="Courier New"/>
          <w:sz w:val="20"/>
          <w:szCs w:val="20"/>
        </w:rPr>
        <w:t xml:space="preserve">entrada2.txt</w:t>
      </w:r>
      <w:r>
        <w:rPr>
          <w:rFonts w:ascii="Arial" w:cs="Arial" w:eastAsia="Arial" w:hAnsi="Arial"/>
          <w:sz w:val="22"/>
          <w:szCs w:val="22"/>
        </w:rPr>
        <w:t xml:space="preserve"> y </w:t>
      </w:r>
      <w:r>
        <w:rPr>
          <w:rFonts w:ascii="Courier New" w:cs="Courier New" w:eastAsia="Courier New" w:hAnsi="Courier New"/>
          <w:sz w:val="20"/>
          <w:szCs w:val="20"/>
        </w:rPr>
        <w:t xml:space="preserve">entrada3.txt</w:t>
      </w:r>
      <w:r>
        <w:rPr>
          <w:rFonts w:ascii="Arial" w:cs="Arial" w:eastAsia="Arial" w:hAnsi="Arial"/>
          <w:sz w:val="22"/>
          <w:szCs w:val="22"/>
        </w:rPr>
        <w:t xml:space="preserve"> cambiando únicamente los nombres de los ficheros en </w:t>
      </w:r>
      <w:r>
        <w:rPr>
          <w:rFonts w:ascii="Arial" w:cs="Arial" w:eastAsia="Arial" w:hAnsi="Arial"/>
          <w:i/>
          <w:iCs/>
          <w:sz w:val="22"/>
          <w:szCs w:val="22"/>
        </w:rPr>
        <w:t xml:space="preserve">Program arguments</w:t>
      </w:r>
      <w:r>
        <w:rPr>
          <w:rFonts w:ascii="Arial" w:cs="Arial" w:eastAsia="Arial" w:hAnsi="Arial"/>
          <w:sz w:val="22"/>
          <w:szCs w:val="22"/>
        </w:rPr>
        <w:t xml:space="preserve">. Al ejecutar, el fichero de salida aparece en la carpeta </w:t>
      </w:r>
      <w:r>
        <w:rPr>
          <w:rFonts w:ascii="Courier New" w:cs="Courier New" w:eastAsia="Courier New" w:hAnsi="Courier New"/>
          <w:sz w:val="20"/>
          <w:szCs w:val="20"/>
        </w:rPr>
        <w:t xml:space="preserve">test/</w:t>
      </w:r>
      <w:r>
        <w:rPr>
          <w:rFonts w:ascii="Arial" w:cs="Arial" w:eastAsia="Arial" w:hAnsi="Arial"/>
          <w:sz w:val="22"/>
          <w:szCs w:val="22"/>
        </w:rPr>
        <w:t xml:space="preserve"> del proyecto. Los mensajes de error morfológico se muestran en la pestaña </w:t>
      </w:r>
      <w:r>
        <w:rPr>
          <w:rFonts w:ascii="Arial" w:cs="Arial" w:eastAsia="Arial" w:hAnsi="Arial"/>
          <w:i/>
          <w:iCs/>
          <w:sz w:val="22"/>
          <w:szCs w:val="22"/>
        </w:rPr>
        <w:t xml:space="preserve">Run</w:t>
      </w:r>
      <w:r>
        <w:rPr>
          <w:rFonts w:ascii="Arial" w:cs="Arial" w:eastAsia="Arial" w:hAnsi="Arial"/>
          <w:sz w:val="22"/>
          <w:szCs w:val="22"/>
        </w:rPr>
        <w:t xml:space="preserve"> de IntelliJ, ya que se emiten por </w:t>
      </w:r>
      <w:r>
        <w:rPr>
          <w:rFonts w:ascii="Courier New" w:cs="Courier New" w:eastAsia="Courier New" w:hAnsi="Courier New"/>
          <w:sz w:val="20"/>
          <w:szCs w:val="20"/>
        </w:rPr>
        <w:t xml:space="preserve">stderr</w:t>
      </w:r>
      <w:r>
        <w:rPr>
          <w:rFonts w:ascii="Arial" w:cs="Arial" w:eastAsia="Arial" w:hAnsi="Arial"/>
          <w:sz w:val="22"/>
          <w:szCs w:val="22"/>
        </w:rPr>
        <w:t xml:space="preserve">.</w:t>
      </w:r>
    </w:p>
    <w:p>
      <w:pPr>
        <w:spacing w:after="120"/>
      </w:pPr>
      <w:r>
        <w:t xml:space="preserve"/>
      </w:r>
    </w:p>
    <w:p>
      <w:pPr>
        <w:pStyle w:val="Heading1"/>
        <w:spacing w:after="160" w:before="360"/>
      </w:pPr>
      <w:r>
        <w:rPr>
          <w:rFonts w:ascii="Arial" w:cs="Arial" w:eastAsia="Arial" w:hAnsi="Arial"/>
          <w:b/>
          <w:bCs/>
          <w:color w:val="1F3864"/>
          <w:sz w:val="28"/>
          <w:szCs w:val="28"/>
        </w:rPr>
        <w:t xml:space="preserve">8. Pruebas y resultados</w:t>
      </w:r>
    </w:p>
    <w:p>
      <w:pPr>
        <w:spacing w:after="160" w:line="360"/>
        <w:jc w:val="both"/>
      </w:pPr>
      <w:r>
        <w:rPr>
          <w:rFonts w:ascii="Arial" w:cs="Arial" w:eastAsia="Arial" w:hAnsi="Arial"/>
          <w:sz w:val="22"/>
          <w:szCs w:val="22"/>
        </w:rPr>
        <w:t xml:space="preserve">Se han utilizado los tres ficheros de prueba facilitados con el enunciado:</w:t>
      </w:r>
    </w:p>
    <w:p>
      <w:pPr>
        <w:spacing w:after="80"/>
      </w:pPr>
      <w:r>
        <w:t xml:space="preserve"/>
      </w:r>
    </w:p>
    <w:p>
      <w:pPr>
        <w:pStyle w:val="ListParagraph"/>
        <w:numPr>
          <w:ilvl w:val="0"/>
          <w:numId w:val="2"/>
        </w:numPr>
        <w:spacing w:after="100" w:line="320"/>
      </w:pPr>
      <w:r>
        <w:rPr>
          <w:rFonts w:ascii="Arial" w:cs="Arial" w:eastAsia="Arial" w:hAnsi="Arial"/>
          <w:b/>
          <w:bCs/>
          <w:sz w:val="22"/>
          <w:szCs w:val="22"/>
        </w:rPr>
        <w:t xml:space="preserve">entrada1.txt — </w:t>
      </w:r>
      <w:r>
        <w:rPr>
          <w:rFonts w:ascii="Arial" w:cs="Arial" w:eastAsia="Arial" w:hAnsi="Arial"/>
          <w:sz w:val="22"/>
          <w:szCs w:val="22"/>
        </w:rPr>
        <w:t xml:space="preserve">contiene todos los tokens válidos del lenguaje. La salida obtenida coincide línea a línea con </w:t>
      </w:r>
      <w:r>
        <w:rPr>
          <w:rFonts w:ascii="Courier New" w:cs="Courier New" w:eastAsia="Courier New" w:hAnsi="Courier New"/>
          <w:sz w:val="20"/>
          <w:szCs w:val="20"/>
        </w:rPr>
        <w:t xml:space="preserve">salida1_esperada.txt</w:t>
      </w:r>
      <w:r>
        <w:rPr>
          <w:rFonts w:ascii="Arial" w:cs="Arial" w:eastAsia="Arial" w:hAnsi="Arial"/>
          <w:sz w:val="22"/>
          <w:szCs w:val="22"/>
        </w:rPr>
        <w:t xml:space="preserve">: se reconocen correctamente las ocho palabras reservadas, los operadores simples y compuestos, tres identificadores y cinco constantes.</w:t>
      </w:r>
    </w:p>
    <w:p>
      <w:pPr>
        <w:pStyle w:val="ListParagraph"/>
        <w:numPr>
          <w:ilvl w:val="0"/>
          <w:numId w:val="2"/>
        </w:numPr>
        <w:spacing w:after="100" w:line="320"/>
      </w:pPr>
      <w:r>
        <w:rPr>
          <w:rFonts w:ascii="Arial" w:cs="Arial" w:eastAsia="Arial" w:hAnsi="Arial"/>
          <w:b/>
          <w:bCs/>
          <w:sz w:val="22"/>
          <w:szCs w:val="22"/>
        </w:rPr>
        <w:t xml:space="preserve">entrada2.txt — </w:t>
      </w:r>
      <w:r>
        <w:rPr>
          <w:rFonts w:ascii="Arial" w:cs="Arial" w:eastAsia="Arial" w:hAnsi="Arial"/>
          <w:sz w:val="22"/>
          <w:szCs w:val="22"/>
        </w:rPr>
        <w:t xml:space="preserve">incluye un identificador de más de 100 caracteres. El analizador procesa correctamente todos los tokens anteriores, y al encontrar el identificador largo emite por </w:t>
      </w:r>
      <w:r>
        <w:rPr>
          <w:rFonts w:ascii="Courier New" w:cs="Courier New" w:eastAsia="Courier New" w:hAnsi="Courier New"/>
          <w:sz w:val="20"/>
          <w:szCs w:val="20"/>
        </w:rPr>
        <w:t xml:space="preserve">stderr</w:t>
      </w:r>
      <w:r>
        <w:rPr>
          <w:rFonts w:ascii="Arial" w:cs="Arial" w:eastAsia="Arial" w:hAnsi="Arial"/>
          <w:sz w:val="22"/>
          <w:szCs w:val="22"/>
        </w:rPr>
        <w:t xml:space="preserve"> el mensaje esperado:</w:t>
      </w:r>
    </w:p>
    <w:p>
      <w:pPr>
        <w:spacing w:after="60"/>
      </w:pPr>
      <w:r>
        <w:t xml:space="preserve"/>
      </w:r>
    </w:p>
    <w:p>
      <w:pPr>
        <w:shd w:fill="EFEFEF" w:color="auto" w:val="clear"/>
        <w:spacing w:after="0" w:before="0" w:line="240"/>
        <w:ind w:left="360" w:right="360"/>
      </w:pPr>
      <w:r>
        <w:rPr>
          <w:rFonts w:ascii="Courier New" w:cs="Courier New" w:eastAsia="Courier New" w:hAnsi="Courier New"/>
          <w:sz w:val="18"/>
          <w:szCs w:val="18"/>
        </w:rPr>
        <w:t xml:space="preserve">****ERROR MORFOLÓGICO EN [lin 8, col 4]:</w:t>
      </w:r>
    </w:p>
    <w:p>
      <w:pPr>
        <w:shd w:fill="EFEFEF" w:color="auto" w:val="clear"/>
        <w:spacing w:after="0" w:before="0" w:line="240"/>
        <w:ind w:left="360" w:right="360"/>
      </w:pPr>
      <w:r>
        <w:rPr>
          <w:rFonts w:ascii="Courier New" w:cs="Courier New" w:eastAsia="Courier New" w:hAnsi="Courier New"/>
          <w:sz w:val="18"/>
          <w:szCs w:val="18"/>
        </w:rPr>
        <w:t xml:space="preserve">  IDENTIFICADOR DEMASIADO LARGO (x012345...)</w:t>
      </w:r>
    </w:p>
    <w:p>
      <w:pPr>
        <w:shd w:fill="EFEFEF" w:color="auto" w:val="clear"/>
        <w:spacing w:after="0" w:before="0" w:line="240"/>
        <w:ind w:left="360" w:right="360"/>
      </w:pPr>
      <w:r>
        <w:rPr>
          <w:rFonts w:ascii="Courier New" w:cs="Courier New" w:eastAsia="Courier New" w:hAnsi="Courier New"/>
          <w:sz w:val="10"/>
          <w:szCs w:val="10"/>
        </w:rPr>
        <w:t xml:space="preserve"/>
      </w:r>
    </w:p>
    <w:p>
      <w:pPr>
        <w:spacing w:after="80"/>
      </w:pPr>
      <w:r>
        <w:t xml:space="preserve"/>
      </w:r>
    </w:p>
    <w:p>
      <w:pPr>
        <w:pStyle w:val="ListParagraph"/>
        <w:numPr>
          <w:ilvl w:val="0"/>
          <w:numId w:val="2"/>
        </w:numPr>
        <w:spacing w:after="120" w:line="320"/>
      </w:pPr>
      <w:r>
        <w:rPr>
          <w:rFonts w:ascii="Arial" w:cs="Arial" w:eastAsia="Arial" w:hAnsi="Arial"/>
          <w:b/>
          <w:bCs/>
          <w:sz w:val="22"/>
          <w:szCs w:val="22"/>
        </w:rPr>
        <w:t xml:space="preserve">entrada3.txt — </w:t>
      </w:r>
      <w:r>
        <w:rPr>
          <w:rFonts w:ascii="Arial" w:cs="Arial" w:eastAsia="Arial" w:hAnsi="Arial"/>
          <w:sz w:val="22"/>
          <w:szCs w:val="22"/>
        </w:rPr>
        <w:t xml:space="preserve">contiene el símbolo </w:t>
      </w:r>
      <w:r>
        <w:rPr>
          <w:rFonts w:ascii="Courier New" w:cs="Courier New" w:eastAsia="Courier New" w:hAnsi="Courier New"/>
          <w:sz w:val="20"/>
          <w:szCs w:val="20"/>
        </w:rPr>
        <w:t xml:space="preserve">&amp;</w:t>
      </w:r>
      <w:r>
        <w:rPr>
          <w:rFonts w:ascii="Arial" w:cs="Arial" w:eastAsia="Arial" w:hAnsi="Arial"/>
          <w:sz w:val="22"/>
          <w:szCs w:val="22"/>
        </w:rPr>
        <w:t xml:space="preserve"> en un contexto en que no es un token válido. El analizador lo detecta y emite:</w:t>
      </w:r>
    </w:p>
    <w:p>
      <w:pPr>
        <w:spacing w:after="60"/>
      </w:pPr>
      <w:r>
        <w:t xml:space="preserve"/>
      </w:r>
    </w:p>
    <w:p>
      <w:pPr>
        <w:shd w:fill="EFEFEF" w:color="auto" w:val="clear"/>
        <w:spacing w:after="0" w:before="0" w:line="240"/>
        <w:ind w:left="360" w:right="360"/>
      </w:pPr>
      <w:r>
        <w:rPr>
          <w:rFonts w:ascii="Courier New" w:cs="Courier New" w:eastAsia="Courier New" w:hAnsi="Courier New"/>
          <w:sz w:val="18"/>
          <w:szCs w:val="18"/>
        </w:rPr>
        <w:t xml:space="preserve">****ERROR MORFOLÓGICO EN [lin 8, col 4]:</w:t>
      </w:r>
    </w:p>
    <w:p>
      <w:pPr>
        <w:shd w:fill="EFEFEF" w:color="auto" w:val="clear"/>
        <w:spacing w:after="0" w:before="0" w:line="240"/>
        <w:ind w:left="360" w:right="360"/>
      </w:pPr>
      <w:r>
        <w:rPr>
          <w:rFonts w:ascii="Courier New" w:cs="Courier New" w:eastAsia="Courier New" w:hAnsi="Courier New"/>
          <w:sz w:val="18"/>
          <w:szCs w:val="18"/>
        </w:rPr>
        <w:t xml:space="preserve">  simbolo no permitido (&amp;)</w:t>
      </w:r>
    </w:p>
    <w:p>
      <w:pPr>
        <w:shd w:fill="EFEFEF" w:color="auto" w:val="clear"/>
        <w:spacing w:after="0" w:before="0" w:line="240"/>
        <w:ind w:left="360" w:right="360"/>
      </w:pPr>
      <w:r>
        <w:rPr>
          <w:rFonts w:ascii="Courier New" w:cs="Courier New" w:eastAsia="Courier New" w:hAnsi="Courier New"/>
          <w:sz w:val="10"/>
          <w:szCs w:val="10"/>
        </w:rPr>
        <w:t xml:space="preserve"/>
      </w:r>
    </w:p>
    <w:p>
      <w:pPr>
        <w:spacing w:after="120"/>
      </w:pPr>
      <w:r>
        <w:t xml:space="preserve"/>
      </w:r>
    </w:p>
    <w:p>
      <w:pPr>
        <w:spacing w:after="160" w:line="360"/>
        <w:jc w:val="both"/>
      </w:pPr>
      <w:r>
        <w:rPr>
          <w:rFonts w:ascii="Arial" w:cs="Arial" w:eastAsia="Arial" w:hAnsi="Arial"/>
          <w:sz w:val="22"/>
          <w:szCs w:val="22"/>
        </w:rPr>
        <w:t xml:space="preserve">En los tres casos la salida generada coincide con la salida esperada, lo que confirma que el analizador reconoce correctamente todos los tokens del lenguaje Pocket y gestiona adecuadamente los dos tipos de error léxico previstos.</w:t>
      </w:r>
    </w:p>
    <w:p>
      <w:pPr>
        <w:spacing w:after="120"/>
      </w:pPr>
      <w:r>
        <w:t xml:space="preserve"/>
      </w:r>
    </w:p>
    <w:p>
      <w:pPr>
        <w:pStyle w:val="Heading1"/>
        <w:spacing w:after="160" w:before="360"/>
      </w:pPr>
      <w:r>
        <w:rPr>
          <w:rFonts w:ascii="Arial" w:cs="Arial" w:eastAsia="Arial" w:hAnsi="Arial"/>
          <w:b/>
          <w:bCs/>
          <w:color w:val="1F3864"/>
          <w:sz w:val="28"/>
          <w:szCs w:val="28"/>
        </w:rPr>
        <w:t xml:space="preserve">9. Conclusiones</w:t>
      </w:r>
    </w:p>
    <w:p>
      <w:pPr>
        <w:spacing w:after="160" w:line="360"/>
        <w:jc w:val="both"/>
      </w:pPr>
      <w:r>
        <w:rPr>
          <w:rFonts w:ascii="Arial" w:cs="Arial" w:eastAsia="Arial" w:hAnsi="Arial"/>
          <w:sz w:val="22"/>
          <w:szCs w:val="22"/>
        </w:rPr>
        <w:t xml:space="preserve">La práctica ha permitido comprender el papel del analizador léxico dentro del proceso de compilación y la forma en que una herramienta generadora como JFlex simplifica considerablemente su construcción. En lugar de implementar a mano la máquina de estados que reconoce los patrones del lenguaje, basta con describir dichos patrones mediante expresiones regulares y JFlex se encarga de generar el autómata correspondiente.</w:t>
      </w:r>
    </w:p>
    <w:p>
      <w:pPr>
        <w:spacing w:after="160" w:line="360"/>
        <w:jc w:val="both"/>
      </w:pPr>
      <w:r>
        <w:rPr>
          <w:rFonts w:ascii="Arial" w:cs="Arial" w:eastAsia="Arial" w:hAnsi="Arial"/>
          <w:sz w:val="22"/>
          <w:szCs w:val="22"/>
        </w:rPr>
        <w:t xml:space="preserve">Uno de los aspectos más relevantes durante el desarrollo fue comprender la estructura exacta del fichero </w:t>
      </w:r>
      <w:r>
        <w:rPr>
          <w:rFonts w:ascii="Courier New" w:cs="Courier New" w:eastAsia="Courier New" w:hAnsi="Courier New"/>
          <w:sz w:val="20"/>
          <w:szCs w:val="20"/>
        </w:rPr>
        <w:t xml:space="preserve">.flex</w:t>
      </w:r>
      <w:r>
        <w:rPr>
          <w:rFonts w:ascii="Arial" w:cs="Arial" w:eastAsia="Arial" w:hAnsi="Arial"/>
          <w:sz w:val="22"/>
          <w:szCs w:val="22"/>
        </w:rPr>
        <w:t xml:space="preserve"> y la importancia del orden en las reglas léxicas: las palabras reservadas antes que los identificadores, los operadores de dos caracteres antes que los de uno, y el comodín de error siempre al final. También resultó necesario añadir una regla </w:t>
      </w:r>
      <w:r>
        <w:rPr>
          <w:rFonts w:ascii="Courier New" w:cs="Courier New" w:eastAsia="Courier New" w:hAnsi="Courier New"/>
          <w:sz w:val="20"/>
          <w:szCs w:val="20"/>
        </w:rPr>
        <w:t xml:space="preserve">&lt;&lt;EOF&gt;&gt;</w:t>
      </w:r>
      <w:r>
        <w:rPr>
          <w:rFonts w:ascii="Arial" w:cs="Arial" w:eastAsia="Arial" w:hAnsi="Arial"/>
          <w:sz w:val="22"/>
          <w:szCs w:val="22"/>
        </w:rPr>
        <w:t xml:space="preserve"> explícita para evitar un problema de incompatibilidad de tipos en la versión 1.9 de JFlex al usar </w:t>
      </w:r>
      <w:r>
        <w:rPr>
          <w:rFonts w:ascii="Courier New" w:cs="Courier New" w:eastAsia="Courier New" w:hAnsi="Courier New"/>
          <w:sz w:val="20"/>
          <w:szCs w:val="20"/>
        </w:rPr>
        <w:t xml:space="preserve">%type int</w:t>
      </w:r>
      <w:r>
        <w:rPr>
          <w:rFonts w:ascii="Arial" w:cs="Arial" w:eastAsia="Arial" w:hAnsi="Arial"/>
          <w:sz w:val="22"/>
          <w:szCs w:val="22"/>
        </w:rPr>
        <w:t xml:space="preserve">.</w:t>
      </w:r>
    </w:p>
    <w:p>
      <w:pPr>
        <w:spacing w:after="160" w:line="360"/>
        <w:jc w:val="both"/>
      </w:pPr>
      <w:r>
        <w:rPr>
          <w:rFonts w:ascii="Arial" w:cs="Arial" w:eastAsia="Arial" w:hAnsi="Arial"/>
          <w:sz w:val="22"/>
          <w:szCs w:val="22"/>
        </w:rPr>
        <w:t xml:space="preserve">Como resultado se ha obtenido un analizador léxico funcional para el lenguaje Pocket que supera los tres casos de prueba propuestos, reconociendo los 56 tokens del lenguaje y reportando de forma precisa los errores morfológicos con su localización en el fichero de entrada.</w:t>
      </w:r>
    </w:p>
    <w:sectPr>
      <w:footerReference w:type="default" r:id="rId7"/>
      <w:pgSz w:w="11906" w:h="16838" w:orient="portrait"/>
      <w:pgMar w:top="1418" w:right="1418"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77777"/>
        <w:sz w:val="18"/>
        <w:szCs w:val="18"/>
      </w:rPr>
      <w:t xml:space="preserve">Página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1F3864"/>
      <w:sz w:val="28"/>
      <w:szCs w:val="28"/>
    </w:rPr>
  </w:style>
  <w:style w:type="paragraph" w:styleId="Heading2">
    <w:name w:val="Heading 2"/>
    <w:basedOn w:val="Normal"/>
    <w:next w:val="Normal"/>
    <w:pPr>
      <w:spacing w:after="120" w:before="28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2026-04-01T05:24:17.369Z</dcterms:created>
  <dcterms:modified xsi:type="dcterms:W3CDTF">2026-04-01T05:24:17.370Z</dcterms:modified>
</cp:coreProperties>
</file>

<file path=docProps/custom.xml><?xml version="1.0" encoding="utf-8"?>
<Properties xmlns="http://schemas.openxmlformats.org/officeDocument/2006/custom-properties" xmlns:vt="http://schemas.openxmlformats.org/officeDocument/2006/docPropsVTypes"/>
</file>