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CARTA GANTT</w:t>
      </w:r>
    </w:p>
    <w:p>
      <w:pPr>
        <w:spacing w:after="480"/>
        <w:jc w:val="center"/>
      </w:pPr>
      <w:r>
        <w:rPr>
          <w:color w:val="757575"/>
          <w:sz w:val="24"/>
          <w:szCs w:val="24"/>
        </w:rPr>
        <w:t xml:space="preserve">Fábrica Biochar Fresia  •  Noviembre 2025 - Marzo 2026</w:t>
      </w:r>
    </w:p>
    <w:p>
      <w:pPr>
        <w:pStyle w:val="Heading1"/>
      </w:pPr>
      <w:r>
        <w:t xml:space="preserve">Resumen Ejecutivo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</w:tcPr>
          <w:p>
            <w:pPr>
              <w:spacing w:before="120"/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Nov-25</w:t>
            </w:r>
          </w:p>
          <w:p>
            <w:pPr>
              <w:jc w:val="center"/>
            </w:pPr>
            <w:r>
              <w:rPr>
                <w:b/>
                <w:bCs/>
                <w:color w:val="424242"/>
                <w:sz w:val="28"/>
                <w:szCs w:val="28"/>
              </w:rPr>
              <w:t xml:space="preserve">$29.051.846</w:t>
            </w:r>
          </w:p>
          <w:p>
            <w:pPr>
              <w:spacing w:after="120"/>
              <w:jc w:val="center"/>
            </w:pPr>
            <w:r>
              <w:rPr>
                <w:color w:val="757575"/>
                <w:sz w:val="20"/>
                <w:szCs w:val="20"/>
              </w:rPr>
              <w:t xml:space="preserve">33%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</w:tcPr>
          <w:p>
            <w:pPr>
              <w:spacing w:before="120"/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Dic-25</w:t>
            </w:r>
          </w:p>
          <w:p>
            <w:pPr>
              <w:jc w:val="center"/>
            </w:pPr>
            <w:r>
              <w:rPr>
                <w:b/>
                <w:bCs/>
                <w:color w:val="424242"/>
                <w:sz w:val="28"/>
                <w:szCs w:val="28"/>
              </w:rPr>
              <w:t xml:space="preserve">$38.039.403</w:t>
            </w:r>
          </w:p>
          <w:p>
            <w:pPr>
              <w:spacing w:after="120"/>
              <w:jc w:val="center"/>
            </w:pPr>
            <w:r>
              <w:rPr>
                <w:color w:val="757575"/>
                <w:sz w:val="20"/>
                <w:szCs w:val="20"/>
              </w:rPr>
              <w:t xml:space="preserve">43%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</w:tcPr>
          <w:p>
            <w:pPr>
              <w:spacing w:before="120"/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Ene-26</w:t>
            </w:r>
          </w:p>
          <w:p>
            <w:pPr>
              <w:jc w:val="center"/>
            </w:pPr>
            <w:r>
              <w:rPr>
                <w:b/>
                <w:bCs/>
                <w:color w:val="424242"/>
                <w:sz w:val="28"/>
                <w:szCs w:val="28"/>
              </w:rPr>
              <w:t xml:space="preserve">$16.696.259</w:t>
            </w:r>
          </w:p>
          <w:p>
            <w:pPr>
              <w:spacing w:after="120"/>
              <w:jc w:val="center"/>
            </w:pPr>
            <w:r>
              <w:rPr>
                <w:color w:val="757575"/>
                <w:sz w:val="20"/>
                <w:szCs w:val="20"/>
              </w:rPr>
              <w:t xml:space="preserve">19%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</w:tcPr>
          <w:p>
            <w:pPr>
              <w:spacing w:before="120"/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Feb-26</w:t>
            </w:r>
          </w:p>
          <w:p>
            <w:pPr>
              <w:jc w:val="center"/>
            </w:pPr>
            <w:r>
              <w:rPr>
                <w:b/>
                <w:bCs/>
                <w:color w:val="424242"/>
                <w:sz w:val="28"/>
                <w:szCs w:val="28"/>
              </w:rPr>
              <w:t xml:space="preserve">$5.331.200</w:t>
            </w:r>
          </w:p>
          <w:p>
            <w:pPr>
              <w:spacing w:after="120"/>
              <w:jc w:val="center"/>
            </w:pPr>
            <w:r>
              <w:rPr>
                <w:color w:val="757575"/>
                <w:sz w:val="20"/>
                <w:szCs w:val="20"/>
              </w:rPr>
              <w:t xml:space="preserve">6%</w:t>
            </w:r>
          </w:p>
        </w:tc>
      </w:tr>
    </w:tbl>
    <w:p>
      <w:pPr>
        <w:spacing w:before="240"/>
      </w:pPr>
      <w:r>
        <w:rPr>
          <w:color w:val="424242"/>
          <w:sz w:val="22"/>
          <w:szCs w:val="22"/>
        </w:rPr>
        <w:t xml:space="preserve">Total Neto: </w:t>
      </w:r>
      <w:r>
        <w:rPr>
          <w:b/>
          <w:bCs/>
          <w:color w:val="1B5E20"/>
          <w:sz w:val="22"/>
          <w:szCs w:val="22"/>
        </w:rPr>
        <w:t xml:space="preserve">$74.889.670</w:t>
      </w:r>
      <w:r>
        <w:rPr>
          <w:color w:val="424242"/>
          <w:sz w:val="22"/>
          <w:szCs w:val="22"/>
        </w:rPr>
        <w:t xml:space="preserve">   |   Total con IVA: </w:t>
      </w:r>
      <w:r>
        <w:rPr>
          <w:b/>
          <w:bCs/>
          <w:color w:val="1B5E20"/>
          <w:sz w:val="22"/>
          <w:szCs w:val="22"/>
        </w:rPr>
        <w:t xml:space="preserve">$89.118.708</w:t>
      </w:r>
    </w:p>
    <w:p>
      <w:pPr>
        <w:pStyle w:val="Heading1"/>
      </w:pPr>
      <w:r>
        <w:t xml:space="preserve">Hitos Principales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D32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D32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D32" w:val="clea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01-Dic-2025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b/>
                <w:bCs/>
                <w:color w:val="424242"/>
                <w:sz w:val="20"/>
                <w:szCs w:val="20"/>
              </w:rPr>
              <w:t xml:space="preserve">Inicio Marcha Blanca R1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757575"/>
                <w:sz w:val="20"/>
                <w:szCs w:val="20"/>
              </w:rPr>
              <w:t xml:space="preserve">Reactor 1 operando en modo prueba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09-Feb-2026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b/>
                <w:bCs/>
                <w:color w:val="424242"/>
                <w:sz w:val="20"/>
                <w:szCs w:val="20"/>
              </w:rPr>
              <w:t xml:space="preserve">Inicio Operación Formal R1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757575"/>
                <w:sz w:val="20"/>
                <w:szCs w:val="20"/>
              </w:rPr>
              <w:t xml:space="preserve">Reactor 1 operando establemente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09-Mar-2026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b/>
                <w:bCs/>
                <w:color w:val="424242"/>
                <w:sz w:val="20"/>
                <w:szCs w:val="20"/>
              </w:rPr>
              <w:t xml:space="preserve">Operación 24/7 Completa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757575"/>
                <w:sz w:val="20"/>
                <w:szCs w:val="20"/>
              </w:rPr>
              <w:t xml:space="preserve">R1 + R2 + R3 funcionando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Cronograma de Actividades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1500"/>
        <w:gridCol w:w="150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D32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D32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D32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D32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</w:tr>
      <w:tr>
        <w:tc>
          <w:tcPr>
            <w:gridSpan w:val="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</w:tcPr>
          <w:p>
            <w:pPr>
              <w:spacing w:before="60"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GESTIÓN Y COORDINACIÓN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0.1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Solicitud y recepción de fondos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12-Nov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22-Nov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0.2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Coordinación supervisión externa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21-Nov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23-Nov</w:t>
            </w:r>
          </w:p>
        </w:tc>
      </w:tr>
      <w:tr>
        <w:tc>
          <w:tcPr>
            <w:gridSpan w:val="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</w:tcPr>
          <w:p>
            <w:pPr>
              <w:spacing w:before="60"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OBRAS CIVILES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2.1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Radier Reactor 2 - materiales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24-Nov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25-Nov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2.2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Radier Reactor 2 - construcción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26-Nov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17-Dic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2.3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Radier adicional (3º) - materiales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24-Nov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25-Nov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2.4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Radier adicional (3º) - construcción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26-Nov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17-Dic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2.5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Inspección radiers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29-Dic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30-Dic</w:t>
            </w:r>
          </w:p>
        </w:tc>
      </w:tr>
      <w:tr>
        <w:tc>
          <w:tcPr>
            <w:gridSpan w:val="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</w:tcPr>
          <w:p>
            <w:pPr>
              <w:spacing w:before="60"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EQUIPAMIENTO DE MANEJO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3.1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Viga H 15m - fabricación/compra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01-Dic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16-Dic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3.2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Apoyos y columnas estructurales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01-Dic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16-Dic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3.3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Soldadura y montaje estructural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16-Dic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26-Dic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3.4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Instalación Tecle LIFTWORKS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26-Dic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27-Dic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3.5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Pruebas de carga y certificación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27-Dic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28-Dic</w:t>
            </w:r>
          </w:p>
        </w:tc>
      </w:tr>
      <w:tr>
        <w:tc>
          <w:tcPr>
            <w:gridSpan w:val="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1F5FE" w:val="clear"/>
          </w:tcPr>
          <w:p>
            <w:pPr>
              <w:spacing w:before="60"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SISTEMA MANEJO DE LÍQUIDOS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4.1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Excavación para piscina HDPE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01-Dic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04-Dic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4.2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Instalación piscina HDPE 100m²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04-Dic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14-Dic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4.3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Sistema drenaje con bolones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15-Dic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19-Dic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4.4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Cámara de registro + tubos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08-Dic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13-Dic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4.5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Pruebas de hermeticidad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19-Dic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20-Dic</w:t>
            </w:r>
          </w:p>
        </w:tc>
      </w:tr>
      <w:tr>
        <w:tc>
          <w:tcPr>
            <w:gridSpan w:val="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BE9E7" w:val="clear"/>
          </w:tcPr>
          <w:p>
            <w:pPr>
              <w:spacing w:before="60"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INSTRUMENTACIÓN Y CONTROL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5.1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Dinamómetro OCS-K 3000kg - compra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22-Nov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23-Nov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5.2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Certificación dinamómetro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22-Nov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23-Nov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5.3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Trípode provisorio para pesaje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25-Nov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27-Nov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5.4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Instalación dinamómetro en tecle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23-Ene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24-Ene</w:t>
            </w:r>
          </w:p>
        </w:tc>
      </w:tr>
      <w:tr>
        <w:tc>
          <w:tcPr>
            <w:gridSpan w:val="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</w:tcPr>
          <w:p>
            <w:pPr>
              <w:spacing w:before="60"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TECHUMBRE Y ESTRUCTURA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6.1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Estructura metálica - fabricación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01-Dic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21-Dic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6.2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Montaje estructura techumbre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22-Dic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01-Ene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6.3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Cubierta de techumbre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05-Ene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15-Ene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6.4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Sistema eléctrico techumbre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19-Ene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24-Ene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6.5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Iluminación techumbre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26-Ene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31-Ene</w:t>
            </w:r>
          </w:p>
        </w:tc>
      </w:tr>
      <w:tr>
        <w:tc>
          <w:tcPr>
            <w:gridSpan w:val="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0F7FA" w:val="clear"/>
          </w:tcPr>
          <w:p>
            <w:pPr>
              <w:spacing w:before="60"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SISTEMA DE AGUA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7.1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Motor periférico 1HP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15-Dic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16-Dic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7.3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Canalización a biochar (200m)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01-Dic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11-Dic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7.4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Estanques 1000L + estructuras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08-Dic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13-Dic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7.5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Pruebas de presión sistema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15-Dic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16-Dic</w:t>
            </w:r>
          </w:p>
        </w:tc>
      </w:tr>
      <w:tr>
        <w:tc>
          <w:tcPr>
            <w:gridSpan w:val="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DE7" w:val="clear"/>
          </w:tcPr>
          <w:p>
            <w:pPr>
              <w:spacing w:before="60"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INSTALACIONES ELÉCTRICAS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8.1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Extensión eléctrica 20m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01-Dic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06-Dic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8.2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Alimentación tecle/carro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08-Dic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13-Dic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8.3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Tablero eléctrico local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08-Dic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13-Dic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8.4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Instalación completa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15-Dic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14-Ene</w:t>
            </w:r>
          </w:p>
        </w:tc>
      </w:tr>
      <w:tr>
        <w:tc>
          <w:tcPr>
            <w:gridSpan w:val="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EBE9" w:val="clear"/>
          </w:tcPr>
          <w:p>
            <w:pPr>
              <w:spacing w:before="60"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TRANSPORTE DE REACTORES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1.1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Transporte Reactores 2 y 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27-Feb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28-Feb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1.2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Descarga con retroexcavadora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27-Feb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28-Feb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1.3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Instalación básica Reactor 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27-Feb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28-Feb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1.4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Instalación básica Reactor 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01-Mar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01-Mar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1.5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Conexiones finales R2+R3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02-Mar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02-Mar</w:t>
            </w:r>
          </w:p>
        </w:tc>
      </w:tr>
      <w:tr>
        <w:tc>
          <w:tcPr>
            <w:gridSpan w:val="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</w:tcPr>
          <w:p>
            <w:pPr>
              <w:spacing w:before="60" w:after="60"/>
            </w:pPr>
            <w:r>
              <w:rPr>
                <w:b/>
                <w:bCs/>
                <w:color w:val="424242"/>
                <w:sz w:val="20"/>
                <w:szCs w:val="20"/>
              </w:rPr>
              <w:t xml:space="preserve">OPERACIÓN Y PUESTA EN MARCHA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9.3a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Ciclo prueba R1 - Marcha blanca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17-Nov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30-Nov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9.4a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Capacitación inicial equipo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28-Nov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30-Nov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9.1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Pruebas integradas de sistemas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26-Ene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31-Ene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9.2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Ajustes finales infraestructura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02-Feb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07-Feb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9.3b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Ciclo de prueba R2+R3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03-Mar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05-Mar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757575"/>
                <w:sz w:val="18"/>
                <w:szCs w:val="18"/>
              </w:rPr>
              <w:t xml:space="preserve">9.4b</w:t>
            </w:r>
          </w:p>
        </w:tc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r>
              <w:rPr>
                <w:color w:val="424242"/>
                <w:sz w:val="20"/>
                <w:szCs w:val="20"/>
              </w:rPr>
              <w:t xml:space="preserve">Capacitación equipo completo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06-Mar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08-Mar</w:t>
            </w:r>
          </w:p>
        </w:tc>
      </w:tr>
    </w:tbl>
    <w:p>
      <w:pPr>
        <w:spacing w:before="480"/>
      </w:pPr>
      <w:r>
        <w:rPr>
          <w:b/>
          <w:bCs/>
          <w:color w:val="424242"/>
          <w:sz w:val="20"/>
          <w:szCs w:val="20"/>
        </w:rPr>
        <w:t xml:space="preserve">Notas:</w:t>
      </w:r>
    </w:p>
    <w:p>
      <w:pPr>
        <w:spacing w:before="60"/>
      </w:pPr>
      <w:r>
        <w:rPr>
          <w:color w:val="757575"/>
          <w:sz w:val="20"/>
          <w:szCs w:val="20"/>
        </w:rPr>
        <w:t xml:space="preserve">• Defase de caja promedio considerado: 10 días entre solicitud y recepción de fondos</w:t>
      </w:r>
    </w:p>
    <w:p>
      <w:r>
        <w:rPr>
          <w:color w:val="757575"/>
          <w:sz w:val="20"/>
          <w:szCs w:val="20"/>
        </w:rPr>
        <w:t xml:space="preserve">• Contingencia por atraso de proveedores: 20%</w:t>
      </w:r>
    </w:p>
    <w:p>
      <w:r>
        <w:rPr>
          <w:color w:val="757575"/>
          <w:sz w:val="20"/>
          <w:szCs w:val="20"/>
        </w:rPr>
        <w:t xml:space="preserve">• Reactor 1 ya instalado en terreno, operativo para marcha blanca</w:t>
      </w:r>
    </w:p>
    <w:p>
      <w:r>
        <w:rPr>
          <w:color w:val="757575"/>
          <w:sz w:val="20"/>
          <w:szCs w:val="20"/>
        </w:rPr>
        <w:t xml:space="preserve">• Reactores 2 y 3 en fabricación, arribo confirmado 27-Feb-2026</w:t>
      </w:r>
    </w:p>
    <w:p>
      <w:pPr>
        <w:spacing w:before="600"/>
        <w:jc w:val="center"/>
      </w:pPr>
      <w:r>
        <w:rPr>
          <w:i/>
          <w:iCs/>
          <w:color w:val="757575"/>
          <w:sz w:val="18"/>
          <w:szCs w:val="18"/>
        </w:rPr>
        <w:t xml:space="preserve">Preparado: Noviembre 2025  •  Revisión: Francisco Acuña, Victoria Cussen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575"/>
        <w:sz w:val="18"/>
        <w:szCs w:val="18"/>
      </w:rPr>
      <w:t xml:space="preserve">Página </w:t>
    </w:r>
    <w:r>
      <w:rPr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57575"/>
        <w:sz w:val="18"/>
        <w:szCs w:val="18"/>
      </w:rPr>
      <w:t xml:space="preserve">Fábrica Biochar Fresia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Calibri" w:cs="Calibri" w:eastAsia="Calibri" w:hAnsi="Calibri"/>
      <w:b/>
      <w:bCs/>
      <w:color w:val="1B5E20"/>
      <w:sz w:val="56"/>
      <w:szCs w:val="56"/>
    </w:rPr>
  </w:style>
  <w:style w:type="paragraph" w:styleId="Heading1">
    <w:name w:val="Heading 1"/>
    <w:basedOn w:val="Normal"/>
    <w:pPr>
      <w:spacing w:before="360" w:after="120"/>
    </w:pPr>
    <w:rPr>
      <w:rFonts w:ascii="Calibri" w:cs="Calibri" w:eastAsia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pPr>
      <w:spacing w:before="240" w:after="80"/>
    </w:pPr>
    <w:rPr>
      <w:rFonts w:ascii="Calibri" w:cs="Calibri" w:eastAsia="Calibri" w:hAnsi="Calibri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2025-11-26T00:03:58.747Z</dcterms:created>
  <dcterms:modified xsi:type="dcterms:W3CDTF">2025-11-26T00:03:58.748Z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