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Planificación Clase 1 · Del pseudocódigo a Python</w:t>
      </w:r>
    </w:p>
    <w:p>
      <w:pPr/>
      <w:r>
        <w:t xml:space="preserve">Oct 28, 2026</w:t>
      </w:r>
      <w:r>
        <w:t xml:space="preserve"> · </w:t>
      </w:r>
      <w:r>
        <w:t xml:space="preserve">@Pablo</w:t>
      </w:r>
    </w:p>
    <w:p>
      <w:pPr>
        <w:pStyle w:val="Heading2"/>
      </w:pPr>
      <w:r>
        <w:t xml:space="preserve">Datos generales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99"/>
        <w:gridCol w:w="7060"/>
      </w:tblGrid>
      <w:tr>
        <w:trPr>
          <w:tblHeader/>
        </w:trPr>
        <w:tc>
          <w:tcPr>
            <w:tcW w:w="2299" w:type="dxa"/>
            <w:shd w:val="clear" w:color="auto" w:fill="F2F2F2"/>
          </w:tcPr>
          <w:p>
            <w:pPr/>
            <w:r>
              <w:t xml:space="preserve">Dato</w:t>
            </w:r>
          </w:p>
        </w:tc>
        <w:tc>
          <w:tcPr>
            <w:tcW w:w="7060" w:type="dxa"/>
            <w:shd w:val="clear" w:color="auto" w:fill="F2F2F2"/>
          </w:tcPr>
          <w:p>
            <w:pPr/>
            <w:r>
              <w:t xml:space="preserve">Detalle</w:t>
            </w:r>
          </w:p>
        </w:tc>
      </w:tr>
      <w:tr>
        <w:tc>
          <w:tcPr>
            <w:tcW w:w="2299" w:type="dxa"/>
          </w:tcPr>
          <w:p>
            <w:pPr/>
            <w:r>
              <w:t xml:space="preserve">Curso</w:t>
            </w:r>
          </w:p>
        </w:tc>
        <w:tc>
          <w:tcPr>
            <w:tcW w:w="7060" w:type="dxa"/>
          </w:tcPr>
          <w:p>
            <w:pPr/>
            <w:r>
              <w:t xml:space="preserve">1° EMS · Espacio Optativo de Autonomía Curricular · Ciencias Computacionales y Tecnologías Digitales</w:t>
            </w:r>
          </w:p>
        </w:tc>
      </w:tr>
      <w:tr>
        <w:tc>
          <w:tcPr>
            <w:tcW w:w="2299" w:type="dxa"/>
          </w:tcPr>
          <w:p>
            <w:pPr/>
            <w:r>
              <w:t xml:space="preserve">Docente</w:t>
            </w:r>
          </w:p>
        </w:tc>
        <w:tc>
          <w:tcPr>
            <w:tcW w:w="7060" w:type="dxa"/>
          </w:tcPr>
          <w:p>
            <w:pPr/>
            <w:r>
              <w:t xml:space="preserve">Pablo Montaña</w:t>
            </w:r>
          </w:p>
        </w:tc>
      </w:tr>
      <w:tr>
        <w:tc>
          <w:tcPr>
            <w:tcW w:w="2299" w:type="dxa"/>
          </w:tcPr>
          <w:p>
            <w:pPr/>
            <w:r>
              <w:t xml:space="preserve">Eje temático</w:t>
            </w:r>
          </w:p>
        </w:tc>
        <w:tc>
          <w:tcPr>
            <w:tcW w:w="7060" w:type="dxa"/>
          </w:tcPr>
          <w:p>
            <w:pPr/>
            <w:r>
              <w:t xml:space="preserve">Algoritmia y programación de software</w:t>
            </w:r>
          </w:p>
        </w:tc>
      </w:tr>
      <w:tr>
        <w:tc>
          <w:tcPr>
            <w:tcW w:w="2299" w:type="dxa"/>
          </w:tcPr>
          <w:p>
            <w:pPr/>
            <w:r>
              <w:t xml:space="preserve">Tema</w:t>
            </w:r>
          </w:p>
        </w:tc>
        <w:tc>
          <w:tcPr>
            <w:tcW w:w="7060" w:type="dxa"/>
          </w:tcPr>
          <w:p>
            <w:pPr/>
            <w:r>
              <w:t xml:space="preserve">Del pseudocódigo a Python: variables, tipos de datos, entrada y salida</w:t>
            </w:r>
          </w:p>
        </w:tc>
      </w:tr>
      <w:tr>
        <w:tc>
          <w:tcPr>
            <w:tcW w:w="2299" w:type="dxa"/>
          </w:tcPr>
          <w:p>
            <w:pPr/>
            <w:r>
              <w:t xml:space="preserve">Duración</w:t>
            </w:r>
          </w:p>
        </w:tc>
        <w:tc>
          <w:tcPr>
            <w:tcW w:w="7060" w:type="dxa"/>
          </w:tcPr>
          <w:p>
            <w:pPr/>
            <w:r>
              <w:t xml:space="preserve">80 minutos</w:t>
            </w:r>
          </w:p>
        </w:tc>
      </w:tr>
      <w:tr>
        <w:tc>
          <w:tcPr>
            <w:tcW w:w="2299" w:type="dxa"/>
          </w:tcPr>
          <w:p>
            <w:pPr/>
            <w:r>
              <w:t xml:space="preserve">Ubicación</w:t>
            </w:r>
          </w:p>
        </w:tc>
        <w:tc>
          <w:tcPr>
            <w:tcW w:w="7060" w:type="dxa"/>
          </w:tcPr>
          <w:p>
            <w:pPr/>
            <w:r>
              <w:t xml:space="preserve">Clase 1 de 5 del cierre de curso</w:t>
            </w:r>
          </w:p>
        </w:tc>
      </w:tr>
    </w:tbl>
    <w:p>
      <w:pPr>
        <w:pStyle w:val="Heading2"/>
      </w:pPr>
      <w:r>
        <w:t xml:space="preserve">Competencias y propósito de aprendizaje</w:t>
      </w:r>
    </w:p>
    <w:p>
      <w:pPr/>
      <w:r>
        <w:rPr>
          <w:b/>
        </w:rPr>
        <w:t xml:space="preserve">Competencias del MCN:</w:t>
      </w:r>
      <w:r>
        <w:t xml:space="preserve"> Pensamiento computacional, Pensamiento crítico y Metacognitiva.</w:t>
      </w:r>
    </w:p>
    <w:p>
      <w:pPr/>
      <w:r>
        <w:rPr>
          <w:b/>
        </w:rPr>
        <w:t xml:space="preserve">Propósito:</w:t>
      </w:r>
      <w:r>
        <w:t xml:space="preserve"> que el estudiante traduzca a Python un algoritmo ya resuelto en pseudocódigo, usando variables, entrada, salida y conversión de tipos de datos.</w:t>
      </w:r>
    </w:p>
    <w:p>
      <w:pPr/>
      <w:r>
        <w:rPr>
          <w:b/>
        </w:rPr>
        <w:t xml:space="preserve">Objetivos:</w:t>
      </w:r>
    </w:p>
    <w:p>
      <w:pPr>
        <w:pStyle w:val="ListParagraph"/>
        <w:numPr>
          <w:ilvl w:val="0"/>
          <w:numId w:val="2"/>
        </w:numPr>
      </w:pPr>
      <w:r>
        <w:t xml:space="preserve">Diferenciar lenguajes de alto y bajo nivel (comprender).</w:t>
      </w:r>
    </w:p>
    <w:p>
      <w:pPr>
        <w:pStyle w:val="ListParagraph"/>
        <w:numPr>
          <w:ilvl w:val="0"/>
          <w:numId w:val="2"/>
        </w:numPr>
      </w:pPr>
      <w:r>
        <w:t xml:space="preserve">Traducir a Python el cálculo de un área escrito en pseudocódigo (aplicar).</w:t>
      </w:r>
    </w:p>
    <w:p>
      <w:pPr>
        <w:pStyle w:val="ListParagraph"/>
        <w:numPr>
          <w:ilvl w:val="0"/>
          <w:numId w:val="2"/>
        </w:numPr>
      </w:pPr>
      <w:r>
        <w:t xml:space="preserve">Interpretar mensajes de error frecuentes y corregir el programa (analizar).</w:t>
      </w:r>
    </w:p>
    <w:p>
      <w:pPr>
        <w:pStyle w:val="Heading2"/>
      </w:pPr>
      <w:r>
        <w:t xml:space="preserve">Contenidos</w:t>
      </w:r>
    </w:p>
    <w:p>
      <w:pPr/>
      <w:r>
        <w:t xml:space="preserve">Tomados del eje Algoritmia y programación de software del programa oficial:</w:t>
      </w:r>
    </w:p>
    <w:p>
      <w:pPr>
        <w:pStyle w:val="ListParagraph"/>
        <w:numPr>
          <w:ilvl w:val="0"/>
          <w:numId w:val="3"/>
        </w:numPr>
      </w:pPr>
      <w:r>
        <w:t xml:space="preserve">Programación textual: sintaxis, variables y tipos de datos (</w:t>
      </w:r>
      <w:r>
        <w:rPr>
          <w:rStyle w:val="CodeChar"/>
        </w:rPr>
        <w:t xml:space="preserve">int</w:t>
      </w:r>
      <w:r>
        <w:t xml:space="preserve">, </w:t>
      </w:r>
      <w:r>
        <w:rPr>
          <w:rStyle w:val="CodeChar"/>
        </w:rPr>
        <w:t xml:space="preserve">float</w:t>
      </w:r>
      <w:r>
        <w:t xml:space="preserve">, </w:t>
      </w:r>
      <w:r>
        <w:rPr>
          <w:rStyle w:val="CodeChar"/>
        </w:rPr>
        <w:t xml:space="preserve">str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Lenguajes de alto y bajo nivel.</w:t>
      </w:r>
    </w:p>
    <w:p>
      <w:pPr>
        <w:pStyle w:val="ListParagraph"/>
        <w:numPr>
          <w:ilvl w:val="0"/>
          <w:numId w:val="3"/>
        </w:numPr>
      </w:pPr>
      <w:r>
        <w:t xml:space="preserve">Entrada y salida de datos: </w:t>
      </w:r>
      <w:r>
        <w:rPr>
          <w:rStyle w:val="CodeChar"/>
        </w:rPr>
        <w:t xml:space="preserve">input()</w:t>
      </w:r>
      <w:r>
        <w:t xml:space="preserve"> y </w:t>
      </w:r>
      <w:r>
        <w:rPr>
          <w:rStyle w:val="CodeChar"/>
        </w:rPr>
        <w:t xml:space="preserve">print()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Depuración: lectura de mensajes de error y corrección del código.</w:t>
      </w:r>
    </w:p>
    <w:p>
      <w:pPr>
        <w:pStyle w:val="Heading2"/>
      </w:pPr>
      <w:r>
        <w:t xml:space="preserve">Plan para el aprendizaje</w:t>
      </w:r>
    </w:p>
    <w:p>
      <w:pPr/>
      <w:r>
        <w:t xml:space="preserve">La clase va del pseudocódigo que el grupo ya conoce a su primer programa en Python, en cinco momentos que suman 80 minutos.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41"/>
        <w:gridCol w:w="1079"/>
        <w:gridCol w:w="5138"/>
      </w:tblGrid>
      <w:tr>
        <w:trPr>
          <w:tblHeader/>
        </w:trPr>
        <w:tc>
          <w:tcPr>
            <w:tcW w:w="3141" w:type="dxa"/>
            <w:shd w:val="clear" w:color="auto" w:fill="F2F2F2"/>
          </w:tcPr>
          <w:p>
            <w:pPr/>
            <w:r>
              <w:t xml:space="preserve">Momento</w:t>
            </w:r>
          </w:p>
        </w:tc>
        <w:tc>
          <w:tcPr>
            <w:tcW w:w="1079" w:type="dxa"/>
            <w:shd w:val="clear" w:color="auto" w:fill="F2F2F2"/>
          </w:tcPr>
          <w:p>
            <w:pPr/>
            <w:r>
              <w:t xml:space="preserve">Tiempo</w:t>
            </w:r>
          </w:p>
        </w:tc>
        <w:tc>
          <w:tcPr>
            <w:tcW w:w="5138" w:type="dxa"/>
            <w:shd w:val="clear" w:color="auto" w:fill="F2F2F2"/>
          </w:tcPr>
          <w:p>
            <w:pPr/>
            <w:r>
              <w:t xml:space="preserve">Actividad</w:t>
            </w:r>
          </w:p>
        </w:tc>
      </w:tr>
      <w:tr>
        <w:tc>
          <w:tcPr>
            <w:tcW w:w="3141" w:type="dxa"/>
          </w:tcPr>
          <w:p>
            <w:pPr/>
            <w:r>
              <w:t xml:space="preserve">Inicio: activación</w:t>
            </w:r>
          </w:p>
        </w:tc>
        <w:tc>
          <w:tcPr>
            <w:tcW w:w="1079" w:type="dxa"/>
          </w:tcPr>
          <w:p>
            <w:pPr/>
            <w:r>
              <w:t xml:space="preserve">10 min</w:t>
            </w:r>
          </w:p>
        </w:tc>
        <w:tc>
          <w:tcPr>
            <w:tcW w:w="5138" w:type="dxa"/>
          </w:tcPr>
          <w:p>
            <w:pPr/>
            <w:r>
              <w:t xml:space="preserve">Se muestra el pseudocódigo del área del rectángulo. Pregunta disparadora: «¿La computadora puede ejecutar esto tal cual?». Recuperan input, asignación y output, y se relaciona con los bloques de Code.org.</w:t>
            </w:r>
          </w:p>
        </w:tc>
      </w:tr>
      <w:tr>
        <w:tc>
          <w:tcPr>
            <w:tcW w:w="3141" w:type="dxa"/>
          </w:tcPr>
          <w:p>
            <w:pPr/>
            <w:r>
              <w:t xml:space="preserve">Inicio: niveles de lenguaje</w:t>
            </w:r>
          </w:p>
        </w:tc>
        <w:tc>
          <w:tcPr>
            <w:tcW w:w="1079" w:type="dxa"/>
          </w:tcPr>
          <w:p>
            <w:pPr/>
            <w:r>
              <w:t xml:space="preserve">10 min</w:t>
            </w:r>
          </w:p>
        </w:tc>
        <w:tc>
          <w:tcPr>
            <w:tcW w:w="5138" w:type="dxa"/>
          </w:tcPr>
          <w:p>
            <w:pPr/>
            <w:r>
              <w:t xml:space="preserve">Con la escalera del recurso recorren la misma suma en lenguaje humano, pseudocódigo, Python, ensamblador y código máquina. Concluyen qué es alto y bajo nivel.</w:t>
            </w:r>
          </w:p>
        </w:tc>
      </w:tr>
      <w:tr>
        <w:tc>
          <w:tcPr>
            <w:tcW w:w="3141" w:type="dxa"/>
          </w:tcPr>
          <w:p>
            <w:pPr/>
            <w:r>
              <w:t xml:space="preserve">Desarrollo: paso a paso</w:t>
            </w:r>
          </w:p>
        </w:tc>
        <w:tc>
          <w:tcPr>
            <w:tcW w:w="1079" w:type="dxa"/>
          </w:tcPr>
          <w:p>
            <w:pPr/>
            <w:r>
              <w:t xml:space="preserve">30 min</w:t>
            </w:r>
          </w:p>
        </w:tc>
        <w:tc>
          <w:tcPr>
            <w:tcW w:w="5138" w:type="dxa"/>
          </w:tcPr>
          <w:p>
            <w:pPr/>
            <w:r>
              <w:t xml:space="preserve">En parejas recorren seis pasos: </w:t>
            </w:r>
            <w:r>
              <w:rPr>
                <w:rStyle w:val="CodeChar"/>
              </w:rPr>
              <w:t xml:space="preserve">print()</w:t>
            </w:r>
            <w:r>
              <w:t xml:space="preserve">, variables, operaciones, </w:t>
            </w:r>
            <w:r>
              <w:rPr>
                <w:rStyle w:val="CodeChar"/>
              </w:rPr>
              <w:t xml:space="preserve">input()</w:t>
            </w:r>
            <w:r>
              <w:t xml:space="preserve">, conversión de tipos y programa completo del área. Cada paso empieza con una guía que muestra qué hace cada comando u operador y qué aparece en pantalla. Después ejecutan un ejemplo y resuelven una consigna corta que el recurso comprueba.</w:t>
            </w:r>
          </w:p>
        </w:tc>
      </w:tr>
      <w:tr>
        <w:tc>
          <w:tcPr>
            <w:tcW w:w="3141" w:type="dxa"/>
          </w:tcPr>
          <w:p>
            <w:pPr/>
            <w:r>
              <w:t xml:space="preserve">Desarrollo: desafíos</w:t>
            </w:r>
          </w:p>
        </w:tc>
        <w:tc>
          <w:tcPr>
            <w:tcW w:w="1079" w:type="dxa"/>
          </w:tcPr>
          <w:p>
            <w:pPr/>
            <w:r>
              <w:t xml:space="preserve">15 min</w:t>
            </w:r>
          </w:p>
        </w:tc>
        <w:tc>
          <w:tcPr>
            <w:tcW w:w="5138" w:type="dxa"/>
          </w:tcPr>
          <w:p>
            <w:pPr/>
            <w:r>
              <w:t xml:space="preserve">Con la guía de cada desafío, completan los espacios de dos programas (área del cuadrado y del triángulo). Quienes terminan escriben el perímetro del rectángulo. El docente recorre y retroalimenta.</w:t>
            </w:r>
          </w:p>
        </w:tc>
      </w:tr>
      <w:tr>
        <w:tc>
          <w:tcPr>
            <w:tcW w:w="3141" w:type="dxa"/>
          </w:tcPr>
          <w:p>
            <w:pPr/>
            <w:r>
              <w:t xml:space="preserve">Cierre</w:t>
            </w:r>
          </w:p>
        </w:tc>
        <w:tc>
          <w:tcPr>
            <w:tcW w:w="1079" w:type="dxa"/>
          </w:tcPr>
          <w:p>
            <w:pPr/>
            <w:r>
              <w:t xml:space="preserve">15 min</w:t>
            </w:r>
          </w:p>
        </w:tc>
        <w:tc>
          <w:tcPr>
            <w:tcW w:w="5138" w:type="dxa"/>
          </w:tcPr>
          <w:p>
            <w:pPr/>
            <w:r>
              <w:t xml:space="preserve">Un estudiante muestra su programa y explica cada línea. Cada pareja escribe su nombre en el recurso y guarda en PDF su código, la última ejecución y los ejercicios comprobados, para entregarlo.</w:t>
            </w:r>
          </w:p>
        </w:tc>
      </w:tr>
    </w:tbl>
    <w:p>
      <w:pPr>
        <w:pStyle w:val="Heading2"/>
      </w:pPr>
      <w:r>
        <w:t xml:space="preserve">Recursos</w:t>
      </w:r>
    </w:p>
    <w:p>
      <w:pPr/>
      <w:r>
        <w:t xml:space="preserve">El recurso central es una página web que acompaña los cinco momentos de la clase.</w:t>
      </w:r>
    </w:p>
    <w:p>
      <w:pPr>
        <w:pStyle w:val="ListParagraph"/>
        <w:numPr>
          <w:ilvl w:val="0"/>
          <w:numId w:val="4"/>
        </w:numPr>
      </w:pPr>
      <w:hyperlink r:id="rId3" w:history="1">
        <w:r>
          <w:rPr>
            <w:rStyle w:val="Hyperlink"/>
          </w:rPr>
          <w:t xml:space="preserve">Recurso HTML «Del pseudocódigo a Python»</w:t>
        </w:r>
      </w:hyperlink>
      <w:r>
        <w:t xml:space="preserve">: escalera de lenguajes, traducción línea por línea, seis pasos guiados, cada uno con su guía de comandos y editor de Python (Ejecutar y Comprobar), desafíos para completar, machete de la clase, guía de errores y registro del trabajo en PDF.</w:t>
      </w:r>
    </w:p>
    <w:p>
      <w:pPr>
        <w:pStyle w:val="ListParagraph"/>
        <w:numPr>
          <w:ilvl w:val="0"/>
          <w:numId w:val="4"/>
        </w:numPr>
      </w:pPr>
      <w:r>
        <w:t xml:space="preserve">Computadoras con conexión a internet, una por pareja.</w:t>
      </w:r>
    </w:p>
    <w:p>
      <w:pPr>
        <w:pStyle w:val="ListParagraph"/>
        <w:numPr>
          <w:ilvl w:val="0"/>
          <w:numId w:val="4"/>
        </w:numPr>
      </w:pPr>
      <w:r>
        <w:t xml:space="preserve">Alternativa si el editor no carga: </w:t>
      </w:r>
      <w:hyperlink r:id="rId4" w:history="1">
        <w:r>
          <w:rPr>
            <w:rStyle w:val="Hyperlink"/>
          </w:rPr>
          <w:t xml:space="preserve">compilador en línea de Programiz</w:t>
        </w:r>
      </w:hyperlink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Pizarrón para el pseudocódigo inicial y bitácora de taller.</w:t>
      </w:r>
    </w:p>
    <w:p>
      <w:pPr/>
      <w:r>
        <w:t xml:space="preserve">Antes de la clase hay que compartir el enlace del recurso con los estudiantes y probar el editor en una de las computadoras del aula.</w:t>
      </w:r>
    </w:p>
    <w:p>
      <w:pPr>
        <w:pStyle w:val="Heading2"/>
      </w:pPr>
      <w:r>
        <w:t xml:space="preserve">Evaluación</w:t>
      </w:r>
    </w:p>
    <w:p>
      <w:pPr/>
      <w:r>
        <w:t xml:space="preserve">Formativa, con una lista de cotejo de cuatro criterios que el docente completa mientras recorre las parejas. El PDF que guarda cada pareja queda como evidencia del trabajo.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204"/>
        <w:gridCol w:w="4155"/>
      </w:tblGrid>
      <w:tr>
        <w:trPr>
          <w:tblHeader/>
        </w:trPr>
        <w:tc>
          <w:tcPr>
            <w:tcW w:w="5204" w:type="dxa"/>
            <w:shd w:val="clear" w:color="auto" w:fill="F2F2F2"/>
          </w:tcPr>
          <w:p>
            <w:pPr/>
            <w:r>
              <w:t xml:space="preserve">Criterio</w:t>
            </w:r>
          </w:p>
        </w:tc>
        <w:tc>
          <w:tcPr>
            <w:tcW w:w="4155" w:type="dxa"/>
            <w:shd w:val="clear" w:color="auto" w:fill="F2F2F2"/>
          </w:tcPr>
          <w:p>
            <w:pPr/>
            <w:r>
              <w:t xml:space="preserve">Evidencia</w:t>
            </w:r>
          </w:p>
        </w:tc>
      </w:tr>
      <w:tr>
        <w:tc>
          <w:tcPr>
            <w:tcW w:w="5204" w:type="dxa"/>
          </w:tcPr>
          <w:p>
            <w:pPr/>
            <w:r>
              <w:t xml:space="preserve">Traduce a Python la entrada, la asignación y la salida del pseudocódigo</w:t>
            </w:r>
          </w:p>
        </w:tc>
        <w:tc>
          <w:tcPr>
            <w:tcW w:w="4155" w:type="dxa"/>
          </w:tcPr>
          <w:p>
            <w:pPr/>
            <w:r>
              <w:t xml:space="preserve">PDF del trabajo: paso 6 y desafíos</w:t>
            </w:r>
          </w:p>
        </w:tc>
      </w:tr>
      <w:tr>
        <w:tc>
          <w:tcPr>
            <w:tcW w:w="5204" w:type="dxa"/>
          </w:tcPr>
          <w:p>
            <w:pPr/>
            <w:r>
              <w:t xml:space="preserve">Convierte los datos de entrada con </w:t>
            </w:r>
            <w:r>
              <w:rPr>
                <w:rStyle w:val="CodeChar"/>
              </w:rPr>
              <w:t xml:space="preserve">int()</w:t>
            </w:r>
            <w:r>
              <w:t xml:space="preserve"> o </w:t>
            </w:r>
            <w:r>
              <w:rPr>
                <w:rStyle w:val="CodeChar"/>
              </w:rPr>
              <w:t xml:space="preserve">float()</w:t>
            </w:r>
          </w:p>
        </w:tc>
        <w:tc>
          <w:tcPr>
            <w:tcW w:w="4155" w:type="dxa"/>
          </w:tcPr>
          <w:p>
            <w:pPr/>
            <w:r>
              <w:t xml:space="preserve">PDF del trabajo: paso 5 y desafíos</w:t>
            </w:r>
          </w:p>
        </w:tc>
      </w:tr>
      <w:tr>
        <w:tc>
          <w:tcPr>
            <w:tcW w:w="5204" w:type="dxa"/>
          </w:tcPr>
          <w:p>
            <w:pPr/>
            <w:r>
              <w:t xml:space="preserve">Lee un mensaje de error e identifica qué corregir</w:t>
            </w:r>
          </w:p>
        </w:tc>
        <w:tc>
          <w:tcPr>
            <w:tcW w:w="4155" w:type="dxa"/>
          </w:tcPr>
          <w:p>
            <w:pPr/>
            <w:r>
              <w:t xml:space="preserve">Observación durante los desafíos</w:t>
            </w:r>
          </w:p>
        </w:tc>
      </w:tr>
      <w:tr>
        <w:tc>
          <w:tcPr>
            <w:tcW w:w="5204" w:type="dxa"/>
          </w:tcPr>
          <w:p>
            <w:pPr/>
            <w:r>
              <w:t xml:space="preserve">Explica con sus palabras la diferencia entre alto y bajo nivel</w:t>
            </w:r>
          </w:p>
        </w:tc>
        <w:tc>
          <w:tcPr>
            <w:tcW w:w="4155" w:type="dxa"/>
          </w:tcPr>
          <w:p>
            <w:pPr/>
            <w:r>
              <w:t xml:space="preserve">Puesta en común y bitácora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claude.ai/artifact/3yzcafJZbFgof3Qk1541Ri" TargetMode="External"/><Relationship Id="rId4" Type="http://schemas.openxmlformats.org/officeDocument/2006/relationships/hyperlink" Target="https://www.programiz.com/python-programming/online-compiler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Planificación Clase 1 · Del pseudocódigo a Python</dc:title>
  <dc:description>Claude Docs node/c6ed4040-5e22@13 docx-w7</dc:description>
  <cp:revision>13</cp:revision>
</cp:coreProperties>
</file>