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Bw Modelica" w:cs="Bw Modelica" w:eastAsia="Bw Modelica" w:hAnsi="Bw Modelica"/>
          <w:b/>
          <w:bCs/>
          <w:color w:val="1A3D84"/>
          <w:sz w:val="52"/>
          <w:szCs w:val="52"/>
        </w:rPr>
        <w:t xml:space="preserve">Criterio Medular</w:t>
      </w:r>
    </w:p>
    <w:p>
      <w:pPr>
        <w:pBdr>
          <w:bottom w:val="single" w:color="F7CC13" w:sz="24" w:space="4"/>
        </w:pBdr>
        <w:spacing w:after="240"/>
      </w:pPr>
      <w:r>
        <w:rPr>
          <w:rFonts w:ascii="Bw Modelica" w:cs="Bw Modelica" w:eastAsia="Bw Modelica" w:hAnsi="Bw Modelica"/>
          <w:b/>
          <w:bCs/>
          <w:color w:val="E1061E"/>
          <w:sz w:val="20"/>
          <w:szCs w:val="20"/>
        </w:rPr>
        <w:t xml:space="preserve">Documento Rector</w:t>
      </w:r>
    </w:p>
    <w:p>
      <w:pPr>
        <w:spacing w:after="300"/>
      </w:pPr>
      <w:r>
        <w:rPr>
          <w:rFonts w:ascii="Bw Modelica" w:cs="Bw Modelica" w:eastAsia="Bw Modelica" w:hAnsi="Bw Modelica"/>
          <w:i/>
          <w:iCs/>
          <w:color w:val="6B6B6B"/>
          <w:sz w:val="24"/>
          <w:szCs w:val="24"/>
        </w:rPr>
        <w:t xml:space="preserve">Constitución de comunicación y estrategia</w:t>
      </w:r>
    </w:p>
    <w:p>
      <w:pPr>
        <w:spacing w:after="200" w:line="300"/>
      </w:pPr>
      <w:r>
        <w:rPr>
          <w:rFonts w:ascii="Bw Modelica" w:cs="Bw Modelica" w:eastAsia="Bw Modelica" w:hAnsi="Bw Modelica"/>
          <w:color w:val="2B2B2B"/>
          <w:sz w:val="22"/>
          <w:szCs w:val="22"/>
        </w:rPr>
        <w:t xml:space="preserve">Este documento es el rector. Toda pieza de comunicación —landing, redes, presentaciones, primera conversación comercial— se calibra contra esto antes que contra cualquier documento individual. Cuando dos documentos se pisan, este decide. Vivo y versionado: se actualiza cuando cambia el negocio, no por estética.</w:t>
      </w:r>
    </w:p>
    <w:p>
      <w:pPr>
        <w:pBdr>
          <w:bottom w:val="single" w:color="F7CC13" w:sz="8" w:space="1"/>
        </w:pBdr>
        <w:spacing w:after="240"/>
      </w:pPr>
    </w:p>
    <w:p>
      <w:pPr>
        <w:pBdr>
          <w:bottom w:val="single" w:color="F7CC13" w:sz="6" w:space="2"/>
        </w:pBdr>
        <w:spacing w:after="160" w:before="320"/>
      </w:pPr>
      <w:r>
        <w:rPr>
          <w:rFonts w:ascii="Bw Modelica" w:cs="Bw Modelica" w:eastAsia="Bw Modelica" w:hAnsi="Bw Modelica"/>
          <w:b/>
          <w:bCs/>
          <w:color w:val="1A3D84"/>
          <w:sz w:val="28"/>
          <w:szCs w:val="28"/>
        </w:rPr>
        <w:t xml:space="preserve">Identidad visual</w:t>
      </w:r>
    </w:p>
    <w:p>
      <w:pPr>
        <w:spacing w:after="200" w:line="300"/>
      </w:pPr>
      <w:r>
        <w:rPr>
          <w:rFonts w:ascii="Bw Modelica" w:cs="Bw Modelica" w:eastAsia="Bw Modelica" w:hAnsi="Bw Modelica"/>
          <w:color w:val="2B2B2B"/>
          <w:sz w:val="22"/>
          <w:szCs w:val="22"/>
        </w:rPr>
        <w:t xml:space="preserve">Logo: isotipo "M" (trazo a mano con flecha) + wordmark "Mejora Continua". Lockup horizontal (isotipo a la izquierda, texto a la derecha) para headers y barras de navegación. Lockup vertical (isotipo arriba, texto centrado abajo) para redes y formatos cuadrados. Variantes disponibles: color, blanco (para fondos oscuros/fotos), y versión con y sin el texto "Mejora Continua" en ambos casos.</w:t>
      </w:r>
    </w:p>
    <w:p>
      <w:pPr>
        <w:spacing w:after="200" w:line="300"/>
      </w:pPr>
      <w:r>
        <w:rPr>
          <w:rFonts w:ascii="Bw Modelica" w:cs="Bw Modelica" w:eastAsia="Bw Modelica" w:hAnsi="Bw Modelica"/>
          <w:color w:val="2B2B2B"/>
          <w:sz w:val="22"/>
          <w:szCs w:val="22"/>
        </w:rPr>
        <w:t xml:space="preserve">Colores de marca, extraídos del logo real: azul #1A3D84, rojo #E1061E, amarillo #F7CC13. Uso como acento, no como fondo dominante — el logo mismo los usa en trazos finos sobre blanco, no en bloques grandes.</w:t>
      </w:r>
    </w:p>
    <w:p>
      <w:pPr>
        <w:spacing w:after="200" w:line="300"/>
      </w:pPr>
      <w:r>
        <w:rPr>
          <w:rFonts w:ascii="Bw Modelica" w:cs="Bw Modelica" w:eastAsia="Bw Modelica" w:hAnsi="Bw Modelica"/>
          <w:color w:val="2B2B2B"/>
          <w:sz w:val="22"/>
          <w:szCs w:val="22"/>
        </w:rPr>
        <w:t xml:space="preserve">Tipografía, confirmada contra el manual de marca original (agencia Dominó): Bw Modelica Medium para el wordmark y para títulos/headings. Bw Modelica Regular para texto de apoyo y cuerpo. League Spartan es la tipografía secundaria de la marca — headings de apoyo y uso digital general, sin restringirse a lockups de submarca.</w:t>
      </w:r>
    </w:p>
    <w:p>
      <w:pPr>
        <w:spacing w:after="200" w:line="300"/>
      </w:pPr>
      <w:r>
        <w:rPr>
          <w:rFonts w:ascii="Bw Modelica" w:cs="Bw Modelica" w:eastAsia="Bw Modelica" w:hAnsi="Bw Modelica"/>
          <w:color w:val="2B2B2B"/>
          <w:sz w:val="22"/>
          <w:szCs w:val="22"/>
        </w:rPr>
        <w:t xml:space="preserve">Submarcas descontinuadas: Mejora Continua Web TV, Fuckup Nights Posadas y Buenas Historias no están activas — no forman parte de este manual. After Office queda como posible retoma futura, fuera de foco por ahora. El manual documenta exclusivamente la línea de consultoría estratégica vigente hoy.</w:t>
      </w:r>
    </w:p>
    <w:p>
      <w:pPr>
        <w:spacing w:after="200" w:line="300"/>
      </w:pPr>
      <w:r>
        <w:rPr>
          <w:rFonts w:ascii="Bw Modelica" w:cs="Bw Modelica" w:eastAsia="Bw Modelica" w:hAnsi="Bw Modelica"/>
          <w:color w:val="2B2B2B"/>
          <w:sz w:val="22"/>
          <w:szCs w:val="22"/>
        </w:rPr>
        <w:t xml:space="preserve">Alcance confirmado: el manual cubre piezas digitales y físicas (papelería, cartelería de oficina, material de capacitaciones presenciales).</w:t>
      </w:r>
    </w:p>
    <w:p>
      <w:pPr>
        <w:pBdr>
          <w:bottom w:val="single" w:color="F7CC13" w:sz="6" w:space="2"/>
        </w:pBdr>
        <w:spacing w:after="160" w:before="320"/>
      </w:pPr>
      <w:r>
        <w:rPr>
          <w:rFonts w:ascii="Bw Modelica" w:cs="Bw Modelica" w:eastAsia="Bw Modelica" w:hAnsi="Bw Modelica"/>
          <w:b/>
          <w:bCs/>
          <w:color w:val="1A3D84"/>
          <w:sz w:val="28"/>
          <w:szCs w:val="28"/>
        </w:rPr>
        <w:t xml:space="preserve">Mapa del manual</w:t>
      </w:r>
    </w:p>
    <w:p>
      <w:pPr>
        <w:spacing w:after="200" w:line="300"/>
      </w:pPr>
      <w:r>
        <w:rPr>
          <w:rFonts w:ascii="Bw Modelica" w:cs="Bw Modelica" w:eastAsia="Bw Modelica" w:hAnsi="Bw Modelica"/>
          <w:color w:val="2B2B2B"/>
          <w:sz w:val="22"/>
          <w:szCs w:val="22"/>
        </w:rPr>
        <w:t xml:space="preserve">01_ESTRUCTURAL — un archivo por dominio, con las decisiones ya incorporadas como texto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shd w:fill="1A3D84" w:val="clear"/>
            <w:tcMar>
              <w:top w:type="dxa" w:w="100"/>
              <w:left w:type="dxa" w:w="120"/>
              <w:bottom w:type="dxa" w:w="100"/>
              <w:right w:type="dxa" w:w="120"/>
            </w:tcMar>
          </w:tcPr>
          <w:p>
            <w:r>
              <w:rPr>
                <w:rFonts w:ascii="Bw Modelica" w:cs="Bw Modelica" w:eastAsia="Bw Modelica" w:hAnsi="Bw Modelica"/>
                <w:b/>
                <w:bCs/>
                <w:color w:val="FFFFFF"/>
                <w:sz w:val="20"/>
                <w:szCs w:val="20"/>
              </w:rPr>
              <w:t xml:space="preserve">Archivo</w:t>
            </w:r>
          </w:p>
        </w:tc>
        <w:tc>
          <w:tcPr>
            <w:tcW w:type="dxa" w:w="3008"/>
            <w:shd w:fill="1A3D84" w:val="clear"/>
            <w:tcMar>
              <w:top w:type="dxa" w:w="100"/>
              <w:left w:type="dxa" w:w="120"/>
              <w:bottom w:type="dxa" w:w="100"/>
              <w:right w:type="dxa" w:w="120"/>
            </w:tcMar>
          </w:tcPr>
          <w:p>
            <w:r>
              <w:rPr>
                <w:rFonts w:ascii="Bw Modelica" w:cs="Bw Modelica" w:eastAsia="Bw Modelica" w:hAnsi="Bw Modelica"/>
                <w:b/>
                <w:bCs/>
                <w:color w:val="FFFFFF"/>
                <w:sz w:val="20"/>
                <w:szCs w:val="20"/>
              </w:rPr>
              <w:t xml:space="preserve">Resuelve</w:t>
            </w:r>
          </w:p>
        </w:tc>
        <w:tc>
          <w:tcPr>
            <w:tcW w:type="dxa" w:w="3008"/>
            <w:shd w:fill="1A3D84" w:val="clear"/>
            <w:tcMar>
              <w:top w:type="dxa" w:w="100"/>
              <w:left w:type="dxa" w:w="120"/>
              <w:bottom w:type="dxa" w:w="100"/>
              <w:right w:type="dxa" w:w="120"/>
            </w:tcMar>
          </w:tcPr>
          <w:p>
            <w:r>
              <w:rPr>
                <w:rFonts w:ascii="Bw Modelica" w:cs="Bw Modelica" w:eastAsia="Bw Modelica" w:hAnsi="Bw Modelica"/>
                <w:b/>
                <w:bCs/>
                <w:color w:val="FFFFFF"/>
                <w:sz w:val="20"/>
                <w:szCs w:val="20"/>
              </w:rPr>
              <w:t xml:space="preserve">Estado</w:t>
            </w:r>
          </w:p>
        </w:tc>
      </w:tr>
      <w:tr>
        <w:tc>
          <w:tcPr>
            <w:tcW w:type="dxa" w:w="3008"/>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tono_y_voz.md</w:t>
            </w:r>
          </w:p>
        </w:tc>
        <w:tc>
          <w:tcPr>
            <w:tcW w:type="dxa" w:w="3008"/>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Cómo habla la marca, escala de intensidad, qué no hace</w:t>
            </w:r>
          </w:p>
        </w:tc>
        <w:tc>
          <w:tcPr>
            <w:tcW w:type="dxa" w:w="3008"/>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Vigente</w:t>
            </w:r>
          </w:p>
        </w:tc>
      </w:tr>
      <w:tr>
        <w:tc>
          <w:tcPr>
            <w:tcW w:type="dxa" w:w="3008"/>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manifiesto.md</w:t>
            </w:r>
          </w:p>
        </w:tc>
        <w:tc>
          <w:tcPr>
            <w:tcW w:type="dxa" w:w="3008"/>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Por qué existe Mejora Continua</w:t>
            </w:r>
          </w:p>
        </w:tc>
        <w:tc>
          <w:tcPr>
            <w:tcW w:type="dxa" w:w="3008"/>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Vigente</w:t>
            </w:r>
          </w:p>
        </w:tc>
      </w:tr>
      <w:tr>
        <w:tc>
          <w:tcPr>
            <w:tcW w:type="dxa" w:w="3008"/>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segmentacion_y_publico.md</w:t>
            </w:r>
          </w:p>
        </w:tc>
        <w:tc>
          <w:tcPr>
            <w:tcW w:type="dxa" w:w="3008"/>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Mercado, segmento, público objetivo, los 8 perfiles</w:t>
            </w:r>
          </w:p>
        </w:tc>
        <w:tc>
          <w:tcPr>
            <w:tcW w:type="dxa" w:w="3008"/>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Vigente</w:t>
            </w:r>
          </w:p>
        </w:tc>
      </w:tr>
      <w:tr>
        <w:tc>
          <w:tcPr>
            <w:tcW w:type="dxa" w:w="3008"/>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servicios_y_areas_de_impacto.md</w:t>
            </w:r>
          </w:p>
        </w:tc>
        <w:tc>
          <w:tcPr>
            <w:tcW w:type="dxa" w:w="3008"/>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Las 4 dimensiones + Profesionalización</w:t>
            </w:r>
          </w:p>
        </w:tc>
        <w:tc>
          <w:tcPr>
            <w:tcW w:type="dxa" w:w="3008"/>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Vigente</w:t>
            </w:r>
          </w:p>
        </w:tc>
      </w:tr>
      <w:tr>
        <w:tc>
          <w:tcPr>
            <w:tcW w:type="dxa" w:w="3008"/>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arquitectura_de_contenido.md</w:t>
            </w:r>
          </w:p>
        </w:tc>
        <w:tc>
          <w:tcPr>
            <w:tcW w:type="dxa" w:w="3008"/>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Cómo se ordena una landing (AIDA)</w:t>
            </w:r>
          </w:p>
        </w:tc>
        <w:tc>
          <w:tcPr>
            <w:tcW w:type="dxa" w:w="3008"/>
            <w:shd w:fill="EAF0F8" w:val="clear"/>
            <w:tcMar>
              <w:top w:type="dxa" w:w="100"/>
              <w:left w:type="dxa" w:w="120"/>
              <w:bottom w:type="dxa" w:w="100"/>
              <w:right w:type="dxa" w:w="120"/>
            </w:tcMar>
          </w:tcPr>
          <w:p>
            <w:r>
              <w:rPr>
                <w:rFonts w:ascii="Bw Modelica" w:cs="Bw Modelica" w:eastAsia="Bw Modelica" w:hAnsi="Bw Modelica"/>
                <w:color w:val="2B2B2B"/>
                <w:sz w:val="22"/>
                <w:szCs w:val="22"/>
              </w:rPr>
              <w:t xml:space="preserve">Vigente</w:t>
            </w:r>
          </w:p>
        </w:tc>
      </w:tr>
      <w:tr>
        <w:tc>
          <w:tcPr>
            <w:tcW w:type="dxa" w:w="3008"/>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modalidades_de_acompanamiento.md</w:t>
            </w:r>
          </w:p>
        </w:tc>
        <w:tc>
          <w:tcPr>
            <w:tcW w:type="dxa" w:w="3008"/>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Los 3 niveles de servicio, base de la escala de tono</w:t>
            </w:r>
          </w:p>
        </w:tc>
        <w:tc>
          <w:tcPr>
            <w:tcW w:type="dxa" w:w="3008"/>
            <w:shd w:fill="FFFFFF" w:val="clear"/>
            <w:tcMar>
              <w:top w:type="dxa" w:w="100"/>
              <w:left w:type="dxa" w:w="120"/>
              <w:bottom w:type="dxa" w:w="100"/>
              <w:right w:type="dxa" w:w="120"/>
            </w:tcMar>
          </w:tcPr>
          <w:p>
            <w:r>
              <w:rPr>
                <w:rFonts w:ascii="Bw Modelica" w:cs="Bw Modelica" w:eastAsia="Bw Modelica" w:hAnsi="Bw Modelica"/>
                <w:color w:val="2B2B2B"/>
                <w:sz w:val="22"/>
                <w:szCs w:val="22"/>
              </w:rPr>
              <w:t xml:space="preserve">Vigente</w:t>
            </w:r>
          </w:p>
        </w:tc>
      </w:tr>
    </w:tbl>
    <w:p>
      <w:pPr>
        <w:spacing w:after="240"/>
      </w:pPr>
    </w:p>
    <w:p>
      <w:pPr>
        <w:spacing w:after="200" w:line="300"/>
      </w:pPr>
      <w:r>
        <w:rPr>
          <w:rFonts w:ascii="Bw Modelica" w:cs="Bw Modelica" w:eastAsia="Bw Modelica" w:hAnsi="Bw Modelica"/>
          <w:color w:val="2B2B2B"/>
          <w:sz w:val="22"/>
          <w:szCs w:val="22"/>
        </w:rPr>
        <w:t xml:space="preserve">02_PARTICULAR — detalle operativo, no se toca salvo error puntual: 8 buyer personas y perfiles comerciales.</w:t>
      </w:r>
    </w:p>
    <w:p>
      <w:pPr>
        <w:spacing w:after="200" w:line="300"/>
      </w:pPr>
      <w:r>
        <w:rPr>
          <w:rFonts w:ascii="Bw Modelica" w:cs="Bw Modelica" w:eastAsia="Bw Modelica" w:hAnsi="Bw Modelica"/>
          <w:color w:val="2B2B2B"/>
          <w:sz w:val="22"/>
          <w:szCs w:val="22"/>
        </w:rPr>
        <w:t xml:space="preserve">Deprecado, fuera de vigencia: Manifiesto de Claridad v2 (se rescatan dos frases reformuladas, ver manifiesto.md). Brochure-v1 y Brochure marzo 2025 (se rescata el headline "No estás perdido, estás desordenado" y el bloque "Qué hacemos"; las 7 áreas de impacto y los testimonios con placeholders no se usan).</w:t>
      </w:r>
    </w:p>
    <w:p>
      <w:pPr>
        <w:pBdr>
          <w:bottom w:val="single" w:color="F7CC13" w:sz="8" w:space="1"/>
        </w:pBdr>
        <w:spacing w:after="240"/>
      </w:pPr>
    </w:p>
    <w:p>
      <w:pPr>
        <w:pBdr>
          <w:bottom w:val="single" w:color="F7CC13" w:sz="6" w:space="2"/>
        </w:pBdr>
        <w:spacing w:after="160" w:before="320"/>
      </w:pPr>
      <w:r>
        <w:rPr>
          <w:rFonts w:ascii="Bw Modelica" w:cs="Bw Modelica" w:eastAsia="Bw Modelica" w:hAnsi="Bw Modelica"/>
          <w:b/>
          <w:bCs/>
          <w:color w:val="1A3D84"/>
          <w:sz w:val="28"/>
          <w:szCs w:val="28"/>
        </w:rPr>
        <w:t xml:space="preserve">Principios irreductibles</w:t>
      </w:r>
    </w:p>
    <w:p>
      <w:pPr>
        <w:spacing w:after="200" w:line="300"/>
      </w:pPr>
      <w:r>
        <w:rPr>
          <w:rFonts w:ascii="Bw Modelica" w:cs="Bw Modelica" w:eastAsia="Bw Modelica" w:hAnsi="Bw Modelica"/>
          <w:color w:val="2B2B2B"/>
          <w:sz w:val="22"/>
          <w:szCs w:val="22"/>
        </w:rPr>
        <w:t xml:space="preserve">Confrontás la situación, nunca a la persona. El sujeto del problema siempre es lo que falta —foco, estructura, criterio externo— nunca la capacidad o inteligencia del interlocutor.</w:t>
      </w:r>
    </w:p>
    <w:p>
      <w:pPr>
        <w:spacing w:after="200" w:line="300"/>
      </w:pPr>
      <w:r>
        <w:rPr>
          <w:rFonts w:ascii="Bw Modelica" w:cs="Bw Modelica" w:eastAsia="Bw Modelica" w:hAnsi="Bw Modelica"/>
          <w:color w:val="2B2B2B"/>
          <w:sz w:val="22"/>
          <w:szCs w:val="22"/>
        </w:rPr>
        <w:t xml:space="preserve">La calidez no es consuelo. Es el cuidado genuino detrás de decir la verdad sin maquillaje.</w:t>
      </w:r>
    </w:p>
    <w:p>
      <w:pPr>
        <w:spacing w:after="200" w:line="300"/>
      </w:pPr>
      <w:r>
        <w:rPr>
          <w:rFonts w:ascii="Bw Modelica" w:cs="Bw Modelica" w:eastAsia="Bw Modelica" w:hAnsi="Bw Modelica"/>
          <w:color w:val="2B2B2B"/>
          <w:sz w:val="22"/>
          <w:szCs w:val="22"/>
        </w:rPr>
        <w:t xml:space="preserve">La intensidad del tono escala en tres niveles, los mismos de Modalidades de Acompañamiento: Sesión de Claridad (directo), Acompañamiento Activo (cortante), Proceso de Transformación (crudo). No varía por canal — varía por nivel de compromiso de quien escucha. Landing y todo primer contacto operan en Sesión de Claridad.</w:t>
      </w:r>
    </w:p>
    <w:p>
      <w:pPr>
        <w:spacing w:after="200" w:line="300"/>
      </w:pPr>
      <w:r>
        <w:rPr>
          <w:rFonts w:ascii="Bw Modelica" w:cs="Bw Modelica" w:eastAsia="Bw Modelica" w:hAnsi="Bw Modelica"/>
          <w:color w:val="2B2B2B"/>
          <w:sz w:val="22"/>
          <w:szCs w:val="22"/>
        </w:rPr>
        <w:t xml:space="preserve">No se vende por precio. "Sin costo" es dato funcional en letra chica, nunca gancho emocional en hero o CTA principal.</w:t>
      </w:r>
    </w:p>
    <w:p>
      <w:pPr>
        <w:spacing w:after="200" w:line="300"/>
      </w:pPr>
      <w:r>
        <w:rPr>
          <w:rFonts w:ascii="Bw Modelica" w:cs="Bw Modelica" w:eastAsia="Bw Modelica" w:hAnsi="Bw Modelica"/>
          <w:color w:val="2B2B2B"/>
          <w:sz w:val="22"/>
          <w:szCs w:val="22"/>
        </w:rPr>
        <w:t xml:space="preserve">Las 4 dimensiones (Personal, Organizacional, Comercial, Empresarial) + Profesionalización como nivel integrador es el marco único de servicios. No compite con ningún otro esquema.</w:t>
      </w:r>
    </w:p>
    <w:p>
      <w:pPr>
        <w:spacing w:after="200" w:line="300"/>
      </w:pPr>
      <w:r>
        <w:rPr>
          <w:rFonts w:ascii="Bw Modelica" w:cs="Bw Modelica" w:eastAsia="Bw Modelica" w:hAnsi="Bw Modelica"/>
          <w:color w:val="2B2B2B"/>
          <w:sz w:val="22"/>
          <w:szCs w:val="22"/>
        </w:rPr>
        <w:t xml:space="preserve">La landing sigue AIDA, no Conviction Copy. Conviction Copy y el diagnóstico situacional pesado son para conversación ya iniciada o redes de largo aliento — no para el primer scroll de un desconocido.</w:t>
      </w:r>
    </w:p>
    <w:sectPr>
      <w:headerReference w:type="default" r:id="rId7"/>
      <w:footerReference w:type="default" r:id="rId8"/>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w Modelica" w:cs="Bw Modelica" w:eastAsia="Bw Modelica" w:hAnsi="Bw Modelica"/>
        <w:color w:val="6B6B6B"/>
        <w:sz w:val="16"/>
        <w:szCs w:val="16"/>
      </w:rPr>
      <w:t xml:space="preserve">Mejora Continua  ·  Criterio Medular  ·  Página </w:t>
    </w:r>
    <w:r>
      <w:rPr>
        <w:rFonts w:ascii="Bw Modelica" w:cs="Bw Modelica" w:eastAsia="Bw Modelica" w:hAnsi="Bw Modelica"/>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CC13" w:sz="6" w:space="4"/>
      </w:pBdr>
      <w:tabs>
        <w:tab w:val="right" w:pos="9026"/>
      </w:tabs>
    </w:pPr>
    <w:r>
      <w:rPr>
        <w:rFonts w:ascii="Bw Modelica" w:cs="Bw Modelica" w:eastAsia="Bw Modelica" w:hAnsi="Bw Modelica"/>
        <w:b/>
        <w:bCs/>
        <w:color w:val="1A3D84"/>
        <w:sz w:val="16"/>
        <w:szCs w:val="16"/>
      </w:rPr>
      <w:t xml:space="preserve">MEJORA CONTINUA</w:t>
    </w:r>
    <w:r>
      <w:rPr>
        <w:rFonts w:ascii="Bw Modelica" w:cs="Bw Modelica" w:eastAsia="Bw Modelica" w:hAnsi="Bw Modelica"/>
        <w:color w:val="6B6B6B"/>
        <w:sz w:val="16"/>
        <w:szCs w:val="16"/>
      </w:rPr>
      <w:t xml:space="preserve">	Documento Rector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w Modelica" w:cs="Bw Modelica" w:eastAsia="Bw Modelica" w:hAnsi="Bw Model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2026-07-10T00:10:08.567Z</dcterms:created>
  <dcterms:modified xsi:type="dcterms:W3CDTF">2026-07-10T00:10:08.567Z</dcterms:modified>
</cp:coreProperties>
</file>

<file path=docProps/custom.xml><?xml version="1.0" encoding="utf-8"?>
<Properties xmlns="http://schemas.openxmlformats.org/officeDocument/2006/custom-properties" xmlns:vt="http://schemas.openxmlformats.org/officeDocument/2006/docPropsVTypes"/>
</file>