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60"/>
        <w:jc w:val="center"/>
      </w:pPr>
      <w:r>
        <w:rPr>
          <w:rFonts w:ascii="Arial" w:cs="Arial" w:eastAsia="Arial" w:hAnsi="Arial"/>
          <w:b/>
          <w:bCs/>
          <w:color w:val="1B3A5C"/>
          <w:sz w:val="52"/>
          <w:szCs w:val="52"/>
        </w:rPr>
        <w:t xml:space="preserve">MEJORA CONTINUA</w:t>
      </w:r>
    </w:p>
    <w:p>
      <w:pPr>
        <w:spacing w:before="0" w:after="40"/>
        <w:jc w:val="center"/>
      </w:pPr>
      <w:r>
        <w:rPr>
          <w:rFonts w:ascii="Arial" w:cs="Arial" w:eastAsia="Arial" w:hAnsi="Arial"/>
          <w:color w:val="555555"/>
          <w:sz w:val="32"/>
          <w:szCs w:val="32"/>
        </w:rPr>
        <w:t xml:space="preserve">Ecosistema Estratégico</w:t>
      </w:r>
    </w:p>
    <w:p>
      <w:pPr>
        <w:pBdr>
          <w:bottom w:val="single" w:color="C0392B" w:sz="6" w:space="8"/>
        </w:pBdr>
        <w:spacing w:before="0" w:after="120"/>
        <w:jc w:val="center"/>
      </w:pPr>
      <w:r>
        <w:t xml:space="preserve"/>
      </w:r>
    </w:p>
    <w:p>
      <w:pPr>
        <w:spacing w:before="60" w:after="0"/>
      </w:pPr>
      <w:r>
        <w:t xml:space="preserve"/>
      </w:r>
    </w:p>
    <w:p>
      <w:pPr>
        <w:spacing w:before="0" w:after="20"/>
        <w:jc w:val="center"/>
      </w:pPr>
      <w:r>
        <w:rPr>
          <w:rFonts w:ascii="Arial" w:cs="Arial" w:eastAsia="Arial" w:hAnsi="Arial"/>
          <w:b/>
          <w:bCs/>
          <w:color w:val="C0392B"/>
          <w:sz w:val="30"/>
          <w:szCs w:val="30"/>
        </w:rPr>
        <w:t xml:space="preserve">INFORME DE DIAGNÓSTICO ESTRATÉGICO</w:t>
      </w:r>
    </w:p>
    <w:p>
      <w:pPr>
        <w:spacing w:before="0" w:after="20"/>
        <w:jc w:val="center"/>
      </w:pPr>
      <w:r>
        <w:rPr>
          <w:rFonts w:ascii="Arial" w:cs="Arial" w:eastAsia="Arial" w:hAnsi="Arial"/>
          <w:color w:val="555555"/>
          <w:sz w:val="24"/>
          <w:szCs w:val="24"/>
        </w:rPr>
        <w:t xml:space="preserve">Bloque 2: Producto Mínimo Vendible, Precio y Contradicción Central</w:t>
      </w:r>
    </w:p>
    <w:p>
      <w:pPr>
        <w:spacing w:before="0" w:after="480"/>
        <w:jc w:val="center"/>
      </w:pPr>
      <w:r>
        <w:rPr>
          <w:rFonts w:ascii="Arial" w:cs="Arial" w:eastAsia="Arial" w:hAnsi="Arial"/>
          <w:color w:val="888888"/>
          <w:sz w:val="22"/>
          <w:szCs w:val="22"/>
        </w:rPr>
        <w:t xml:space="preserve">Sesión: 27 de marzo de 2026</w:t>
      </w:r>
    </w:p>
    <w:p>
      <w:pPr>
        <w:pStyle w:val="Heading1"/>
        <w:pBdr>
          <w:bottom w:val="single" w:color="1B3A5C" w:sz="4" w:space="6"/>
        </w:pBdr>
        <w:spacing w:before="360" w:after="120"/>
      </w:pPr>
      <w:r>
        <w:rPr>
          <w:rFonts w:ascii="Arial" w:cs="Arial" w:eastAsia="Arial" w:hAnsi="Arial"/>
          <w:b/>
          <w:bCs/>
          <w:color w:val="1B3A5C"/>
          <w:sz w:val="36"/>
          <w:szCs w:val="36"/>
        </w:rPr>
        <w:t xml:space="preserve">1. Resumen del Bloque 2</w:t>
      </w:r>
    </w:p>
    <w:p>
      <w:pPr>
        <w:spacing w:before="60" w:after="80"/>
      </w:pPr>
      <w:r>
        <w:rPr>
          <w:rFonts w:ascii="Arial" w:cs="Arial" w:eastAsia="Arial" w:hAnsi="Arial"/>
          <w:color w:val="1C1C1C"/>
          <w:sz w:val="22"/>
          <w:szCs w:val="22"/>
        </w:rPr>
        <w:t xml:space="preserve">Este bloque exploró el Producto Mínimo Vendible (PMV): qué formato tendría, a qué precio, para qué mercado y con qué nivel de definición actual. Las respuestas revelan una contradicción estructural entre el posicionamiento declarado del ecosistema y las decisiones comerciales concretas que se están tomando.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2"/>
              <w:bottom w:val="single" w:color="C0392B" w:sz="1"/>
              <w:right w:val="single" w:color="C0392B" w:sz="1"/>
            </w:tcBorders>
            <w:shd w:fill="FEF0F0" w:val="clear"/>
            <w:tcMar>
              <w:top w:type="dxa" w:w="120"/>
              <w:left w:type="dxa" w:w="200"/>
              <w:bottom w:type="dxa" w:w="120"/>
              <w:right w:type="dxa" w:w="200"/>
            </w:tcMar>
          </w:tcPr>
          <w:p>
            <w:pPr>
              <w:spacing w:before="0" w:after="40"/>
            </w:pPr>
            <w:r>
              <w:rPr>
                <w:rFonts w:ascii="Arial" w:cs="Arial" w:eastAsia="Arial" w:hAnsi="Arial"/>
                <w:b/>
                <w:bCs/>
                <w:color w:val="C0392B"/>
                <w:sz w:val="22"/>
                <w:szCs w:val="22"/>
              </w:rPr>
              <w:t xml:space="preserve">⚠️  CONTRADICCIÓN CENTRAL</w:t>
            </w:r>
          </w:p>
          <w:p>
            <w:pPr>
              <w:spacing w:before="0" w:after="0"/>
            </w:pPr>
            <w:r>
              <w:rPr>
                <w:rFonts w:ascii="Arial" w:cs="Arial" w:eastAsia="Arial" w:hAnsi="Arial"/>
                <w:color w:val="1C1C1C"/>
                <w:sz w:val="22"/>
                <w:szCs w:val="22"/>
              </w:rPr>
              <w:t xml:space="preserve">El ecosistema se posiciona como 'Criterio Externo Aplicado' para líderes de primer nivel dispuestos a pagar por claridad. El primer producto planificado es un evento presencial de menos de $50 USD por persona. Estos dos mundos no coexisten sin daño a la marca.</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2. Snapshot del Producto Mínimo Vendible</w:t>
      </w:r>
    </w:p>
    <w:p>
      <w:pPr>
        <w:spacing w:before="60" w:after="80"/>
      </w:pPr>
      <w:r>
        <w:rPr>
          <w:rFonts w:ascii="Arial" w:cs="Arial" w:eastAsia="Arial" w:hAnsi="Arial"/>
          <w:color w:val="1C1C1C"/>
          <w:sz w:val="22"/>
          <w:szCs w:val="22"/>
        </w:rPr>
        <w:t xml:space="preserve">Estos son los parámetros del primer producto según las respuestas del fundador: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20"/>
            </w:tcMar>
          </w:tcPr>
          <w:p>
            <w:r>
              <w:rPr>
                <w:rFonts w:ascii="Arial" w:cs="Arial" w:eastAsia="Arial" w:hAnsi="Arial"/>
                <w:b/>
                <w:bCs/>
                <w:color w:val="FFFFFF"/>
                <w:sz w:val="22"/>
                <w:szCs w:val="22"/>
              </w:rPr>
              <w:t xml:space="preserve">Variable</w:t>
            </w:r>
          </w:p>
        </w:tc>
        <w:tc>
          <w:tcPr>
            <w:tcW w:type="dxa" w:w="636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20"/>
            </w:tcMar>
          </w:tcPr>
          <w:p>
            <w:r>
              <w:rPr>
                <w:rFonts w:ascii="Arial" w:cs="Arial" w:eastAsia="Arial" w:hAnsi="Arial"/>
                <w:b/>
                <w:bCs/>
                <w:color w:val="FFFFFF"/>
                <w:sz w:val="22"/>
                <w:szCs w:val="22"/>
              </w:rPr>
              <w:t xml:space="preserve">Estado actual</w:t>
            </w:r>
          </w:p>
        </w:tc>
      </w:tr>
      <w:tr>
        <w:tc>
          <w:tcPr>
            <w:tcW w:type="dxa" w:w="30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Formato elegido</w:t>
            </w:r>
          </w:p>
        </w:tc>
        <w:tc>
          <w:tcPr>
            <w:tcW w:type="dxa" w:w="63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Retiro / evento presencial</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Modalidad</w:t>
            </w:r>
          </w:p>
        </w:tc>
        <w:tc>
          <w:tcPr>
            <w:tcW w:type="dxa" w:w="6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Presencial en la ciudad del fundador</w:t>
            </w:r>
          </w:p>
        </w:tc>
      </w:tr>
      <w:tr>
        <w:tc>
          <w:tcPr>
            <w:tcW w:type="dxa" w:w="30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Capacidad estimada</w:t>
            </w:r>
          </w:p>
        </w:tc>
        <w:tc>
          <w:tcPr>
            <w:tcW w:type="dxa" w:w="63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Entre 10 y 30 personas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Ticket planificado</w:t>
            </w:r>
          </w:p>
        </w:tc>
        <w:tc>
          <w:tcPr>
            <w:tcW w:type="dxa" w:w="6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bCs/>
                <w:color w:val="C0392B"/>
                <w:sz w:val="21"/>
                <w:szCs w:val="21"/>
              </w:rPr>
              <w:t xml:space="preserve">Menos de $50 USD por persona</w:t>
            </w:r>
          </w:p>
        </w:tc>
      </w:tr>
      <w:tr>
        <w:tc>
          <w:tcPr>
            <w:tcW w:type="dxa" w:w="30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Facturación máxima posible</w:t>
            </w:r>
          </w:p>
        </w:tc>
        <w:tc>
          <w:tcPr>
            <w:tcW w:type="dxa" w:w="63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bCs/>
                <w:color w:val="C0392B"/>
                <w:sz w:val="21"/>
                <w:szCs w:val="21"/>
              </w:rPr>
              <w:t xml:space="preserve">Entre $500 y $1.500 USD (techo del evento)</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Estado de definición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Idea general — sin fecha, lugar ni tema cerrado</w:t>
            </w:r>
          </w:p>
        </w:tc>
      </w:tr>
      <w:tr>
        <w:tc>
          <w:tcPr>
            <w:tcW w:type="dxa" w:w="30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Mercado objetivo</w:t>
            </w:r>
          </w:p>
        </w:tc>
        <w:tc>
          <w:tcPr>
            <w:tcW w:type="dxa" w:w="63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Mixto: local (Argentina) + internacional</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Precio actual de consultoría</w:t>
            </w:r>
          </w:p>
        </w:tc>
        <w:tc>
          <w:tcPr>
            <w:tcW w:type="dxa" w:w="6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Menos de $100 USD por sesión individual</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3. El Problema del Precio: Análisis Crítico</w:t>
      </w:r>
    </w:p>
    <w:p>
      <w:pPr>
        <w:pStyle w:val="Heading2"/>
        <w:spacing w:before="280" w:after="80"/>
      </w:pPr>
      <w:r>
        <w:rPr>
          <w:rFonts w:ascii="Arial" w:cs="Arial" w:eastAsia="Arial" w:hAnsi="Arial"/>
          <w:b/>
          <w:bCs/>
          <w:color w:val="1B3A5C"/>
          <w:sz w:val="28"/>
          <w:szCs w:val="28"/>
        </w:rPr>
        <w:t xml:space="preserve">3.1 — Lo que dice el posicionamiento vs. lo que dice el precio</w:t>
      </w:r>
    </w:p>
    <w:p>
      <w:pPr>
        <w:spacing w:before="60" w:after="80"/>
      </w:pPr>
      <w:r>
        <w:rPr>
          <w:rFonts w:ascii="Arial" w:cs="Arial" w:eastAsia="Arial" w:hAnsi="Arial"/>
          <w:color w:val="1C1C1C"/>
          <w:sz w:val="22"/>
          <w:szCs w:val="22"/>
        </w:rPr>
        <w:t xml:space="preserve">El informe estratégico original describe un cliente ideal que tiene 'alta tolerancia a la incomodidad, urgencia por resolver y búsqueda de verdad sin humo'. Ese perfil —el líder que paga por criterio, no por información— tiene un umbral de precio que empieza donde termina la commoditización.</w:t>
      </w:r>
    </w:p>
    <w:p>
      <w:pPr>
        <w:spacing w:before="60" w:after="80"/>
      </w:pPr>
      <w:r>
        <w:rPr>
          <w:rFonts w:ascii="Arial" w:cs="Arial" w:eastAsia="Arial" w:hAnsi="Arial"/>
          <w:color w:val="1C1C1C"/>
          <w:sz w:val="22"/>
          <w:szCs w:val="22"/>
        </w:rPr>
        <w:t xml:space="preserve">Un ticket de $50 USD no señaliza criterio externo. Señaliza contenido masivo. El precio no es solo un número: es el primer mensaje de posicionamiento que recibe el mercado antes de escuchar una sola palabra del fundador.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1"/>
              <w:left w:val="single" w:color="2980B9" w:sz="12"/>
              <w:bottom w:val="single" w:color="2980B9" w:sz="1"/>
              <w:right w:val="single" w:color="2980B9" w:sz="1"/>
            </w:tcBorders>
            <w:shd w:fill="EBF5FB" w:val="clear"/>
            <w:tcMar>
              <w:top w:type="dxa" w:w="120"/>
              <w:left w:type="dxa" w:w="200"/>
              <w:bottom w:type="dxa" w:w="120"/>
              <w:right w:type="dxa" w:w="200"/>
            </w:tcMar>
          </w:tcPr>
          <w:p>
            <w:pPr>
              <w:spacing w:before="0" w:after="40"/>
            </w:pPr>
            <w:r>
              <w:rPr>
                <w:rFonts w:ascii="Arial" w:cs="Arial" w:eastAsia="Arial" w:hAnsi="Arial"/>
                <w:b/>
                <w:bCs/>
                <w:color w:val="2980B9"/>
                <w:sz w:val="22"/>
                <w:szCs w:val="22"/>
              </w:rPr>
              <w:t xml:space="preserve">PRINCIPIO CRÍTICO</w:t>
            </w:r>
          </w:p>
          <w:p>
            <w:pPr>
              <w:spacing w:before="0" w:after="0"/>
            </w:pPr>
            <w:r>
              <w:rPr>
                <w:rFonts w:ascii="Arial" w:cs="Arial" w:eastAsia="Arial" w:hAnsi="Arial"/>
                <w:color w:val="1C1C1C"/>
                <w:sz w:val="22"/>
                <w:szCs w:val="22"/>
              </w:rPr>
              <w:t xml:space="preserve">En mercados de conocimiento y liderazgo, el precio bajo no democratiza el acceso — destruye la percepción de valor. Un líder que paga $50 espera un taller. Un líder que paga $500 espera un quiebre.</w:t>
            </w:r>
          </w:p>
        </w:tc>
      </w:tr>
    </w:tbl>
    <w:p>
      <w:pPr>
        <w:spacing w:before="120" w:after="0"/>
      </w:pPr>
      <w:r>
        <w:t xml:space="preserve"/>
      </w:r>
    </w:p>
    <w:p>
      <w:pPr>
        <w:pStyle w:val="Heading2"/>
        <w:spacing w:before="280" w:after="80"/>
      </w:pPr>
      <w:r>
        <w:rPr>
          <w:rFonts w:ascii="Arial" w:cs="Arial" w:eastAsia="Arial" w:hAnsi="Arial"/>
          <w:b/>
          <w:bCs/>
          <w:color w:val="1B3A5C"/>
          <w:sz w:val="28"/>
          <w:szCs w:val="28"/>
        </w:rPr>
        <w:t xml:space="preserve">3.2 — La justificación 'el mercado no paga más' y por qué es una creencia, no un hecho</w:t>
      </w:r>
    </w:p>
    <w:p>
      <w:pPr>
        <w:spacing w:before="60" w:after="80"/>
      </w:pPr>
      <w:r>
        <w:rPr>
          <w:rFonts w:ascii="Arial" w:cs="Arial" w:eastAsia="Arial" w:hAnsi="Arial"/>
          <w:color w:val="1C1C1C"/>
          <w:sz w:val="22"/>
          <w:szCs w:val="22"/>
        </w:rPr>
        <w:t xml:space="preserve">La razón declarada para el precio bajo fue el contexto económico: 'es lo que el mercado acepta'. Esta es la creencia más peligrosa que puede sostener un fundador que se posiciona como experto en creencias erróneas.</w:t>
      </w:r>
    </w:p>
    <w:p>
      <w:pPr>
        <w:spacing w:before="60" w:after="80"/>
      </w:pPr>
      <w:r>
        <w:rPr>
          <w:rFonts w:ascii="Arial" w:cs="Arial" w:eastAsia="Arial" w:hAnsi="Arial"/>
          <w:color w:val="1C1C1C"/>
          <w:sz w:val="22"/>
          <w:szCs w:val="22"/>
        </w:rPr>
        <w:t xml:space="preserve">El mercado argentino y latinoamericano tiene segmentos que pagan $500, $1.000 y $3.000 USD por valor percibido. Lo que varía no es la capacidad de pago — es la claridad de la propuesta de valor y la confianza en quien la entrega. Cobrar poco no resuelve ninguna de esas dos variables; las deteriora.</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1C1C1C"/>
          <w:sz w:val="22"/>
          <w:szCs w:val="22"/>
        </w:rPr>
        <w:t xml:space="preserve">El precio bajo no reduce la fricción de venta en mercados premium — la aumenta.</w:t>
      </w:r>
    </w:p>
    <w:p>
      <w:pPr>
        <w:pStyle w:val="ListParagraph"/>
        <w:numPr>
          <w:ilvl w:val="0"/>
          <w:numId w:val="2"/>
        </w:numPr>
        <w:spacing w:before="40" w:after="40"/>
      </w:pPr>
      <w:r>
        <w:rPr>
          <w:rFonts w:ascii="Arial" w:cs="Arial" w:eastAsia="Arial" w:hAnsi="Arial"/>
          <w:b w:val="false"/>
          <w:bCs w:val="false"/>
          <w:color w:val="1C1C1C"/>
          <w:sz w:val="22"/>
          <w:szCs w:val="22"/>
        </w:rPr>
        <w:t xml:space="preserve">Un líder que busca 'verdad sin humo' desconfía de quien regala su criterio.</w:t>
      </w:r>
    </w:p>
    <w:p>
      <w:pPr>
        <w:pStyle w:val="ListParagraph"/>
        <w:numPr>
          <w:ilvl w:val="0"/>
          <w:numId w:val="2"/>
        </w:numPr>
        <w:spacing w:before="40" w:after="40"/>
      </w:pPr>
      <w:r>
        <w:rPr>
          <w:rFonts w:ascii="Arial" w:cs="Arial" w:eastAsia="Arial" w:hAnsi="Arial"/>
          <w:b w:val="false"/>
          <w:bCs w:val="false"/>
          <w:color w:val="1C1C1C"/>
          <w:sz w:val="22"/>
          <w:szCs w:val="22"/>
        </w:rPr>
        <w:t xml:space="preserve">El contexto económico afecta el volumen del mercado, no la existencia del segmento premium.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2"/>
              <w:bottom w:val="single" w:color="F39C12" w:sz="1"/>
              <w:right w:val="single" w:color="F39C12" w:sz="1"/>
            </w:tcBorders>
            <w:shd w:fill="FEF9E7" w:val="clear"/>
            <w:tcMar>
              <w:top w:type="dxa" w:w="120"/>
              <w:left w:type="dxa" w:w="200"/>
              <w:bottom w:type="dxa" w:w="120"/>
              <w:right w:type="dxa" w:w="200"/>
            </w:tcMar>
          </w:tcPr>
          <w:p>
            <w:pPr>
              <w:spacing w:before="0" w:after="40"/>
            </w:pPr>
            <w:r>
              <w:rPr>
                <w:rFonts w:ascii="Arial" w:cs="Arial" w:eastAsia="Arial" w:hAnsi="Arial"/>
                <w:b/>
                <w:bCs/>
                <w:color w:val="F39C12"/>
                <w:sz w:val="22"/>
                <w:szCs w:val="22"/>
              </w:rPr>
              <w:t xml:space="preserve">DIAGNÓSTICO</w:t>
            </w:r>
          </w:p>
          <w:p>
            <w:pPr>
              <w:spacing w:before="0" w:after="0"/>
            </w:pPr>
            <w:r>
              <w:rPr>
                <w:rFonts w:ascii="Arial" w:cs="Arial" w:eastAsia="Arial" w:hAnsi="Arial"/>
                <w:color w:val="1C1C1C"/>
                <w:sz w:val="22"/>
                <w:szCs w:val="22"/>
              </w:rPr>
              <w:t xml:space="preserve">La creencia de que 'el mercado no paga más' es exactamente el tipo de pensamiento automático que el ecosistema promete desarmar en sus clientes. Debe aplicarse primero al propio modelo de negocio.</w:t>
            </w:r>
          </w:p>
        </w:tc>
      </w:tr>
    </w:tbl>
    <w:p>
      <w:pPr>
        <w:spacing w:before="120" w:after="0"/>
      </w:pPr>
      <w:r>
        <w:t xml:space="preserve"/>
      </w:r>
    </w:p>
    <w:p>
      <w:pPr>
        <w:pStyle w:val="Heading2"/>
        <w:spacing w:before="280" w:after="80"/>
      </w:pPr>
      <w:r>
        <w:rPr>
          <w:rFonts w:ascii="Arial" w:cs="Arial" w:eastAsia="Arial" w:hAnsi="Arial"/>
          <w:b/>
          <w:bCs/>
          <w:color w:val="1B3A5C"/>
          <w:sz w:val="28"/>
          <w:szCs w:val="28"/>
        </w:rPr>
        <w:t xml:space="preserve">3.3 — Simulación financiera: lo que el precio actual no puede sostener</w:t>
      </w:r>
    </w:p>
    <w:p>
      <w:pPr>
        <w:spacing w:before="60" w:after="80"/>
      </w:pPr>
      <w:r>
        <w:rPr>
          <w:rFonts w:ascii="Arial" w:cs="Arial" w:eastAsia="Arial" w:hAnsi="Arial"/>
          <w:color w:val="1C1C1C"/>
          <w:sz w:val="22"/>
          <w:szCs w:val="22"/>
        </w:rPr>
        <w:t xml:space="preserve">Para que el ecosistema sea autofinanciado y escalable, necesita generar ingresos suficientes desde las primeras semanas. Aquí el análisis de los distintos escenarios posibles con el evento presencial: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Escenario</w:t>
            </w:r>
          </w:p>
        </w:tc>
        <w:tc>
          <w:tcPr>
            <w:tcW w:type="dxa" w:w="1872"/>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Asistentes</w:t>
            </w:r>
          </w:p>
        </w:tc>
        <w:tc>
          <w:tcPr>
            <w:tcW w:type="dxa" w:w="1872"/>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Ticket</w:t>
            </w:r>
          </w:p>
        </w:tc>
        <w:tc>
          <w:tcPr>
            <w:tcW w:type="dxa" w:w="1872"/>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Facturación</w:t>
            </w:r>
          </w:p>
        </w:tc>
        <w:tc>
          <w:tcPr>
            <w:tcW w:type="dxa" w:w="1872"/>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Viabilidad</w:t>
            </w:r>
          </w:p>
        </w:tc>
      </w:tr>
      <w:tr>
        <w:tc>
          <w:tcPr>
            <w:tcW w:type="dxa" w:w="1872"/>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Actual planificado</w:t>
            </w:r>
          </w:p>
        </w:tc>
        <w:tc>
          <w:tcPr>
            <w:tcW w:type="dxa" w:w="1872"/>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10–30</w:t>
            </w:r>
          </w:p>
        </w:tc>
        <w:tc>
          <w:tcPr>
            <w:tcW w:type="dxa" w:w="1872"/>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&lt; $50 USD</w:t>
            </w:r>
          </w:p>
        </w:tc>
        <w:tc>
          <w:tcPr>
            <w:tcW w:type="dxa" w:w="1872"/>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$500–$1.500</w:t>
            </w:r>
          </w:p>
        </w:tc>
        <w:tc>
          <w:tcPr>
            <w:tcW w:type="dxa" w:w="1872"/>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C0392B"/>
                <w:sz w:val="20"/>
                <w:szCs w:val="20"/>
              </w:rPr>
              <w:t xml:space="preserve">Crítico</w:t>
            </w:r>
          </w:p>
        </w:tc>
      </w:tr>
      <w:tr>
        <w:tc>
          <w:tcPr>
            <w:tcW w:type="dxa" w:w="187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Precio de equilibrio mínimo</w:t>
            </w:r>
          </w:p>
        </w:tc>
        <w:tc>
          <w:tcPr>
            <w:tcW w:type="dxa" w:w="187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15</w:t>
            </w:r>
          </w:p>
        </w:tc>
        <w:tc>
          <w:tcPr>
            <w:tcW w:type="dxa" w:w="187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$150 USD</w:t>
            </w:r>
          </w:p>
        </w:tc>
        <w:tc>
          <w:tcPr>
            <w:tcW w:type="dxa" w:w="187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$2.250</w:t>
            </w:r>
          </w:p>
        </w:tc>
        <w:tc>
          <w:tcPr>
            <w:tcW w:type="dxa" w:w="187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E67E22"/>
                <w:sz w:val="20"/>
                <w:szCs w:val="20"/>
              </w:rPr>
              <w:t xml:space="preserve">Posible</w:t>
            </w:r>
          </w:p>
        </w:tc>
      </w:tr>
      <w:tr>
        <w:tc>
          <w:tcPr>
            <w:tcW w:type="dxa" w:w="1872"/>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Precio de posicionamiento</w:t>
            </w:r>
          </w:p>
        </w:tc>
        <w:tc>
          <w:tcPr>
            <w:tcW w:type="dxa" w:w="1872"/>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15</w:t>
            </w:r>
          </w:p>
        </w:tc>
        <w:tc>
          <w:tcPr>
            <w:tcW w:type="dxa" w:w="1872"/>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$350 USD</w:t>
            </w:r>
          </w:p>
        </w:tc>
        <w:tc>
          <w:tcPr>
            <w:tcW w:type="dxa" w:w="1872"/>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$5.250</w:t>
            </w:r>
          </w:p>
        </w:tc>
        <w:tc>
          <w:tcPr>
            <w:tcW w:type="dxa" w:w="1872"/>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1A7A4A"/>
                <w:sz w:val="20"/>
                <w:szCs w:val="20"/>
              </w:rPr>
              <w:t xml:space="preserve">Viable</w:t>
            </w:r>
          </w:p>
        </w:tc>
      </w:tr>
      <w:tr>
        <w:tc>
          <w:tcPr>
            <w:tcW w:type="dxa" w:w="187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Precio premium coherente</w:t>
            </w:r>
          </w:p>
        </w:tc>
        <w:tc>
          <w:tcPr>
            <w:tcW w:type="dxa" w:w="187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10</w:t>
            </w:r>
          </w:p>
        </w:tc>
        <w:tc>
          <w:tcPr>
            <w:tcW w:type="dxa" w:w="187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$600 USD</w:t>
            </w:r>
          </w:p>
        </w:tc>
        <w:tc>
          <w:tcPr>
            <w:tcW w:type="dxa" w:w="187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$6.000</w:t>
            </w:r>
          </w:p>
        </w:tc>
        <w:tc>
          <w:tcPr>
            <w:tcW w:type="dxa" w:w="187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1A7A4A"/>
                <w:sz w:val="20"/>
                <w:szCs w:val="20"/>
              </w:rPr>
              <w:t xml:space="preserve">Óptimo</w:t>
            </w:r>
          </w:p>
        </w:tc>
      </w:tr>
    </w:tbl>
    <w:p>
      <w:pPr>
        <w:spacing w:before="80" w:after="0"/>
      </w:pPr>
      <w:r>
        <w:t xml:space="preserve"/>
      </w:r>
    </w:p>
    <w:p>
      <w:pPr>
        <w:spacing w:before="60" w:after="80"/>
      </w:pPr>
      <w:r>
        <w:rPr>
          <w:rFonts w:ascii="Arial" w:cs="Arial" w:eastAsia="Arial" w:hAnsi="Arial"/>
          <w:color w:val="1C1C1C"/>
          <w:sz w:val="22"/>
          <w:szCs w:val="22"/>
        </w:rPr>
        <w:t xml:space="preserve">El escenario actual no cubre ni el costo operativo de un evento presencial bien ejecutado (espacio, materiales, tiempo de preparación). El escenario de posicionamiento coherente con la propuesta de valor requiere menos asistentes y genera 3 a 10 veces más ingresos.</w:t>
      </w:r>
    </w:p>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4. El Mercado Mixto: Oportunidad y Riesgo</w:t>
      </w:r>
    </w:p>
    <w:p>
      <w:pPr>
        <w:spacing w:before="60" w:after="80"/>
      </w:pPr>
      <w:r>
        <w:rPr>
          <w:rFonts w:ascii="Arial" w:cs="Arial" w:eastAsia="Arial" w:hAnsi="Arial"/>
          <w:color w:val="1C1C1C"/>
          <w:sz w:val="22"/>
          <w:szCs w:val="22"/>
        </w:rPr>
        <w:t xml:space="preserve">La decisión de apuntar a un mercado mixto —Argentina más internacional— es correcta en términos de potencial pero introduce una complejidad que el precio actual no puede resolver.</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1C1C1C"/>
          <w:sz w:val="22"/>
          <w:szCs w:val="22"/>
        </w:rPr>
        <w:t xml:space="preserve">Un evento presencial en Argentina atrae principalmente audiencia local con poder adquisitivo en pesos.</w:t>
      </w:r>
    </w:p>
    <w:p>
      <w:pPr>
        <w:pStyle w:val="ListParagraph"/>
        <w:numPr>
          <w:ilvl w:val="0"/>
          <w:numId w:val="2"/>
        </w:numPr>
        <w:spacing w:before="40" w:after="40"/>
      </w:pPr>
      <w:r>
        <w:rPr>
          <w:rFonts w:ascii="Arial" w:cs="Arial" w:eastAsia="Arial" w:hAnsi="Arial"/>
          <w:b w:val="false"/>
          <w:bCs w:val="false"/>
          <w:color w:val="1C1C1C"/>
          <w:sz w:val="22"/>
          <w:szCs w:val="22"/>
        </w:rPr>
        <w:t xml:space="preserve">El mercado internacional requiere una propuesta en dólares con ticket coherente para justificar la logística.</w:t>
      </w:r>
    </w:p>
    <w:p>
      <w:pPr>
        <w:pStyle w:val="ListParagraph"/>
        <w:numPr>
          <w:ilvl w:val="0"/>
          <w:numId w:val="2"/>
        </w:numPr>
        <w:spacing w:before="40" w:after="40"/>
      </w:pPr>
      <w:r>
        <w:rPr>
          <w:rFonts w:ascii="Arial" w:cs="Arial" w:eastAsia="Arial" w:hAnsi="Arial"/>
          <w:b w:val="false"/>
          <w:bCs w:val="false"/>
          <w:color w:val="1C1C1C"/>
          <w:sz w:val="22"/>
          <w:szCs w:val="22"/>
        </w:rPr>
        <w:t xml:space="preserve">Combinar ambos públicos en un mismo evento a $50 USD destruye el posicionamiento premium ante la audiencia internacional.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2"/>
              <w:bottom w:val="single" w:color="1A7A4A" w:sz="1"/>
              <w:right w:val="single" w:color="1A7A4A" w:sz="1"/>
            </w:tcBorders>
            <w:shd w:fill="E8F8F5" w:val="clear"/>
            <w:tcMar>
              <w:top w:type="dxa" w:w="120"/>
              <w:left w:type="dxa" w:w="200"/>
              <w:bottom w:type="dxa" w:w="120"/>
              <w:right w:type="dxa" w:w="200"/>
            </w:tcMar>
          </w:tcPr>
          <w:p>
            <w:pPr>
              <w:spacing w:before="0" w:after="40"/>
            </w:pPr>
            <w:r>
              <w:rPr>
                <w:rFonts w:ascii="Arial" w:cs="Arial" w:eastAsia="Arial" w:hAnsi="Arial"/>
                <w:b/>
                <w:bCs/>
                <w:color w:val="1A7A4A"/>
                <w:sz w:val="22"/>
                <w:szCs w:val="22"/>
              </w:rPr>
              <w:t xml:space="preserve">RECOMENDACIÓN</w:t>
            </w:r>
          </w:p>
          <w:p>
            <w:pPr>
              <w:spacing w:before="0" w:after="0"/>
            </w:pPr>
            <w:r>
              <w:rPr>
                <w:rFonts w:ascii="Arial" w:cs="Arial" w:eastAsia="Arial" w:hAnsi="Arial"/>
                <w:color w:val="1C1C1C"/>
                <w:sz w:val="22"/>
                <w:szCs w:val="22"/>
              </w:rPr>
              <w:t xml:space="preserve">Separar la estrategia por mercado desde el primer evento: un formato local en moneda local con precio accesible para construir base, y un formato internacional en dólares con ticket premium para posicionar la marca. No intentar servirlos simultáneamente con el mismo precio.</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5. El Evento Sin Definición: El Riesgo de la Idea General</w:t>
      </w:r>
    </w:p>
    <w:p>
      <w:pPr>
        <w:spacing w:before="60" w:after="80"/>
      </w:pPr>
      <w:r>
        <w:rPr>
          <w:rFonts w:ascii="Arial" w:cs="Arial" w:eastAsia="Arial" w:hAnsi="Arial"/>
          <w:color w:val="1C1C1C"/>
          <w:sz w:val="22"/>
          <w:szCs w:val="22"/>
        </w:rPr>
        <w:t xml:space="preserve">El primer evento tiene 'solo una idea general': sin fecha, sin lugar cerrado, sin tema definido. En un proyecto que se autofinancia y que necesita validar el modelo rápido, una idea general es una deuda estratégica que crece con el tiempo.</w:t>
      </w:r>
    </w:p>
    <w:p>
      <w:pPr>
        <w:spacing w:before="60" w:after="80"/>
      </w:pPr>
      <w:r>
        <w:rPr>
          <w:rFonts w:ascii="Arial" w:cs="Arial" w:eastAsia="Arial" w:hAnsi="Arial"/>
          <w:color w:val="1C1C1C"/>
          <w:sz w:val="22"/>
          <w:szCs w:val="22"/>
        </w:rPr>
        <w:t xml:space="preserve">Cada semana sin fecha es una semana sin urgencia. Sin urgencia no hay venta. Sin venta no hay validación. Sin validación, el ecosistema sigue siendo un documento brillante sin contacto con la realidad.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2"/>
              <w:bottom w:val="single" w:color="C0392B" w:sz="1"/>
              <w:right w:val="single" w:color="C0392B" w:sz="1"/>
            </w:tcBorders>
            <w:shd w:fill="FEF0F0" w:val="clear"/>
            <w:tcMar>
              <w:top w:type="dxa" w:w="120"/>
              <w:left w:type="dxa" w:w="200"/>
              <w:bottom w:type="dxa" w:w="120"/>
              <w:right w:type="dxa" w:w="200"/>
            </w:tcMar>
          </w:tcPr>
          <w:p>
            <w:pPr>
              <w:spacing w:before="0" w:after="40"/>
            </w:pPr>
            <w:r>
              <w:rPr>
                <w:rFonts w:ascii="Arial" w:cs="Arial" w:eastAsia="Arial" w:hAnsi="Arial"/>
                <w:b/>
                <w:bCs/>
                <w:color w:val="C0392B"/>
                <w:sz w:val="22"/>
                <w:szCs w:val="22"/>
              </w:rPr>
              <w:t xml:space="preserve">⚠️  ACCIÓN URGENTE</w:t>
            </w:r>
          </w:p>
          <w:p>
            <w:pPr>
              <w:spacing w:before="0" w:after="0"/>
            </w:pPr>
            <w:r>
              <w:rPr>
                <w:rFonts w:ascii="Arial" w:cs="Arial" w:eastAsia="Arial" w:hAnsi="Arial"/>
                <w:color w:val="1C1C1C"/>
                <w:sz w:val="22"/>
                <w:szCs w:val="22"/>
              </w:rPr>
              <w:t xml:space="preserve">El evento necesita una fecha en el calendario en los próximos 7 días — aunque sea tentativa. Una fecha crea presión de ejecución real. Sin fecha, el evento es un deseo.</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6. Redefinición del PMV Recomendado</w:t>
      </w:r>
    </w:p>
    <w:p>
      <w:pPr>
        <w:spacing w:before="60" w:after="80"/>
      </w:pPr>
      <w:r>
        <w:rPr>
          <w:rFonts w:ascii="Arial" w:cs="Arial" w:eastAsia="Arial" w:hAnsi="Arial"/>
          <w:color w:val="1C1C1C"/>
          <w:sz w:val="22"/>
          <w:szCs w:val="22"/>
        </w:rPr>
        <w:t xml:space="preserve">En función del diagnóstico de este bloque, el Producto Mínimo Vendible recomendado para las próximas 4 semanas no es el evento tal como está concebido. Es una versión reposicionada con los siguientes parámetros: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20"/>
            </w:tcMar>
          </w:tcPr>
          <w:p>
            <w:r>
              <w:rPr>
                <w:rFonts w:ascii="Arial" w:cs="Arial" w:eastAsia="Arial" w:hAnsi="Arial"/>
                <w:b/>
                <w:bCs/>
                <w:color w:val="FFFFFF"/>
                <w:sz w:val="22"/>
                <w:szCs w:val="22"/>
              </w:rPr>
              <w:t xml:space="preserve">Variable</w:t>
            </w:r>
          </w:p>
        </w:tc>
        <w:tc>
          <w:tcPr>
            <w:tcW w:type="dxa" w:w="636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20"/>
            </w:tcMar>
          </w:tcPr>
          <w:p>
            <w:r>
              <w:rPr>
                <w:rFonts w:ascii="Arial" w:cs="Arial" w:eastAsia="Arial" w:hAnsi="Arial"/>
                <w:b/>
                <w:bCs/>
                <w:color w:val="FFFFFF"/>
                <w:sz w:val="22"/>
                <w:szCs w:val="22"/>
              </w:rPr>
              <w:t xml:space="preserve">Parámetro recomendado</w:t>
            </w:r>
          </w:p>
        </w:tc>
      </w:tr>
      <w:tr>
        <w:tc>
          <w:tcPr>
            <w:tcW w:type="dxa" w:w="30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Nombre sugerido</w:t>
            </w:r>
          </w:p>
        </w:tc>
        <w:tc>
          <w:tcPr>
            <w:tcW w:type="dxa" w:w="63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Jornada de Claridad Estratégica</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Formato</w:t>
            </w:r>
          </w:p>
        </w:tc>
        <w:tc>
          <w:tcPr>
            <w:tcW w:type="dxa" w:w="6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Presencial, media jornada (4-5 horas)</w:t>
            </w:r>
          </w:p>
        </w:tc>
      </w:tr>
      <w:tr>
        <w:tc>
          <w:tcPr>
            <w:tcW w:type="dxa" w:w="30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Capacidad</w:t>
            </w:r>
          </w:p>
        </w:tc>
        <w:tc>
          <w:tcPr>
            <w:tcW w:type="dxa" w:w="63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8 a 12 personas máximo (exclusividad percibida)</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Ticket recomendado</w:t>
            </w:r>
          </w:p>
        </w:tc>
        <w:tc>
          <w:tcPr>
            <w:tcW w:type="dxa" w:w="6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$250 a $400 USD por persona</w:t>
            </w:r>
          </w:p>
        </w:tc>
      </w:tr>
      <w:tr>
        <w:tc>
          <w:tcPr>
            <w:tcW w:type="dxa" w:w="30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Facturación objetivo</w:t>
            </w:r>
          </w:p>
        </w:tc>
        <w:tc>
          <w:tcPr>
            <w:tcW w:type="dxa" w:w="63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$2.000 a $4.800 USD por evento</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Perfil de asistente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Un solo perfil definido (ej: Emprendedor Saturado)</w:t>
            </w:r>
          </w:p>
        </w:tc>
      </w:tr>
      <w:tr>
        <w:tc>
          <w:tcPr>
            <w:tcW w:type="dxa" w:w="30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Mercado inicial</w:t>
            </w:r>
          </w:p>
        </w:tc>
        <w:tc>
          <w:tcPr>
            <w:tcW w:type="dxa" w:w="63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Local — Argentina — en la ciudad del fundador</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Horizonte de venta</w:t>
            </w:r>
          </w:p>
        </w:tc>
        <w:tc>
          <w:tcPr>
            <w:tcW w:type="dxa" w:w="6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Primera fecha en 3 a 5 semanas desde hoy</w:t>
            </w:r>
          </w:p>
        </w:tc>
      </w:tr>
      <w:tr>
        <w:tc>
          <w:tcPr>
            <w:tcW w:type="dxa" w:w="30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Canal de venta</w:t>
            </w:r>
          </w:p>
        </w:tc>
        <w:tc>
          <w:tcPr>
            <w:tcW w:type="dxa" w:w="63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Audiencia activa existente — sin publicidad paga</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7. Próximos Bloques</w:t>
      </w:r>
    </w:p>
    <w:p>
      <w:pPr>
        <w:spacing w:before="60" w:after="80"/>
      </w:pPr>
      <w:r>
        <w:rPr>
          <w:rFonts w:ascii="Arial" w:cs="Arial" w:eastAsia="Arial" w:hAnsi="Arial"/>
          <w:color w:val="1C1C1C"/>
          <w:sz w:val="22"/>
          <w:szCs w:val="22"/>
        </w:rPr>
        <w:t xml:space="preserve">Con el diagnóstico del PMV completo, los siguientes bloques profundizarán en:</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1C1C1C"/>
          <w:sz w:val="22"/>
          <w:szCs w:val="22"/>
        </w:rPr>
        <w:t xml:space="preserve">Bloque 3: Estrategia de conversión de audiencia activa — cómo comunicar y vender el primer evento</w:t>
      </w:r>
    </w:p>
    <w:p>
      <w:pPr>
        <w:pStyle w:val="ListParagraph"/>
        <w:numPr>
          <w:ilvl w:val="0"/>
          <w:numId w:val="2"/>
        </w:numPr>
        <w:spacing w:before="40" w:after="40"/>
      </w:pPr>
      <w:r>
        <w:rPr>
          <w:rFonts w:ascii="Arial" w:cs="Arial" w:eastAsia="Arial" w:hAnsi="Arial"/>
          <w:b w:val="false"/>
          <w:bCs w:val="false"/>
          <w:color w:val="1C1C1C"/>
          <w:sz w:val="22"/>
          <w:szCs w:val="22"/>
        </w:rPr>
        <w:t xml:space="preserve">Bloque 4: Arquitectura de la comunidad — de asistente al evento a miembro del ecosistema</w:t>
      </w:r>
    </w:p>
    <w:p>
      <w:pPr>
        <w:pStyle w:val="ListParagraph"/>
        <w:numPr>
          <w:ilvl w:val="0"/>
          <w:numId w:val="2"/>
        </w:numPr>
        <w:spacing w:before="40" w:after="40"/>
      </w:pPr>
      <w:r>
        <w:rPr>
          <w:rFonts w:ascii="Arial" w:cs="Arial" w:eastAsia="Arial" w:hAnsi="Arial"/>
          <w:b w:val="false"/>
          <w:bCs w:val="false"/>
          <w:color w:val="1C1C1C"/>
          <w:sz w:val="22"/>
          <w:szCs w:val="22"/>
        </w:rPr>
        <w:t xml:space="preserve">Bloque 5: Tecnología — qué construir, cuándo y con qué criterio de priorización</w:t>
      </w:r>
    </w:p>
    <w:p>
      <w:pPr>
        <w:pStyle w:val="ListParagraph"/>
        <w:numPr>
          <w:ilvl w:val="0"/>
          <w:numId w:val="2"/>
        </w:numPr>
        <w:spacing w:before="40" w:after="40"/>
      </w:pPr>
      <w:r>
        <w:rPr>
          <w:rFonts w:ascii="Arial" w:cs="Arial" w:eastAsia="Arial" w:hAnsi="Arial"/>
          <w:b w:val="false"/>
          <w:bCs w:val="false"/>
          <w:color w:val="1C1C1C"/>
          <w:sz w:val="22"/>
          <w:szCs w:val="22"/>
        </w:rPr>
        <w:t xml:space="preserve">Bloque 6: Modelo financiero — proyección realista de ingresos y punto de equilibrio</w:t>
      </w:r>
    </w:p>
    <w:p>
      <w:pPr>
        <w:pStyle w:val="ListParagraph"/>
        <w:numPr>
          <w:ilvl w:val="0"/>
          <w:numId w:val="2"/>
        </w:numPr>
        <w:spacing w:before="40" w:after="40"/>
      </w:pPr>
      <w:r>
        <w:rPr>
          <w:rFonts w:ascii="Arial" w:cs="Arial" w:eastAsia="Arial" w:hAnsi="Arial"/>
          <w:b w:val="false"/>
          <w:bCs w:val="false"/>
          <w:color w:val="1C1C1C"/>
          <w:sz w:val="22"/>
          <w:szCs w:val="22"/>
        </w:rPr>
        <w:t xml:space="preserve">Bloque 7: Operaciones y escalado — equipo, procesos y criterios de expansión internacional</w:t>
      </w:r>
    </w:p>
    <w:p>
      <w:pPr>
        <w:spacing w:before="160" w:after="0"/>
      </w:pPr>
      <w:r>
        <w:t xml:space="preserve"/>
      </w:r>
    </w:p>
    <w:p>
      <w:pPr>
        <w:pBdr>
          <w:top w:val="single" w:color="D5D8DC" w:sz="2" w:space="8"/>
        </w:pBdr>
        <w:spacing w:before="120" w:after="40"/>
        <w:jc w:val="center"/>
      </w:pPr>
      <w:r>
        <w:rPr>
          <w:rFonts w:ascii="Arial" w:cs="Arial" w:eastAsia="Arial" w:hAnsi="Arial"/>
          <w:color w:val="888888"/>
          <w:sz w:val="18"/>
          <w:szCs w:val="18"/>
        </w:rPr>
        <w:t xml:space="preserve">Mejora Continua — Diagnóstico Estratégico Confidencial</w:t>
      </w:r>
    </w:p>
    <w:p>
      <w:pPr>
        <w:jc w:val="center"/>
      </w:pPr>
      <w:r>
        <w:rPr>
          <w:rFonts w:ascii="Arial" w:cs="Arial" w:eastAsia="Arial" w:hAnsi="Arial"/>
          <w:color w:val="AAAAAA"/>
          <w:sz w:val="18"/>
          <w:szCs w:val="18"/>
        </w:rPr>
        <w:t xml:space="preserve">Sesión de trabajo — 27 de marzo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2026-03-27T20:05:43.809Z</dcterms:created>
  <dcterms:modified xsi:type="dcterms:W3CDTF">2026-03-27T20:05:43.809Z</dcterms:modified>
</cp:coreProperties>
</file>

<file path=docProps/custom.xml><?xml version="1.0" encoding="utf-8"?>
<Properties xmlns="http://schemas.openxmlformats.org/officeDocument/2006/custom-properties" xmlns:vt="http://schemas.openxmlformats.org/officeDocument/2006/docPropsVTypes"/>
</file>