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olor w:val="1B3A5C"/>
          <w:sz w:val="60"/>
          <w:szCs w:val="60"/>
        </w:rPr>
        <w:t xml:space="preserve">MEJORA CONTINUA</w:t>
      </w:r>
    </w:p>
    <w:p>
      <w:pPr>
        <w:spacing w:before="0" w:after="40"/>
        <w:jc w:val="center"/>
      </w:pPr>
      <w:r>
        <w:rPr>
          <w:rFonts w:ascii="Arial" w:cs="Arial" w:eastAsia="Arial" w:hAnsi="Arial"/>
          <w:color w:val="555555"/>
          <w:sz w:val="28"/>
          <w:szCs w:val="28"/>
        </w:rPr>
        <w:t xml:space="preserve">Ecosistema Estratégico de Negocios</w:t>
      </w:r>
    </w:p>
    <w:p>
      <w:pPr>
        <w:pBdr>
          <w:bottom w:val="single" w:color="C0392B" w:sz="8" w:space="10"/>
        </w:pBdr>
        <w:spacing w:before="0" w:after="160"/>
        <w:jc w:val="center"/>
      </w:pPr>
      <w:r>
        <w:t xml:space="preserve"/>
      </w:r>
    </w:p>
    <w:p>
      <w:pPr>
        <w:spacing w:before="80" w:after="0"/>
      </w:pPr>
      <w:r>
        <w:t xml:space="preserve"/>
      </w:r>
    </w:p>
    <w:p>
      <w:pPr>
        <w:spacing w:before="0" w:after="30"/>
        <w:jc w:val="center"/>
      </w:pPr>
      <w:r>
        <w:rPr>
          <w:rFonts w:ascii="Arial" w:cs="Arial" w:eastAsia="Arial" w:hAnsi="Arial"/>
          <w:b/>
          <w:bCs/>
          <w:color w:val="C0392B"/>
          <w:sz w:val="34"/>
          <w:szCs w:val="34"/>
        </w:rPr>
        <w:t xml:space="preserve">PLAN DE IMPLEMENTACIÓN INTEGRADO</w:t>
      </w:r>
    </w:p>
    <w:p>
      <w:pPr>
        <w:spacing w:before="0" w:after="30"/>
        <w:jc w:val="center"/>
      </w:pPr>
      <w:r>
        <w:rPr>
          <w:rFonts w:ascii="Arial" w:cs="Arial" w:eastAsia="Arial" w:hAnsi="Arial"/>
          <w:color w:val="1B3A5C"/>
          <w:sz w:val="26"/>
          <w:szCs w:val="26"/>
        </w:rPr>
        <w:t xml:space="preserve">Hoja de Ruta Ejecutiva — Abril a Diciembre 2026</w:t>
      </w:r>
    </w:p>
    <w:p>
      <w:pPr>
        <w:spacing w:before="60" w:after="0"/>
      </w:pPr>
      <w:r>
        <w:t xml:space="preserve"/>
      </w:r>
    </w:p>
    <w:p>
      <w:pPr>
        <w:spacing w:before="0" w:after="20"/>
        <w:jc w:val="center"/>
      </w:pPr>
      <w:r>
        <w:rPr>
          <w:rFonts w:ascii="Arial" w:cs="Arial" w:eastAsia="Arial" w:hAnsi="Arial"/>
          <w:i/>
          <w:iCs/>
          <w:color w:val="888888"/>
          <w:sz w:val="22"/>
          <w:szCs w:val="22"/>
        </w:rPr>
        <w:t xml:space="preserve">Documento 1 de 3</w:t>
      </w:r>
    </w:p>
    <w:p>
      <w:pPr>
        <w:spacing w:before="0" w:after="400"/>
        <w:jc w:val="center"/>
      </w:pPr>
      <w:r>
        <w:rPr>
          <w:rFonts w:ascii="Arial" w:cs="Arial" w:eastAsia="Arial" w:hAnsi="Arial"/>
          <w:color w:val="AAAAAA"/>
          <w:sz w:val="20"/>
          <w:szCs w:val="20"/>
        </w:rPr>
        <w:t xml:space="preserve">Versión 1.0 — 28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Estructura del Plan</w:t>
      </w:r>
    </w:p>
    <w:p>
      <w:pPr>
        <w:spacing w:before="60" w:after="80"/>
      </w:pPr>
      <w:r>
        <w:rPr>
          <w:rFonts w:ascii="Arial" w:cs="Arial" w:eastAsia="Arial" w:hAnsi="Arial"/>
          <w:color w:val="1C1C1C"/>
          <w:sz w:val="22"/>
          <w:szCs w:val="22"/>
        </w:rPr>
        <w:t xml:space="preserve">Este documento es la hoja de ruta ejecutiva del relanzamiento del ecosistema Mejora Continua. Define qué hacer, cuándo, quién lo hace y cómo saber si está funcionando. Es el documento que gobierna los otros dos: el de requerimientos técnicos y el de mockups de experiencia.</w:t>
      </w:r>
    </w:p>
    <w:p>
      <w:pPr>
        <w:spacing w:before="60" w:after="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Contexto y principios del plan</w:t>
      </w:r>
    </w:p>
    <w:p>
      <w:pPr>
        <w:pStyle w:val="ListParagraph"/>
        <w:numPr>
          <w:ilvl w:val="0"/>
          <w:numId w:val="2"/>
        </w:numPr>
        <w:spacing w:before="40" w:after="40"/>
      </w:pPr>
      <w:r>
        <w:rPr>
          <w:rFonts w:ascii="Arial" w:cs="Arial" w:eastAsia="Arial" w:hAnsi="Arial"/>
          <w:b/>
          <w:bCs/>
          <w:color w:val="1B3A5C"/>
          <w:sz w:val="22"/>
          <w:szCs w:val="22"/>
        </w:rPr>
        <w:t xml:space="preserve">Mapa de hitos 2026</w:t>
      </w:r>
    </w:p>
    <w:p>
      <w:pPr>
        <w:pStyle w:val="ListParagraph"/>
        <w:numPr>
          <w:ilvl w:val="0"/>
          <w:numId w:val="2"/>
        </w:numPr>
        <w:spacing w:before="40" w:after="40"/>
      </w:pPr>
      <w:r>
        <w:rPr>
          <w:rFonts w:ascii="Arial" w:cs="Arial" w:eastAsia="Arial" w:hAnsi="Arial"/>
          <w:b/>
          <w:bCs/>
          <w:color w:val="1B3A5C"/>
          <w:sz w:val="22"/>
          <w:szCs w:val="22"/>
        </w:rPr>
        <w:t xml:space="preserve">Fase 1 — Diseño y preparación (Abril–Mayo 2026)</w:t>
      </w:r>
    </w:p>
    <w:p>
      <w:pPr>
        <w:pStyle w:val="ListParagraph"/>
        <w:numPr>
          <w:ilvl w:val="0"/>
          <w:numId w:val="2"/>
        </w:numPr>
        <w:spacing w:before="40" w:after="40"/>
      </w:pPr>
      <w:r>
        <w:rPr>
          <w:rFonts w:ascii="Arial" w:cs="Arial" w:eastAsia="Arial" w:hAnsi="Arial"/>
          <w:b/>
          <w:bCs/>
          <w:color w:val="1B3A5C"/>
          <w:sz w:val="22"/>
          <w:szCs w:val="22"/>
        </w:rPr>
        <w:t xml:space="preserve">Fase 2 — Desarrollo y sandbox (Junio–Agosto 2026)</w:t>
      </w:r>
    </w:p>
    <w:p>
      <w:pPr>
        <w:pStyle w:val="ListParagraph"/>
        <w:numPr>
          <w:ilvl w:val="0"/>
          <w:numId w:val="2"/>
        </w:numPr>
        <w:spacing w:before="40" w:after="40"/>
      </w:pPr>
      <w:r>
        <w:rPr>
          <w:rFonts w:ascii="Arial" w:cs="Arial" w:eastAsia="Arial" w:hAnsi="Arial"/>
          <w:b/>
          <w:bCs/>
          <w:color w:val="1B3A5C"/>
          <w:sz w:val="22"/>
          <w:szCs w:val="22"/>
        </w:rPr>
        <w:t xml:space="preserve">Fase 3 — Escalado nacional (Septiembre–Diciembre 2026)</w:t>
      </w:r>
    </w:p>
    <w:p>
      <w:pPr>
        <w:pStyle w:val="ListParagraph"/>
        <w:numPr>
          <w:ilvl w:val="0"/>
          <w:numId w:val="2"/>
        </w:numPr>
        <w:spacing w:before="40" w:after="40"/>
      </w:pPr>
      <w:r>
        <w:rPr>
          <w:rFonts w:ascii="Arial" w:cs="Arial" w:eastAsia="Arial" w:hAnsi="Arial"/>
          <w:b/>
          <w:bCs/>
          <w:color w:val="1B3A5C"/>
          <w:sz w:val="22"/>
          <w:szCs w:val="22"/>
        </w:rPr>
        <w:t xml:space="preserve">Criterios de éxito por fase</w:t>
      </w:r>
    </w:p>
    <w:p>
      <w:pPr>
        <w:pStyle w:val="ListParagraph"/>
        <w:numPr>
          <w:ilvl w:val="0"/>
          <w:numId w:val="2"/>
        </w:numPr>
        <w:spacing w:before="40" w:after="40"/>
      </w:pPr>
      <w:r>
        <w:rPr>
          <w:rFonts w:ascii="Arial" w:cs="Arial" w:eastAsia="Arial" w:hAnsi="Arial"/>
          <w:b/>
          <w:bCs/>
          <w:color w:val="1B3A5C"/>
          <w:sz w:val="22"/>
          <w:szCs w:val="22"/>
        </w:rPr>
        <w:t xml:space="preserve">Roles y responsabilidades</w:t>
      </w:r>
    </w:p>
    <w:p>
      <w:pPr>
        <w:pStyle w:val="ListParagraph"/>
        <w:numPr>
          <w:ilvl w:val="0"/>
          <w:numId w:val="2"/>
        </w:numPr>
        <w:spacing w:before="40" w:after="40"/>
      </w:pPr>
      <w:r>
        <w:rPr>
          <w:rFonts w:ascii="Arial" w:cs="Arial" w:eastAsia="Arial" w:hAnsi="Arial"/>
          <w:b/>
          <w:bCs/>
          <w:color w:val="1B3A5C"/>
          <w:sz w:val="22"/>
          <w:szCs w:val="22"/>
        </w:rPr>
        <w:t xml:space="preserve">Los tres documentos del proyecto</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1. Contexto y Principios del Plan</w:t>
      </w:r>
    </w:p>
    <w:p>
      <w:pPr>
        <w:spacing w:before="60" w:after="80"/>
      </w:pPr>
      <w:r>
        <w:rPr>
          <w:rFonts w:ascii="Arial" w:cs="Arial" w:eastAsia="Arial" w:hAnsi="Arial"/>
          <w:color w:val="1C1C1C"/>
          <w:sz w:val="22"/>
          <w:szCs w:val="22"/>
        </w:rPr>
        <w:t xml:space="preserve">Este plan parte de un diagnóstico completo de siete bloques que reveló lo siguiente: Mejora Continua no es un proyecto nuevo — es el relanzamiento de un ecosistema con 3 años de operación real, 50 miembros que todavía lo reclaman, cinco líneas de producto activas, un socio tecnológico probado y una audiencia caliente con vínculo de menos de 3 meses. Ese contexto define cómo se ejecuta este plan.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PRINCIPIO RECTOR DEL PLAN</w:t>
            </w:r>
          </w:p>
          <w:p>
            <w:pPr>
              <w:spacing w:before="0" w:after="0"/>
            </w:pPr>
            <w:r>
              <w:rPr>
                <w:rFonts w:ascii="Arial" w:cs="Arial" w:eastAsia="Arial" w:hAnsi="Arial"/>
                <w:color w:val="1C1C1C"/>
                <w:sz w:val="22"/>
                <w:szCs w:val="22"/>
              </w:rPr>
              <w:t xml:space="preserve">Lanzar con el producto funcionando, no con una promesa. Dos meses de preparación antes del primer contacto con founders no es demora — es la decisión que separa un lanzamiento sólido de un lanzamiento frágil. La calidad de la primera experiencia de los 10 founders determina la calidad de todo lo que viene después.</w:t>
            </w:r>
          </w:p>
        </w:tc>
      </w:tr>
    </w:tbl>
    <w:p>
      <w:pPr>
        <w:spacing w:before="80" w:after="0"/>
      </w:pPr>
      <w:r>
        <w:t xml:space="preserve"/>
      </w:r>
    </w:p>
    <w:p>
      <w:pPr>
        <w:spacing w:before="60" w:after="80"/>
      </w:pPr>
      <w:r>
        <w:rPr>
          <w:rFonts w:ascii="Arial" w:cs="Arial" w:eastAsia="Arial" w:hAnsi="Arial"/>
          <w:color w:val="1C1C1C"/>
          <w:sz w:val="22"/>
          <w:szCs w:val="22"/>
        </w:rPr>
        <w:t xml:space="preserve">Tres principios que gobiernan cada decisión del plan:</w:t>
      </w:r>
    </w:p>
    <w:p>
      <w:pPr>
        <w:spacing w:before="40" w:after="0"/>
      </w:pPr>
      <w:r>
        <w:t xml:space="preserve"/>
      </w:r>
    </w:p>
    <w:p>
      <w:pPr>
        <w:pStyle w:val="ListParagraph"/>
        <w:numPr>
          <w:ilvl w:val="0"/>
          <w:numId w:val="3"/>
        </w:numPr>
        <w:spacing w:before="40" w:after="40"/>
      </w:pPr>
      <w:r>
        <w:rPr>
          <w:rFonts w:ascii="Arial" w:cs="Arial" w:eastAsia="Arial" w:hAnsi="Arial"/>
          <w:b/>
          <w:bCs/>
          <w:color w:val="1C1C1C"/>
          <w:sz w:val="22"/>
          <w:szCs w:val="22"/>
        </w:rPr>
        <w:t xml:space="preserve">Primero el diseño, después el código. Ninguna pantalla se desarrolla sin estar diseñada, aprobada y documentada. El desarrollador recibe requerimientos completos, no ideas sueltas.</w:t>
      </w:r>
    </w:p>
    <w:p>
      <w:pPr>
        <w:pStyle w:val="ListParagraph"/>
        <w:numPr>
          <w:ilvl w:val="0"/>
          <w:numId w:val="3"/>
        </w:numPr>
        <w:spacing w:before="40" w:after="40"/>
      </w:pPr>
      <w:r>
        <w:rPr>
          <w:rFonts w:ascii="Arial" w:cs="Arial" w:eastAsia="Arial" w:hAnsi="Arial"/>
          <w:b/>
          <w:bCs/>
          <w:color w:val="1C1C1C"/>
          <w:sz w:val="22"/>
          <w:szCs w:val="22"/>
        </w:rPr>
        <w:t xml:space="preserve">Cero erogación como principio de arquitectura. Cada componente del plan tiene una versión de costo cero o costo mínimo. No se gasta antes de validar.</w:t>
      </w:r>
    </w:p>
    <w:p>
      <w:pPr>
        <w:pStyle w:val="ListParagraph"/>
        <w:numPr>
          <w:ilvl w:val="0"/>
          <w:numId w:val="3"/>
        </w:numPr>
        <w:spacing w:before="40" w:after="40"/>
      </w:pPr>
      <w:r>
        <w:rPr>
          <w:rFonts w:ascii="Arial" w:cs="Arial" w:eastAsia="Arial" w:hAnsi="Arial"/>
          <w:b/>
          <w:bCs/>
          <w:color w:val="1C1C1C"/>
          <w:sz w:val="22"/>
          <w:szCs w:val="22"/>
        </w:rPr>
        <w:t xml:space="preserve">El sandbox es la validación, no la demostración. Los 10 founders no son el público de un lanzamiento — son los co-creadores del producto. Su feedback tiene más valor que cualquier análisis previo.</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Mapa de Hitos 2026</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1–2 · Abril</w:t>
            </w:r>
          </w:p>
        </w:tc>
        <w:tc>
          <w:tcPr>
            <w:tcW w:type="dxa" w:w="7560"/>
            <w:tcBorders>
              <w:top w:val="single" w:color="1B3A5C" w:sz="1"/>
              <w:left w:val="single" w:color="1B3A5C" w:sz="1"/>
              <w:bottom w:val="single" w:color="1B3A5C" w:sz="1"/>
              <w:right w:val="single" w:color="1B3A5C"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Diseño completo de la app: flujos, pantallas, funcionalidades por nivel. Documento de mockups iniciado.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 3–4 · Abril</w:t>
            </w:r>
          </w:p>
        </w:tc>
        <w:tc>
          <w:tcPr>
            <w:tcW w:type="dxa" w:w="7560"/>
            <w:tcBorders>
              <w:top w:val="single" w:color="1B3A5C" w:sz="1"/>
              <w:left w:val="single" w:color="1B3A5C" w:sz="1"/>
              <w:bottom w:val="single" w:color="1B3A5C" w:sz="1"/>
              <w:right w:val="single" w:color="1B3A5C"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Documento de requerimientos técnicos completo entregado al desarrollador. Inicio del desarrollo del MVP.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Mayo · Semana 1–3</w:t>
            </w:r>
          </w:p>
        </w:tc>
        <w:tc>
          <w:tcPr>
            <w:tcW w:type="dxa" w:w="7560"/>
            <w:tcBorders>
              <w:top w:val="single" w:color="1A5276" w:sz="1"/>
              <w:left w:val="single" w:color="1A5276" w:sz="1"/>
              <w:bottom w:val="single" w:color="1A5276" w:sz="1"/>
              <w:right w:val="single" w:color="1A5276"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Desarrollo del MVP en curso. Documento de mockups finalizado. Preparación del material de onboarding para founders.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Mayo · Última semana</w:t>
            </w:r>
          </w:p>
        </w:tc>
        <w:tc>
          <w:tcPr>
            <w:tcW w:type="dxa" w:w="7560"/>
            <w:tcBorders>
              <w:top w:val="single" w:color="1A5276" w:sz="1"/>
              <w:left w:val="single" w:color="1A5276" w:sz="1"/>
              <w:bottom w:val="single" w:color="1A5276" w:sz="1"/>
              <w:right w:val="single" w:color="1A5276"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MVP funcional listo para testeo interno. Revisión y ajustes antes de los founders.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Junio · Semana 1 ✦ HITO PRINCIPAL</w:t>
            </w:r>
          </w:p>
        </w:tc>
        <w:tc>
          <w:tcPr>
            <w:tcW w:type="dxa" w:w="7560"/>
            <w:tcBorders>
              <w:top w:val="single" w:color="1A7A4A" w:sz="1"/>
              <w:left w:val="single" w:color="1A7A4A" w:sz="1"/>
              <w:bottom w:val="single" w:color="1A7A4A" w:sz="1"/>
              <w:right w:val="single" w:color="1A7A4A"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Primer contacto con los 10 founders. Invitación al sandbox con producto funcionando.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Junio · Semana 2</w:t>
            </w:r>
          </w:p>
        </w:tc>
        <w:tc>
          <w:tcPr>
            <w:tcW w:type="dxa" w:w="7560"/>
            <w:tcBorders>
              <w:top w:val="single" w:color="1A7A4A" w:sz="1"/>
              <w:left w:val="single" w:color="1A7A4A" w:sz="1"/>
              <w:bottom w:val="single" w:color="1A7A4A" w:sz="1"/>
              <w:right w:val="single" w:color="1A7A4A"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Primer encuentro presencial con los 10 founders. Onboarding. Inicio del período beta de 6 meses.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Julio</w:t>
            </w:r>
          </w:p>
        </w:tc>
        <w:tc>
          <w:tcPr>
            <w:tcW w:type="dxa" w:w="7560"/>
            <w:tcBorders>
              <w:top w:val="single" w:color="D35400" w:sz="1"/>
              <w:left w:val="single" w:color="D35400" w:sz="1"/>
              <w:bottom w:val="single" w:color="D35400" w:sz="1"/>
              <w:right w:val="single" w:color="D35400"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Activación del segundo anillo: 50 ex-miembros invitados a Nivel 1. Primeros ingresos de membresía.</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Agosto</w:t>
            </w:r>
          </w:p>
        </w:tc>
        <w:tc>
          <w:tcPr>
            <w:tcW w:type="dxa" w:w="7560"/>
            <w:tcBorders>
              <w:top w:val="single" w:color="D35400" w:sz="1"/>
              <w:left w:val="single" w:color="D35400" w:sz="1"/>
              <w:bottom w:val="single" w:color="D35400" w:sz="1"/>
              <w:right w:val="single" w:color="D35400"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Evaluación de los primeros 90 días de sandbox. Decisión de ajuste de precio o modelo según indicadores.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Septiembre</w:t>
            </w:r>
          </w:p>
        </w:tc>
        <w:tc>
          <w:tcPr>
            <w:tcW w:type="dxa" w:w="7560"/>
            <w:tcBorders>
              <w:top w:val="single" w:color="C0392B" w:sz="1"/>
              <w:left w:val="single" w:color="C0392B" w:sz="1"/>
              <w:bottom w:val="single" w:color="C0392B" w:sz="1"/>
              <w:right w:val="single" w:color="C0392B"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Apertura al mercado provincial ampliado. Anuncio público del ecosistema. Primeros after offices con presentación de la app.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Octubre–Noviembre</w:t>
            </w:r>
          </w:p>
        </w:tc>
        <w:tc>
          <w:tcPr>
            <w:tcW w:type="dxa" w:w="7560"/>
            <w:tcBorders>
              <w:top w:val="single" w:color="C0392B" w:sz="1"/>
              <w:left w:val="single" w:color="C0392B" w:sz="1"/>
              <w:bottom w:val="single" w:color="C0392B" w:sz="1"/>
              <w:right w:val="single" w:color="C0392B"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Escalado al mercado nacional. Primeras conversaciones de expansión internacional.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Diciembre · Cierre de año</w:t>
            </w:r>
          </w:p>
        </w:tc>
        <w:tc>
          <w:tcPr>
            <w:tcW w:type="dxa" w:w="7560"/>
            <w:tcBorders>
              <w:top w:val="single" w:color="7D3C98" w:sz="1"/>
              <w:left w:val="single" w:color="7D3C98" w:sz="1"/>
              <w:bottom w:val="single" w:color="7D3C98" w:sz="1"/>
              <w:right w:val="single" w:color="7D3C98" w:sz="1"/>
            </w:tcBorders>
            <w:shd w:fill="F8F9FA" w:val="clear"/>
            <w:tcMar>
              <w:top w:type="dxa" w:w="80"/>
              <w:left w:type="dxa" w:w="200"/>
              <w:bottom w:type="dxa" w:w="80"/>
              <w:right w:type="dxa" w:w="160"/>
            </w:tcMar>
          </w:tcPr>
          <w:p>
            <w:r>
              <w:rPr>
                <w:rFonts w:ascii="Arial" w:cs="Arial" w:eastAsia="Arial" w:hAnsi="Arial"/>
                <w:color w:val="1C1C1C"/>
                <w:sz w:val="21"/>
                <w:szCs w:val="21"/>
              </w:rPr>
              <w:t xml:space="preserve">Evaluación completa del año. Decisión de precio internacional definitivo. Plan 2027.</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Fase 1 — Diseño y Preparación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F1</w:t>
            </w:r>
          </w:p>
        </w:tc>
        <w:tc>
          <w:tcPr>
            <w:tcW w:type="dxa" w:w="5760"/>
            <w:tcBorders>
              <w:top w:val="single" w:color="1B3A5C" w:sz="1"/>
              <w:left w:val="single" w:color="1B3A5C" w:sz="1"/>
              <w:bottom w:val="single" w:color="1B3A5C" w:sz="1"/>
              <w:right w:val="single" w:color="1B3A5C" w:sz="1"/>
            </w:tcBorders>
            <w:shd w:fill="F8F9FA" w:val="clear"/>
            <w:tcMar>
              <w:top w:type="dxa" w:w="120"/>
              <w:left w:type="dxa" w:w="200"/>
              <w:bottom w:type="dxa" w:w="120"/>
              <w:right w:type="dxa" w:w="160"/>
            </w:tcMar>
            <w:vAlign w:val="center"/>
          </w:tcPr>
          <w:p>
            <w:r>
              <w:rPr>
                <w:rFonts w:ascii="Arial" w:cs="Arial" w:eastAsia="Arial" w:hAnsi="Arial"/>
                <w:b/>
                <w:bCs/>
                <w:color w:val="1B3A5C"/>
                <w:sz w:val="28"/>
                <w:szCs w:val="28"/>
              </w:rPr>
              <w:t xml:space="preserve">Diseño y Preparación</w:t>
            </w:r>
          </w:p>
        </w:tc>
        <w:tc>
          <w:tcPr>
            <w:tcW w:type="dxa" w:w="220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Abril — Mayo 2026</w:t>
            </w:r>
          </w:p>
        </w:tc>
      </w:tr>
    </w:tbl>
    <w:p>
      <w:pPr>
        <w:spacing w:before="80" w:after="0"/>
      </w:pPr>
      <w:r>
        <w:t xml:space="preserve"/>
      </w:r>
    </w:p>
    <w:p>
      <w:pPr>
        <w:spacing w:before="60" w:after="80"/>
      </w:pPr>
      <w:r>
        <w:rPr>
          <w:rFonts w:ascii="Arial" w:cs="Arial" w:eastAsia="Arial" w:hAnsi="Arial"/>
          <w:color w:val="1C1C1C"/>
          <w:sz w:val="22"/>
          <w:szCs w:val="22"/>
        </w:rPr>
        <w:t xml:space="preserve">El foco exclusivo de esta fase es tener el producto diseñado, documentado y en manos del desarrollador antes de que termine abril. Mayo se usa para el desarrollo y los ajustes previos al sandbox. Ninguna acción de audiencia ocurre en esta fase — la energía va al producto.</w:t>
      </w:r>
    </w:p>
    <w:p>
      <w:pPr>
        <w:spacing w:before="80" w:after="0"/>
      </w:pPr>
      <w:r>
        <w:t xml:space="preserve"/>
      </w:r>
    </w:p>
    <w:p>
      <w:pPr>
        <w:spacing w:before="200" w:after="60"/>
      </w:pPr>
      <w:r>
        <w:rPr>
          <w:rFonts w:ascii="Arial" w:cs="Arial" w:eastAsia="Arial" w:hAnsi="Arial"/>
          <w:b/>
          <w:bCs/>
          <w:color w:val="1B3A5C"/>
          <w:sz w:val="24"/>
          <w:szCs w:val="24"/>
        </w:rPr>
        <w:t xml:space="preserve">ABRIL — Semana 1 y 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S1</w:t>
            </w:r>
          </w:p>
        </w:tc>
        <w:tc>
          <w:tcPr>
            <w:tcW w:type="dxa" w:w="8360"/>
            <w:tcBorders>
              <w:top w:val="single" w:color="1B3A5C" w:sz="1"/>
              <w:left w:val="single" w:color="1B3A5C" w:sz="1"/>
              <w:bottom w:val="single" w:color="1B3A5C" w:sz="1"/>
              <w:right w:val="single" w:color="1B3A5C" w:sz="1"/>
            </w:tcBorders>
            <w:shd w:fill="F0F4F8" w:val="clear"/>
            <w:tcMar>
              <w:top w:type="dxa" w:w="80"/>
              <w:left w:type="dxa" w:w="200"/>
              <w:bottom w:type="dxa" w:w="80"/>
              <w:right w:type="dxa" w:w="160"/>
            </w:tcMar>
          </w:tcPr>
          <w:p>
            <w:r>
              <w:rPr>
                <w:rFonts w:ascii="Arial" w:cs="Arial" w:eastAsia="Arial" w:hAnsi="Arial"/>
                <w:b/>
                <w:bCs/>
                <w:color w:val="1B3A5C"/>
                <w:sz w:val="23"/>
                <w:szCs w:val="23"/>
              </w:rPr>
              <w:t xml:space="preserve">Diseño de la experiencia de usuario — Documento 3</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Mapear cada pantalla de la app: qué ve el usuario en cada nivel (N0, N1, N2)</w:t>
            </w:r>
          </w:p>
          <w:p>
            <w:pPr>
              <w:pStyle w:val="ListParagraph"/>
              <w:numPr>
                <w:ilvl w:val="0"/>
                <w:numId w:val="3"/>
              </w:numPr>
              <w:spacing w:before="30" w:after="30"/>
            </w:pPr>
            <w:r>
              <w:rPr>
                <w:rFonts w:ascii="Arial" w:cs="Arial" w:eastAsia="Arial" w:hAnsi="Arial"/>
                <w:color w:val="1C1C1C"/>
                <w:sz w:val="20"/>
                <w:szCs w:val="20"/>
              </w:rPr>
              <w:t xml:space="preserve">Definir los flujos de navegación: cómo se mueve el usuario de una sección a otra</w:t>
            </w:r>
          </w:p>
          <w:p>
            <w:pPr>
              <w:pStyle w:val="ListParagraph"/>
              <w:numPr>
                <w:ilvl w:val="0"/>
                <w:numId w:val="3"/>
              </w:numPr>
              <w:spacing w:before="30" w:after="30"/>
            </w:pPr>
            <w:r>
              <w:rPr>
                <w:rFonts w:ascii="Arial" w:cs="Arial" w:eastAsia="Arial" w:hAnsi="Arial"/>
                <w:color w:val="1C1C1C"/>
                <w:sz w:val="20"/>
                <w:szCs w:val="20"/>
              </w:rPr>
              <w:t xml:space="preserve">Diseñar el onboarding: qué pasa los primeros 5 minutos después de registrarse</w:t>
            </w:r>
          </w:p>
          <w:p>
            <w:pPr>
              <w:pStyle w:val="ListParagraph"/>
              <w:numPr>
                <w:ilvl w:val="0"/>
                <w:numId w:val="3"/>
              </w:numPr>
              <w:spacing w:before="30" w:after="30"/>
            </w:pPr>
            <w:r>
              <w:rPr>
                <w:rFonts w:ascii="Arial" w:cs="Arial" w:eastAsia="Arial" w:hAnsi="Arial"/>
                <w:color w:val="1C1C1C"/>
                <w:sz w:val="20"/>
                <w:szCs w:val="20"/>
              </w:rPr>
              <w:t xml:space="preserve">Definir la experiencia del Muro: cómo se publica, cómo se responde, qué se ve según el nivel</w:t>
            </w:r>
          </w:p>
          <w:p>
            <w:pPr>
              <w:pStyle w:val="ListParagraph"/>
              <w:numPr>
                <w:ilvl w:val="0"/>
                <w:numId w:val="3"/>
              </w:numPr>
              <w:spacing w:before="30" w:after="30"/>
            </w:pPr>
            <w:r>
              <w:rPr>
                <w:rFonts w:ascii="Arial" w:cs="Arial" w:eastAsia="Arial" w:hAnsi="Arial"/>
                <w:color w:val="1C1C1C"/>
                <w:sz w:val="20"/>
                <w:szCs w:val="20"/>
              </w:rPr>
              <w:t xml:space="preserve">Diseñar el Botón de Emergencia: flujo completo desde la solicitud hasta la confirmación</w:t>
            </w:r>
          </w:p>
          <w:p>
            <w:pPr>
              <w:spacing w:before="60" w:after="0"/>
            </w:pPr>
            <w:r>
              <w:rPr>
                <w:rFonts w:ascii="Arial" w:cs="Arial" w:eastAsia="Arial" w:hAnsi="Arial"/>
                <w:b/>
                <w:bCs/>
                <w:color w:val="1A7A4A"/>
                <w:sz w:val="20"/>
                <w:szCs w:val="20"/>
              </w:rPr>
              <w:t xml:space="preserve">✓ Entregable: Borrador del Documento 3 (mockups) completo para revisión interna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S2</w:t>
            </w:r>
          </w:p>
        </w:tc>
        <w:tc>
          <w:tcPr>
            <w:tcW w:type="dxa" w:w="8360"/>
            <w:tcBorders>
              <w:top w:val="single" w:color="1B3A5C" w:sz="1"/>
              <w:left w:val="single" w:color="1B3A5C" w:sz="1"/>
              <w:bottom w:val="single" w:color="1B3A5C" w:sz="1"/>
              <w:right w:val="single" w:color="1B3A5C" w:sz="1"/>
            </w:tcBorders>
            <w:shd w:fill="F0F4F8" w:val="clear"/>
            <w:tcMar>
              <w:top w:type="dxa" w:w="80"/>
              <w:left w:type="dxa" w:w="200"/>
              <w:bottom w:type="dxa" w:w="80"/>
              <w:right w:type="dxa" w:w="160"/>
            </w:tcMar>
          </w:tcPr>
          <w:p>
            <w:r>
              <w:rPr>
                <w:rFonts w:ascii="Arial" w:cs="Arial" w:eastAsia="Arial" w:hAnsi="Arial"/>
                <w:b/>
                <w:bCs/>
                <w:color w:val="1B3A5C"/>
                <w:sz w:val="23"/>
                <w:szCs w:val="23"/>
              </w:rPr>
              <w:t xml:space="preserve">Requerimientos técnicos — Documento 2</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Fundador + revisión socia</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Traducir el diseño de experiencia a requerimientos técnicos precisos</w:t>
            </w:r>
          </w:p>
          <w:p>
            <w:pPr>
              <w:pStyle w:val="ListParagraph"/>
              <w:numPr>
                <w:ilvl w:val="0"/>
                <w:numId w:val="3"/>
              </w:numPr>
              <w:spacing w:before="30" w:after="30"/>
            </w:pPr>
            <w:r>
              <w:rPr>
                <w:rFonts w:ascii="Arial" w:cs="Arial" w:eastAsia="Arial" w:hAnsi="Arial"/>
                <w:color w:val="1C1C1C"/>
                <w:sz w:val="20"/>
                <w:szCs w:val="20"/>
              </w:rPr>
              <w:t xml:space="preserve">Definir el esquema de datos: campos requeridos por tabla (users, posts, replies, events, vip_content)</w:t>
            </w:r>
          </w:p>
          <w:p>
            <w:pPr>
              <w:pStyle w:val="ListParagraph"/>
              <w:numPr>
                <w:ilvl w:val="0"/>
                <w:numId w:val="3"/>
              </w:numPr>
              <w:spacing w:before="30" w:after="30"/>
            </w:pPr>
            <w:r>
              <w:rPr>
                <w:rFonts w:ascii="Arial" w:cs="Arial" w:eastAsia="Arial" w:hAnsi="Arial"/>
                <w:color w:val="1C1C1C"/>
                <w:sz w:val="20"/>
                <w:szCs w:val="20"/>
              </w:rPr>
              <w:t xml:space="preserve">Especificar la matriz de control de acceso por nivel para cada funcionalidad</w:t>
            </w:r>
          </w:p>
          <w:p>
            <w:pPr>
              <w:pStyle w:val="ListParagraph"/>
              <w:numPr>
                <w:ilvl w:val="0"/>
                <w:numId w:val="3"/>
              </w:numPr>
              <w:spacing w:before="30" w:after="30"/>
            </w:pPr>
            <w:r>
              <w:rPr>
                <w:rFonts w:ascii="Arial" w:cs="Arial" w:eastAsia="Arial" w:hAnsi="Arial"/>
                <w:color w:val="1C1C1C"/>
                <w:sz w:val="20"/>
                <w:szCs w:val="20"/>
              </w:rPr>
              <w:t xml:space="preserve">Definir la integración con Tiendup para pagos y gestión de membresías</w:t>
            </w:r>
          </w:p>
          <w:p>
            <w:pPr>
              <w:pStyle w:val="ListParagraph"/>
              <w:numPr>
                <w:ilvl w:val="0"/>
                <w:numId w:val="3"/>
              </w:numPr>
              <w:spacing w:before="30" w:after="30"/>
            </w:pPr>
            <w:r>
              <w:rPr>
                <w:rFonts w:ascii="Arial" w:cs="Arial" w:eastAsia="Arial" w:hAnsi="Arial"/>
                <w:color w:val="1C1C1C"/>
                <w:sz w:val="20"/>
                <w:szCs w:val="20"/>
              </w:rPr>
              <w:t xml:space="preserve">Establecer criterios de aceptación para cada pantalla y funcionalidad</w:t>
            </w:r>
          </w:p>
          <w:p>
            <w:pPr>
              <w:spacing w:before="60" w:after="0"/>
            </w:pPr>
            <w:r>
              <w:rPr>
                <w:rFonts w:ascii="Arial" w:cs="Arial" w:eastAsia="Arial" w:hAnsi="Arial"/>
                <w:b/>
                <w:bCs/>
                <w:color w:val="1A7A4A"/>
                <w:sz w:val="20"/>
                <w:szCs w:val="20"/>
              </w:rPr>
              <w:t xml:space="preserve">✓ Entregable: Documento 2 (requerimientos técnicos) completo y aprobado para entregar al desarrollador</w:t>
            </w:r>
          </w:p>
        </w:tc>
      </w:tr>
    </w:tbl>
    <w:p>
      <w:pPr>
        <w:spacing w:before="80" w:after="0"/>
      </w:pPr>
      <w:r>
        <w:t xml:space="preserve"/>
      </w:r>
    </w:p>
    <w:p>
      <w:pPr>
        <w:spacing w:before="200" w:after="60"/>
      </w:pPr>
      <w:r>
        <w:rPr>
          <w:rFonts w:ascii="Arial" w:cs="Arial" w:eastAsia="Arial" w:hAnsi="Arial"/>
          <w:b/>
          <w:bCs/>
          <w:color w:val="1A5276"/>
          <w:sz w:val="24"/>
          <w:szCs w:val="24"/>
        </w:rPr>
        <w:t xml:space="preserve">ABRIL — Semana 3 y 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S3</w:t>
            </w:r>
          </w:p>
        </w:tc>
        <w:tc>
          <w:tcPr>
            <w:tcW w:type="dxa" w:w="8360"/>
            <w:tcBorders>
              <w:top w:val="single" w:color="1A5276" w:sz="1"/>
              <w:left w:val="single" w:color="1A5276" w:sz="1"/>
              <w:bottom w:val="single" w:color="1A5276" w:sz="1"/>
              <w:right w:val="single" w:color="1A5276" w:sz="1"/>
            </w:tcBorders>
            <w:shd w:fill="F0F4F8" w:val="clear"/>
            <w:tcMar>
              <w:top w:type="dxa" w:w="80"/>
              <w:left w:type="dxa" w:w="200"/>
              <w:bottom w:type="dxa" w:w="80"/>
              <w:right w:type="dxa" w:w="160"/>
            </w:tcMar>
          </w:tcPr>
          <w:p>
            <w:r>
              <w:rPr>
                <w:rFonts w:ascii="Arial" w:cs="Arial" w:eastAsia="Arial" w:hAnsi="Arial"/>
                <w:b/>
                <w:bCs/>
                <w:color w:val="1A5276"/>
                <w:sz w:val="23"/>
                <w:szCs w:val="23"/>
              </w:rPr>
              <w:t xml:space="preserve">Entrega al desarrollador e inicio del desarrollo</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Fundador + Desarrollador</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Reunión de kickoff con el desarrollador: presentación de los documentos 2 y 3</w:t>
            </w:r>
          </w:p>
          <w:p>
            <w:pPr>
              <w:pStyle w:val="ListParagraph"/>
              <w:numPr>
                <w:ilvl w:val="0"/>
                <w:numId w:val="3"/>
              </w:numPr>
              <w:spacing w:before="30" w:after="30"/>
            </w:pPr>
            <w:r>
              <w:rPr>
                <w:rFonts w:ascii="Arial" w:cs="Arial" w:eastAsia="Arial" w:hAnsi="Arial"/>
                <w:color w:val="1C1C1C"/>
                <w:sz w:val="20"/>
                <w:szCs w:val="20"/>
              </w:rPr>
              <w:t xml:space="preserve">Validación técnica: el desarrollador confirma viabilidad y sugiere ajustes si es necesario</w:t>
            </w:r>
          </w:p>
          <w:p>
            <w:pPr>
              <w:pStyle w:val="ListParagraph"/>
              <w:numPr>
                <w:ilvl w:val="0"/>
                <w:numId w:val="3"/>
              </w:numPr>
              <w:spacing w:before="30" w:after="30"/>
            </w:pPr>
            <w:r>
              <w:rPr>
                <w:rFonts w:ascii="Arial" w:cs="Arial" w:eastAsia="Arial" w:hAnsi="Arial"/>
                <w:color w:val="1C1C1C"/>
                <w:sz w:val="20"/>
                <w:szCs w:val="20"/>
              </w:rPr>
              <w:t xml:space="preserve">Acuerdo de entregables parciales: qué estará listo en cada semana de desarrollo</w:t>
            </w:r>
          </w:p>
          <w:p>
            <w:pPr>
              <w:pStyle w:val="ListParagraph"/>
              <w:numPr>
                <w:ilvl w:val="0"/>
                <w:numId w:val="3"/>
              </w:numPr>
              <w:spacing w:before="30" w:after="30"/>
            </w:pPr>
            <w:r>
              <w:rPr>
                <w:rFonts w:ascii="Arial" w:cs="Arial" w:eastAsia="Arial" w:hAnsi="Arial"/>
                <w:color w:val="1C1C1C"/>
                <w:sz w:val="20"/>
                <w:szCs w:val="20"/>
              </w:rPr>
              <w:t xml:space="preserve">Inicio del desarrollo del MVP — pantallas críticas primero: login + control de acceso + Muro</w:t>
            </w:r>
          </w:p>
          <w:p>
            <w:pPr>
              <w:pStyle w:val="ListParagraph"/>
              <w:numPr>
                <w:ilvl w:val="0"/>
                <w:numId w:val="3"/>
              </w:numPr>
              <w:spacing w:before="30" w:after="30"/>
            </w:pPr>
            <w:r>
              <w:rPr>
                <w:rFonts w:ascii="Arial" w:cs="Arial" w:eastAsia="Arial" w:hAnsi="Arial"/>
                <w:color w:val="1C1C1C"/>
                <w:sz w:val="20"/>
                <w:szCs w:val="20"/>
              </w:rPr>
              <w:t xml:space="preserve">Apertura del canal de comunicación diario con el desarrollador (WhatsApp o similar)</w:t>
            </w:r>
          </w:p>
          <w:p>
            <w:pPr>
              <w:spacing w:before="60" w:after="0"/>
            </w:pPr>
            <w:r>
              <w:rPr>
                <w:rFonts w:ascii="Arial" w:cs="Arial" w:eastAsia="Arial" w:hAnsi="Arial"/>
                <w:b/>
                <w:bCs/>
                <w:color w:val="1A7A4A"/>
                <w:sz w:val="20"/>
                <w:szCs w:val="20"/>
              </w:rPr>
              <w:t xml:space="preserve">✓ Entregable: Desarrollo iniciado con roadmap semanal acordado y por escrito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S4</w:t>
            </w:r>
          </w:p>
        </w:tc>
        <w:tc>
          <w:tcPr>
            <w:tcW w:type="dxa" w:w="8360"/>
            <w:tcBorders>
              <w:top w:val="single" w:color="1A5276" w:sz="1"/>
              <w:left w:val="single" w:color="1A5276" w:sz="1"/>
              <w:bottom w:val="single" w:color="1A5276" w:sz="1"/>
              <w:right w:val="single" w:color="1A5276" w:sz="1"/>
            </w:tcBorders>
            <w:shd w:fill="F0F4F8" w:val="clear"/>
            <w:tcMar>
              <w:top w:type="dxa" w:w="80"/>
              <w:left w:type="dxa" w:w="200"/>
              <w:bottom w:type="dxa" w:w="80"/>
              <w:right w:type="dxa" w:w="160"/>
            </w:tcMar>
          </w:tcPr>
          <w:p>
            <w:r>
              <w:rPr>
                <w:rFonts w:ascii="Arial" w:cs="Arial" w:eastAsia="Arial" w:hAnsi="Arial"/>
                <w:b/>
                <w:bCs/>
                <w:color w:val="1A5276"/>
                <w:sz w:val="23"/>
                <w:szCs w:val="23"/>
              </w:rPr>
              <w:t xml:space="preserve">Documentación operativa del ecosistema</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Escribir el protocolo de onboarding del primer miembro (checklist de 10 pasos)</w:t>
            </w:r>
          </w:p>
          <w:p>
            <w:pPr>
              <w:pStyle w:val="ListParagraph"/>
              <w:numPr>
                <w:ilvl w:val="0"/>
                <w:numId w:val="3"/>
              </w:numPr>
              <w:spacing w:before="30" w:after="30"/>
            </w:pPr>
            <w:r>
              <w:rPr>
                <w:rFonts w:ascii="Arial" w:cs="Arial" w:eastAsia="Arial" w:hAnsi="Arial"/>
                <w:color w:val="1C1C1C"/>
                <w:sz w:val="20"/>
                <w:szCs w:val="20"/>
              </w:rPr>
              <w:t xml:space="preserve">Definir las reglas del sandbox por escrito: qué reciben los founders, qué se espera de ellos, qué pasa al mes 6</w:t>
            </w:r>
          </w:p>
          <w:p>
            <w:pPr>
              <w:pStyle w:val="ListParagraph"/>
              <w:numPr>
                <w:ilvl w:val="0"/>
                <w:numId w:val="3"/>
              </w:numPr>
              <w:spacing w:before="30" w:after="30"/>
            </w:pPr>
            <w:r>
              <w:rPr>
                <w:rFonts w:ascii="Arial" w:cs="Arial" w:eastAsia="Arial" w:hAnsi="Arial"/>
                <w:color w:val="1C1C1C"/>
                <w:sz w:val="20"/>
                <w:szCs w:val="20"/>
              </w:rPr>
              <w:t xml:space="preserve">Documentar el protocolo del Botón de Emergencia: solicitud, confirmación, duración, derivación a asesor</w:t>
            </w:r>
          </w:p>
          <w:p>
            <w:pPr>
              <w:pStyle w:val="ListParagraph"/>
              <w:numPr>
                <w:ilvl w:val="0"/>
                <w:numId w:val="3"/>
              </w:numPr>
              <w:spacing w:before="30" w:after="30"/>
            </w:pPr>
            <w:r>
              <w:rPr>
                <w:rFonts w:ascii="Arial" w:cs="Arial" w:eastAsia="Arial" w:hAnsi="Arial"/>
                <w:color w:val="1C1C1C"/>
                <w:sz w:val="20"/>
                <w:szCs w:val="20"/>
              </w:rPr>
              <w:t xml:space="preserve">Preparar el material de presentación para el primer encuentro presencial con founders</w:t>
            </w:r>
          </w:p>
          <w:p>
            <w:pPr>
              <w:pStyle w:val="ListParagraph"/>
              <w:numPr>
                <w:ilvl w:val="0"/>
                <w:numId w:val="3"/>
              </w:numPr>
              <w:spacing w:before="30" w:after="30"/>
            </w:pPr>
            <w:r>
              <w:rPr>
                <w:rFonts w:ascii="Arial" w:cs="Arial" w:eastAsia="Arial" w:hAnsi="Arial"/>
                <w:color w:val="1C1C1C"/>
                <w:sz w:val="20"/>
                <w:szCs w:val="20"/>
              </w:rPr>
              <w:t xml:space="preserve">Definir el calendario de contenido del primer mes del sandbox</w:t>
            </w:r>
          </w:p>
          <w:p>
            <w:pPr>
              <w:spacing w:before="60" w:after="0"/>
            </w:pPr>
            <w:r>
              <w:rPr>
                <w:rFonts w:ascii="Arial" w:cs="Arial" w:eastAsia="Arial" w:hAnsi="Arial"/>
                <w:b/>
                <w:bCs/>
                <w:color w:val="1A7A4A"/>
                <w:sz w:val="20"/>
                <w:szCs w:val="20"/>
              </w:rPr>
              <w:t xml:space="preserve">✓ Entregable: 5 procesos core documentados + material de founders listo</w:t>
            </w:r>
          </w:p>
        </w:tc>
      </w:tr>
    </w:tbl>
    <w:p>
      <w:pPr>
        <w:spacing w:before="80" w:after="0"/>
      </w:pPr>
      <w:r>
        <w:t xml:space="preserve"/>
      </w:r>
    </w:p>
    <w:p>
      <w:pPr>
        <w:spacing w:before="200" w:after="60"/>
      </w:pPr>
      <w:r>
        <w:rPr>
          <w:rFonts w:ascii="Arial" w:cs="Arial" w:eastAsia="Arial" w:hAnsi="Arial"/>
          <w:b/>
          <w:bCs/>
          <w:color w:val="D35400"/>
          <w:sz w:val="24"/>
          <w:szCs w:val="24"/>
        </w:rPr>
        <w:t xml:space="preserve">MAYO — Semanas 1 a 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S5-S6</w:t>
            </w:r>
          </w:p>
        </w:tc>
        <w:tc>
          <w:tcPr>
            <w:tcW w:type="dxa" w:w="8360"/>
            <w:tcBorders>
              <w:top w:val="single" w:color="D35400" w:sz="1"/>
              <w:left w:val="single" w:color="D35400" w:sz="1"/>
              <w:bottom w:val="single" w:color="D35400" w:sz="1"/>
              <w:right w:val="single" w:color="D35400" w:sz="1"/>
            </w:tcBorders>
            <w:shd w:fill="F0F4F8" w:val="clear"/>
            <w:tcMar>
              <w:top w:type="dxa" w:w="80"/>
              <w:left w:type="dxa" w:w="200"/>
              <w:bottom w:type="dxa" w:w="80"/>
              <w:right w:type="dxa" w:w="160"/>
            </w:tcMar>
          </w:tcPr>
          <w:p>
            <w:r>
              <w:rPr>
                <w:rFonts w:ascii="Arial" w:cs="Arial" w:eastAsia="Arial" w:hAnsi="Arial"/>
                <w:b/>
                <w:bCs/>
                <w:color w:val="D35400"/>
                <w:sz w:val="23"/>
                <w:szCs w:val="23"/>
              </w:rPr>
              <w:t xml:space="preserve">Desarrollo del MVP — seguimiento y feedback</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Fundador + Desarrollador</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Revisión semanal del avance del desarrollo con el desarrollador</w:t>
            </w:r>
          </w:p>
          <w:p>
            <w:pPr>
              <w:pStyle w:val="ListParagraph"/>
              <w:numPr>
                <w:ilvl w:val="0"/>
                <w:numId w:val="3"/>
              </w:numPr>
              <w:spacing w:before="30" w:after="30"/>
            </w:pPr>
            <w:r>
              <w:rPr>
                <w:rFonts w:ascii="Arial" w:cs="Arial" w:eastAsia="Arial" w:hAnsi="Arial"/>
                <w:color w:val="1C1C1C"/>
                <w:sz w:val="20"/>
                <w:szCs w:val="20"/>
              </w:rPr>
              <w:t xml:space="preserve">Testeo interno de cada pantalla a medida que se completa</w:t>
            </w:r>
          </w:p>
          <w:p>
            <w:pPr>
              <w:pStyle w:val="ListParagraph"/>
              <w:numPr>
                <w:ilvl w:val="0"/>
                <w:numId w:val="3"/>
              </w:numPr>
              <w:spacing w:before="30" w:after="30"/>
            </w:pPr>
            <w:r>
              <w:rPr>
                <w:rFonts w:ascii="Arial" w:cs="Arial" w:eastAsia="Arial" w:hAnsi="Arial"/>
                <w:color w:val="1C1C1C"/>
                <w:sz w:val="20"/>
                <w:szCs w:val="20"/>
              </w:rPr>
              <w:t xml:space="preserve">Ajustes y correcciones antes de continuar con la siguiente pantalla</w:t>
            </w:r>
          </w:p>
          <w:p>
            <w:pPr>
              <w:pStyle w:val="ListParagraph"/>
              <w:numPr>
                <w:ilvl w:val="0"/>
                <w:numId w:val="3"/>
              </w:numPr>
              <w:spacing w:before="30" w:after="30"/>
            </w:pPr>
            <w:r>
              <w:rPr>
                <w:rFonts w:ascii="Arial" w:cs="Arial" w:eastAsia="Arial" w:hAnsi="Arial"/>
                <w:color w:val="1C1C1C"/>
                <w:sz w:val="20"/>
                <w:szCs w:val="20"/>
              </w:rPr>
              <w:t xml:space="preserve">Validación de la matriz de control de acceso: que N0, N1 y N2 vean lo correcto</w:t>
            </w:r>
          </w:p>
          <w:p>
            <w:pPr>
              <w:pStyle w:val="ListParagraph"/>
              <w:numPr>
                <w:ilvl w:val="0"/>
                <w:numId w:val="3"/>
              </w:numPr>
              <w:spacing w:before="30" w:after="30"/>
            </w:pPr>
            <w:r>
              <w:rPr>
                <w:rFonts w:ascii="Arial" w:cs="Arial" w:eastAsia="Arial" w:hAnsi="Arial"/>
                <w:color w:val="1C1C1C"/>
                <w:sz w:val="20"/>
                <w:szCs w:val="20"/>
              </w:rPr>
              <w:t xml:space="preserve">Testeo del flujo completo de registro → onboarding → uso del Muro</w:t>
            </w:r>
          </w:p>
          <w:p>
            <w:pPr>
              <w:spacing w:before="60" w:after="0"/>
            </w:pPr>
            <w:r>
              <w:rPr>
                <w:rFonts w:ascii="Arial" w:cs="Arial" w:eastAsia="Arial" w:hAnsi="Arial"/>
                <w:b/>
                <w:bCs/>
                <w:color w:val="1A7A4A"/>
                <w:sz w:val="20"/>
                <w:szCs w:val="20"/>
              </w:rPr>
              <w:t xml:space="preserve">✓ Entregable: MVP Fase 1 (login + Muro + Directorio) funcional y testeado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S7-S8</w:t>
            </w:r>
          </w:p>
        </w:tc>
        <w:tc>
          <w:tcPr>
            <w:tcW w:type="dxa" w:w="8360"/>
            <w:tcBorders>
              <w:top w:val="single" w:color="D35400" w:sz="1"/>
              <w:left w:val="single" w:color="D35400" w:sz="1"/>
              <w:bottom w:val="single" w:color="D35400" w:sz="1"/>
              <w:right w:val="single" w:color="D35400" w:sz="1"/>
            </w:tcBorders>
            <w:shd w:fill="F0F4F8" w:val="clear"/>
            <w:tcMar>
              <w:top w:type="dxa" w:w="80"/>
              <w:left w:type="dxa" w:w="200"/>
              <w:bottom w:type="dxa" w:w="80"/>
              <w:right w:type="dxa" w:w="160"/>
            </w:tcMar>
          </w:tcPr>
          <w:p>
            <w:r>
              <w:rPr>
                <w:rFonts w:ascii="Arial" w:cs="Arial" w:eastAsia="Arial" w:hAnsi="Arial"/>
                <w:b/>
                <w:bCs/>
                <w:color w:val="D35400"/>
                <w:sz w:val="23"/>
                <w:szCs w:val="23"/>
              </w:rPr>
              <w:t xml:space="preserve">Preparación del lanzamiento sandbox</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Testeo completo del MVP con ambos socios como usuarios reales</w:t>
            </w:r>
          </w:p>
          <w:p>
            <w:pPr>
              <w:pStyle w:val="ListParagraph"/>
              <w:numPr>
                <w:ilvl w:val="0"/>
                <w:numId w:val="3"/>
              </w:numPr>
              <w:spacing w:before="30" w:after="30"/>
            </w:pPr>
            <w:r>
              <w:rPr>
                <w:rFonts w:ascii="Arial" w:cs="Arial" w:eastAsia="Arial" w:hAnsi="Arial"/>
                <w:color w:val="1C1C1C"/>
                <w:sz w:val="20"/>
                <w:szCs w:val="20"/>
              </w:rPr>
              <w:t xml:space="preserve">Correcciones finales antes de la entrega a founders</w:t>
            </w:r>
          </w:p>
          <w:p>
            <w:pPr>
              <w:pStyle w:val="ListParagraph"/>
              <w:numPr>
                <w:ilvl w:val="0"/>
                <w:numId w:val="3"/>
              </w:numPr>
              <w:spacing w:before="30" w:after="30"/>
            </w:pPr>
            <w:r>
              <w:rPr>
                <w:rFonts w:ascii="Arial" w:cs="Arial" w:eastAsia="Arial" w:hAnsi="Arial"/>
                <w:color w:val="1C1C1C"/>
                <w:sz w:val="20"/>
                <w:szCs w:val="20"/>
              </w:rPr>
              <w:t xml:space="preserve">Preparar la comunicación de invitación a cada founder (mensaje personalizado, no masivo)</w:t>
            </w:r>
          </w:p>
          <w:p>
            <w:pPr>
              <w:pStyle w:val="ListParagraph"/>
              <w:numPr>
                <w:ilvl w:val="0"/>
                <w:numId w:val="3"/>
              </w:numPr>
              <w:spacing w:before="30" w:after="30"/>
            </w:pPr>
            <w:r>
              <w:rPr>
                <w:rFonts w:ascii="Arial" w:cs="Arial" w:eastAsia="Arial" w:hAnsi="Arial"/>
                <w:color w:val="1C1C1C"/>
                <w:sz w:val="20"/>
                <w:szCs w:val="20"/>
              </w:rPr>
              <w:t xml:space="preserve">Organizar la logística del primer encuentro presencial de junio</w:t>
            </w:r>
          </w:p>
          <w:p>
            <w:pPr>
              <w:pStyle w:val="ListParagraph"/>
              <w:numPr>
                <w:ilvl w:val="0"/>
                <w:numId w:val="3"/>
              </w:numPr>
              <w:spacing w:before="30" w:after="30"/>
            </w:pPr>
            <w:r>
              <w:rPr>
                <w:rFonts w:ascii="Arial" w:cs="Arial" w:eastAsia="Arial" w:hAnsi="Arial"/>
                <w:color w:val="1C1C1C"/>
                <w:sz w:val="20"/>
                <w:szCs w:val="20"/>
              </w:rPr>
              <w:t xml:space="preserve">Preparar el stack de contingencia como respaldo: WhatsApp por nivel + Drive compartido</w:t>
            </w:r>
          </w:p>
          <w:p>
            <w:pPr>
              <w:spacing w:before="60" w:after="0"/>
            </w:pPr>
            <w:r>
              <w:rPr>
                <w:rFonts w:ascii="Arial" w:cs="Arial" w:eastAsia="Arial" w:hAnsi="Arial"/>
                <w:b/>
                <w:bCs/>
                <w:color w:val="1A7A4A"/>
                <w:sz w:val="20"/>
                <w:szCs w:val="20"/>
              </w:rPr>
              <w:t xml:space="preserve">✓ Entregable: App lista para founders + encuentro presencial organizado + invitaciones redactadas</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Fase 2 — Desarrollo del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1A7A4A" w:sz="1"/>
              <w:left w:val="single" w:color="1A7A4A" w:sz="1"/>
              <w:bottom w:val="single" w:color="1A7A4A" w:sz="1"/>
              <w:right w:val="single" w:color="1A7A4A" w:sz="1"/>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F2</w:t>
            </w:r>
          </w:p>
        </w:tc>
        <w:tc>
          <w:tcPr>
            <w:tcW w:type="dxa" w:w="5760"/>
            <w:tcBorders>
              <w:top w:val="single" w:color="1A7A4A" w:sz="1"/>
              <w:left w:val="single" w:color="1A7A4A" w:sz="1"/>
              <w:bottom w:val="single" w:color="1A7A4A" w:sz="1"/>
              <w:right w:val="single" w:color="1A7A4A" w:sz="1"/>
            </w:tcBorders>
            <w:shd w:fill="F8F9FA" w:val="clear"/>
            <w:tcMar>
              <w:top w:type="dxa" w:w="120"/>
              <w:left w:type="dxa" w:w="200"/>
              <w:bottom w:type="dxa" w:w="120"/>
              <w:right w:type="dxa" w:w="160"/>
            </w:tcMar>
            <w:vAlign w:val="center"/>
          </w:tcPr>
          <w:p>
            <w:r>
              <w:rPr>
                <w:rFonts w:ascii="Arial" w:cs="Arial" w:eastAsia="Arial" w:hAnsi="Arial"/>
                <w:b/>
                <w:bCs/>
                <w:color w:val="1A7A4A"/>
                <w:sz w:val="28"/>
                <w:szCs w:val="28"/>
              </w:rPr>
              <w:t xml:space="preserve">Sandbox con Founders</w:t>
            </w:r>
          </w:p>
        </w:tc>
        <w:tc>
          <w:tcPr>
            <w:tcW w:type="dxa" w:w="2200"/>
            <w:tcBorders>
              <w:top w:val="single" w:color="1A7A4A" w:sz="1"/>
              <w:left w:val="single" w:color="1A7A4A" w:sz="1"/>
              <w:bottom w:val="single" w:color="1A7A4A" w:sz="1"/>
              <w:right w:val="single" w:color="1A7A4A" w:sz="1"/>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Junio — Agosto 2026</w:t>
            </w:r>
          </w:p>
        </w:tc>
      </w:tr>
    </w:tbl>
    <w:p>
      <w:pPr>
        <w:spacing w:before="80" w:after="0"/>
      </w:pPr>
      <w:r>
        <w:t xml:space="preserve"/>
      </w:r>
    </w:p>
    <w:p>
      <w:pPr>
        <w:spacing w:before="60" w:after="80"/>
      </w:pPr>
      <w:r>
        <w:rPr>
          <w:rFonts w:ascii="Arial" w:cs="Arial" w:eastAsia="Arial" w:hAnsi="Arial"/>
          <w:color w:val="1C1C1C"/>
          <w:sz w:val="22"/>
          <w:szCs w:val="22"/>
        </w:rPr>
        <w:t xml:space="preserve">Esta fase es la más importante del año. No porque sea la más visible — sino porque es la que valida o invalida todo lo diseñado en la Fase 1. Los 10 founders son el espejo más honesto del producto. Lo que aprendan en estos 90 días define el producto que se escala en la Fase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Junio S1</w:t>
            </w:r>
          </w:p>
        </w:tc>
        <w:tc>
          <w:tcPr>
            <w:tcW w:type="dxa" w:w="8360"/>
            <w:tcBorders>
              <w:top w:val="single" w:color="1A7A4A" w:sz="1"/>
              <w:left w:val="single" w:color="1A7A4A" w:sz="1"/>
              <w:bottom w:val="single" w:color="1A7A4A" w:sz="1"/>
              <w:right w:val="single" w:color="1A7A4A" w:sz="1"/>
            </w:tcBorders>
            <w:shd w:fill="F0F4F8" w:val="clear"/>
            <w:tcMar>
              <w:top w:type="dxa" w:w="80"/>
              <w:left w:type="dxa" w:w="200"/>
              <w:bottom w:type="dxa" w:w="80"/>
              <w:right w:type="dxa" w:w="160"/>
            </w:tcMar>
          </w:tcPr>
          <w:p>
            <w:r>
              <w:rPr>
                <w:rFonts w:ascii="Arial" w:cs="Arial" w:eastAsia="Arial" w:hAnsi="Arial"/>
                <w:b/>
                <w:bCs/>
                <w:color w:val="1A7A4A"/>
                <w:sz w:val="23"/>
                <w:szCs w:val="23"/>
              </w:rPr>
              <w:t xml:space="preserve">Activación de founders — contacto 1 a 1</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Mensaje personalizado a cada uno de los 10 founders — no masivo, conversación individual</w:t>
            </w:r>
          </w:p>
          <w:p>
            <w:pPr>
              <w:pStyle w:val="ListParagraph"/>
              <w:numPr>
                <w:ilvl w:val="0"/>
                <w:numId w:val="3"/>
              </w:numPr>
              <w:spacing w:before="30" w:after="30"/>
            </w:pPr>
            <w:r>
              <w:rPr>
                <w:rFonts w:ascii="Arial" w:cs="Arial" w:eastAsia="Arial" w:hAnsi="Arial"/>
                <w:color w:val="1C1C1C"/>
                <w:sz w:val="20"/>
                <w:szCs w:val="20"/>
              </w:rPr>
              <w:t xml:space="preserve">Explicar el rol de founder: acceso premium gratuito por 6 meses a cambio de feedback y red</w:t>
            </w:r>
          </w:p>
          <w:p>
            <w:pPr>
              <w:pStyle w:val="ListParagraph"/>
              <w:numPr>
                <w:ilvl w:val="0"/>
                <w:numId w:val="3"/>
              </w:numPr>
              <w:spacing w:before="30" w:after="30"/>
            </w:pPr>
            <w:r>
              <w:rPr>
                <w:rFonts w:ascii="Arial" w:cs="Arial" w:eastAsia="Arial" w:hAnsi="Arial"/>
                <w:color w:val="1C1C1C"/>
                <w:sz w:val="20"/>
                <w:szCs w:val="20"/>
              </w:rPr>
              <w:t xml:space="preserve">Confirmar asistencia al primer encuentro presencial</w:t>
            </w:r>
          </w:p>
          <w:p>
            <w:pPr>
              <w:pStyle w:val="ListParagraph"/>
              <w:numPr>
                <w:ilvl w:val="0"/>
                <w:numId w:val="3"/>
              </w:numPr>
              <w:spacing w:before="30" w:after="30"/>
            </w:pPr>
            <w:r>
              <w:rPr>
                <w:rFonts w:ascii="Arial" w:cs="Arial" w:eastAsia="Arial" w:hAnsi="Arial"/>
                <w:color w:val="1C1C1C"/>
                <w:sz w:val="20"/>
                <w:szCs w:val="20"/>
              </w:rPr>
              <w:t xml:space="preserve">Enviar acceso a la app con instrucciones de onboarding</w:t>
            </w:r>
          </w:p>
          <w:p>
            <w:pPr>
              <w:spacing w:before="60" w:after="0"/>
            </w:pPr>
            <w:r>
              <w:rPr>
                <w:rFonts w:ascii="Arial" w:cs="Arial" w:eastAsia="Arial" w:hAnsi="Arial"/>
                <w:b/>
                <w:bCs/>
                <w:color w:val="1A7A4A"/>
                <w:sz w:val="20"/>
                <w:szCs w:val="20"/>
              </w:rPr>
              <w:t xml:space="preserve">✓ Entregable: 10 founders confirmados y con acceso activo a la app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Junio S2</w:t>
            </w:r>
          </w:p>
        </w:tc>
        <w:tc>
          <w:tcPr>
            <w:tcW w:type="dxa" w:w="8360"/>
            <w:tcBorders>
              <w:top w:val="single" w:color="1A7A4A" w:sz="1"/>
              <w:left w:val="single" w:color="1A7A4A" w:sz="1"/>
              <w:bottom w:val="single" w:color="1A7A4A" w:sz="1"/>
              <w:right w:val="single" w:color="1A7A4A" w:sz="1"/>
            </w:tcBorders>
            <w:shd w:fill="F0F4F8" w:val="clear"/>
            <w:tcMar>
              <w:top w:type="dxa" w:w="80"/>
              <w:left w:type="dxa" w:w="200"/>
              <w:bottom w:type="dxa" w:w="80"/>
              <w:right w:type="dxa" w:w="160"/>
            </w:tcMar>
          </w:tcPr>
          <w:p>
            <w:r>
              <w:rPr>
                <w:rFonts w:ascii="Arial" w:cs="Arial" w:eastAsia="Arial" w:hAnsi="Arial"/>
                <w:b/>
                <w:bCs/>
                <w:color w:val="1A7A4A"/>
                <w:sz w:val="23"/>
                <w:szCs w:val="23"/>
              </w:rPr>
              <w:t xml:space="preserve">Primer encuentro presencial con founders</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 + asesores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Reunión presencial con los 10 founders en la ciudad del fundador</w:t>
            </w:r>
          </w:p>
          <w:p>
            <w:pPr>
              <w:pStyle w:val="ListParagraph"/>
              <w:numPr>
                <w:ilvl w:val="0"/>
                <w:numId w:val="3"/>
              </w:numPr>
              <w:spacing w:before="30" w:after="30"/>
            </w:pPr>
            <w:r>
              <w:rPr>
                <w:rFonts w:ascii="Arial" w:cs="Arial" w:eastAsia="Arial" w:hAnsi="Arial"/>
                <w:color w:val="1C1C1C"/>
                <w:sz w:val="20"/>
                <w:szCs w:val="20"/>
              </w:rPr>
              <w:t xml:space="preserve">Presentación del ecosistema completo: los 5 productos + la app como integrador</w:t>
            </w:r>
          </w:p>
          <w:p>
            <w:pPr>
              <w:pStyle w:val="ListParagraph"/>
              <w:numPr>
                <w:ilvl w:val="0"/>
                <w:numId w:val="3"/>
              </w:numPr>
              <w:spacing w:before="30" w:after="30"/>
            </w:pPr>
            <w:r>
              <w:rPr>
                <w:rFonts w:ascii="Arial" w:cs="Arial" w:eastAsia="Arial" w:hAnsi="Arial"/>
                <w:color w:val="1C1C1C"/>
                <w:sz w:val="20"/>
                <w:szCs w:val="20"/>
              </w:rPr>
              <w:t xml:space="preserve">Demo en vivo de la app: cada sección, cada nivel, el Botón de Emergencia</w:t>
            </w:r>
          </w:p>
          <w:p>
            <w:pPr>
              <w:pStyle w:val="ListParagraph"/>
              <w:numPr>
                <w:ilvl w:val="0"/>
                <w:numId w:val="3"/>
              </w:numPr>
              <w:spacing w:before="30" w:after="30"/>
            </w:pPr>
            <w:r>
              <w:rPr>
                <w:rFonts w:ascii="Arial" w:cs="Arial" w:eastAsia="Arial" w:hAnsi="Arial"/>
                <w:color w:val="1C1C1C"/>
                <w:sz w:val="20"/>
                <w:szCs w:val="20"/>
              </w:rPr>
              <w:t xml:space="preserve">Definir con ellos el calendario de actividades del primer mes: webinario, after office, contenido</w:t>
            </w:r>
          </w:p>
          <w:p>
            <w:pPr>
              <w:pStyle w:val="ListParagraph"/>
              <w:numPr>
                <w:ilvl w:val="0"/>
                <w:numId w:val="3"/>
              </w:numPr>
              <w:spacing w:before="30" w:after="30"/>
            </w:pPr>
            <w:r>
              <w:rPr>
                <w:rFonts w:ascii="Arial" w:cs="Arial" w:eastAsia="Arial" w:hAnsi="Arial"/>
                <w:color w:val="1C1C1C"/>
                <w:sz w:val="20"/>
                <w:szCs w:val="20"/>
              </w:rPr>
              <w:t xml:space="preserve">Recoger feedback inmediato: qué les gusta, qué les confunde, qué les falta</w:t>
            </w:r>
          </w:p>
          <w:p>
            <w:pPr>
              <w:spacing w:before="60" w:after="0"/>
            </w:pPr>
            <w:r>
              <w:rPr>
                <w:rFonts w:ascii="Arial" w:cs="Arial" w:eastAsia="Arial" w:hAnsi="Arial"/>
                <w:b/>
                <w:bCs/>
                <w:color w:val="1A7A4A"/>
                <w:sz w:val="20"/>
                <w:szCs w:val="20"/>
              </w:rPr>
              <w:t xml:space="preserve">✓ Entregable: Founders activos y comprometidos. Primeros contenidos en el Muro.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Julio</w:t>
            </w:r>
          </w:p>
        </w:tc>
        <w:tc>
          <w:tcPr>
            <w:tcW w:type="dxa" w:w="8360"/>
            <w:tcBorders>
              <w:top w:val="single" w:color="1A7A4A" w:sz="1"/>
              <w:left w:val="single" w:color="1A7A4A" w:sz="1"/>
              <w:bottom w:val="single" w:color="1A7A4A" w:sz="1"/>
              <w:right w:val="single" w:color="1A7A4A" w:sz="1"/>
            </w:tcBorders>
            <w:shd w:fill="F0F4F8" w:val="clear"/>
            <w:tcMar>
              <w:top w:type="dxa" w:w="80"/>
              <w:left w:type="dxa" w:w="200"/>
              <w:bottom w:type="dxa" w:w="80"/>
              <w:right w:type="dxa" w:w="160"/>
            </w:tcMar>
          </w:tcPr>
          <w:p>
            <w:r>
              <w:rPr>
                <w:rFonts w:ascii="Arial" w:cs="Arial" w:eastAsia="Arial" w:hAnsi="Arial"/>
                <w:b/>
                <w:bCs/>
                <w:color w:val="1A7A4A"/>
                <w:sz w:val="23"/>
                <w:szCs w:val="23"/>
              </w:rPr>
              <w:t xml:space="preserve">Activación del segundo anillo — ex-miembros</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Mensaje directo a los 50 ex-miembros: anuncio del relanzamiento digital</w:t>
            </w:r>
          </w:p>
          <w:p>
            <w:pPr>
              <w:pStyle w:val="ListParagraph"/>
              <w:numPr>
                <w:ilvl w:val="0"/>
                <w:numId w:val="3"/>
              </w:numPr>
              <w:spacing w:before="30" w:after="30"/>
            </w:pPr>
            <w:r>
              <w:rPr>
                <w:rFonts w:ascii="Arial" w:cs="Arial" w:eastAsia="Arial" w:hAnsi="Arial"/>
                <w:color w:val="1C1C1C"/>
                <w:sz w:val="20"/>
                <w:szCs w:val="20"/>
              </w:rPr>
              <w:t xml:space="preserve">Invitación a Nivel 1 Miembro con precio de reingreso diferencial</w:t>
            </w:r>
          </w:p>
          <w:p>
            <w:pPr>
              <w:pStyle w:val="ListParagraph"/>
              <w:numPr>
                <w:ilvl w:val="0"/>
                <w:numId w:val="3"/>
              </w:numPr>
              <w:spacing w:before="30" w:after="30"/>
            </w:pPr>
            <w:r>
              <w:rPr>
                <w:rFonts w:ascii="Arial" w:cs="Arial" w:eastAsia="Arial" w:hAnsi="Arial"/>
                <w:color w:val="1C1C1C"/>
                <w:sz w:val="20"/>
                <w:szCs w:val="20"/>
              </w:rPr>
              <w:t xml:space="preserve">Comunicar que los founders ya están adentro y qué está pasando en la comunidad</w:t>
            </w:r>
          </w:p>
          <w:p>
            <w:pPr>
              <w:pStyle w:val="ListParagraph"/>
              <w:numPr>
                <w:ilvl w:val="0"/>
                <w:numId w:val="3"/>
              </w:numPr>
              <w:spacing w:before="30" w:after="30"/>
            </w:pPr>
            <w:r>
              <w:rPr>
                <w:rFonts w:ascii="Arial" w:cs="Arial" w:eastAsia="Arial" w:hAnsi="Arial"/>
                <w:color w:val="1C1C1C"/>
                <w:sz w:val="20"/>
                <w:szCs w:val="20"/>
              </w:rPr>
              <w:t xml:space="preserve">Primer after office con presentación oficial de la app</w:t>
            </w:r>
          </w:p>
          <w:p>
            <w:pPr>
              <w:pStyle w:val="ListParagraph"/>
              <w:numPr>
                <w:ilvl w:val="0"/>
                <w:numId w:val="3"/>
              </w:numPr>
              <w:spacing w:before="30" w:after="30"/>
            </w:pPr>
            <w:r>
              <w:rPr>
                <w:rFonts w:ascii="Arial" w:cs="Arial" w:eastAsia="Arial" w:hAnsi="Arial"/>
                <w:color w:val="1C1C1C"/>
                <w:sz w:val="20"/>
                <w:szCs w:val="20"/>
              </w:rPr>
              <w:t xml:space="preserve">Apertura de la lista general de WhatsApp al anuncio del relanzamiento</w:t>
            </w:r>
          </w:p>
          <w:p>
            <w:pPr>
              <w:spacing w:before="60" w:after="0"/>
            </w:pPr>
            <w:r>
              <w:rPr>
                <w:rFonts w:ascii="Arial" w:cs="Arial" w:eastAsia="Arial" w:hAnsi="Arial"/>
                <w:b/>
                <w:bCs/>
                <w:color w:val="1A7A4A"/>
                <w:sz w:val="20"/>
                <w:szCs w:val="20"/>
              </w:rPr>
              <w:t xml:space="preserve">✓ Entregable: 15-20 miembros activos entre founders y ex-miembros. Primeros ingresos de membresía.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Agosto</w:t>
            </w:r>
          </w:p>
        </w:tc>
        <w:tc>
          <w:tcPr>
            <w:tcW w:type="dxa" w:w="8360"/>
            <w:tcBorders>
              <w:top w:val="single" w:color="1A7A4A" w:sz="1"/>
              <w:left w:val="single" w:color="1A7A4A" w:sz="1"/>
              <w:bottom w:val="single" w:color="1A7A4A" w:sz="1"/>
              <w:right w:val="single" w:color="1A7A4A" w:sz="1"/>
            </w:tcBorders>
            <w:shd w:fill="F0F4F8" w:val="clear"/>
            <w:tcMar>
              <w:top w:type="dxa" w:w="80"/>
              <w:left w:type="dxa" w:w="200"/>
              <w:bottom w:type="dxa" w:w="80"/>
              <w:right w:type="dxa" w:w="160"/>
            </w:tcMar>
          </w:tcPr>
          <w:p>
            <w:r>
              <w:rPr>
                <w:rFonts w:ascii="Arial" w:cs="Arial" w:eastAsia="Arial" w:hAnsi="Arial"/>
                <w:b/>
                <w:bCs/>
                <w:color w:val="1A7A4A"/>
                <w:sz w:val="23"/>
                <w:szCs w:val="23"/>
              </w:rPr>
              <w:t xml:space="preserve">Evaluación de los primeros 90 días</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Medir los 4 indicadores de escalado de precio: valor percibido, compromiso, cantidad por categoría, permanencia</w:t>
            </w:r>
          </w:p>
          <w:p>
            <w:pPr>
              <w:pStyle w:val="ListParagraph"/>
              <w:numPr>
                <w:ilvl w:val="0"/>
                <w:numId w:val="3"/>
              </w:numPr>
              <w:spacing w:before="30" w:after="30"/>
            </w:pPr>
            <w:r>
              <w:rPr>
                <w:rFonts w:ascii="Arial" w:cs="Arial" w:eastAsia="Arial" w:hAnsi="Arial"/>
                <w:color w:val="1C1C1C"/>
                <w:sz w:val="20"/>
                <w:szCs w:val="20"/>
              </w:rPr>
              <w:t xml:space="preserve">Entrevista individual con cada founder: qué funcionó, qué cambiarían, a quién referirían</w:t>
            </w:r>
          </w:p>
          <w:p>
            <w:pPr>
              <w:pStyle w:val="ListParagraph"/>
              <w:numPr>
                <w:ilvl w:val="0"/>
                <w:numId w:val="3"/>
              </w:numPr>
              <w:spacing w:before="30" w:after="30"/>
            </w:pPr>
            <w:r>
              <w:rPr>
                <w:rFonts w:ascii="Arial" w:cs="Arial" w:eastAsia="Arial" w:hAnsi="Arial"/>
                <w:color w:val="1C1C1C"/>
                <w:sz w:val="20"/>
                <w:szCs w:val="20"/>
              </w:rPr>
              <w:t xml:space="preserve">Decisión documentada: ¿se ajusta el precio? ¿se ajusta el modelo? ¿se ajusta el producto?</w:t>
            </w:r>
          </w:p>
          <w:p>
            <w:pPr>
              <w:pStyle w:val="ListParagraph"/>
              <w:numPr>
                <w:ilvl w:val="0"/>
                <w:numId w:val="3"/>
              </w:numPr>
              <w:spacing w:before="30" w:after="30"/>
            </w:pPr>
            <w:r>
              <w:rPr>
                <w:rFonts w:ascii="Arial" w:cs="Arial" w:eastAsia="Arial" w:hAnsi="Arial"/>
                <w:color w:val="1C1C1C"/>
                <w:sz w:val="20"/>
                <w:szCs w:val="20"/>
              </w:rPr>
              <w:t xml:space="preserve">Inicio del desarrollo MVP Fase 2: calendario + pantalla VIP + integración de pagos automatizada</w:t>
            </w:r>
          </w:p>
          <w:p>
            <w:pPr>
              <w:pStyle w:val="ListParagraph"/>
              <w:numPr>
                <w:ilvl w:val="0"/>
                <w:numId w:val="3"/>
              </w:numPr>
              <w:spacing w:before="30" w:after="30"/>
            </w:pPr>
            <w:r>
              <w:rPr>
                <w:rFonts w:ascii="Arial" w:cs="Arial" w:eastAsia="Arial" w:hAnsi="Arial"/>
                <w:color w:val="1C1C1C"/>
                <w:sz w:val="20"/>
                <w:szCs w:val="20"/>
              </w:rPr>
              <w:t xml:space="preserve">Preparar la apertura provincial de septiembre</w:t>
            </w:r>
          </w:p>
          <w:p>
            <w:pPr>
              <w:spacing w:before="60" w:after="0"/>
            </w:pPr>
            <w:r>
              <w:rPr>
                <w:rFonts w:ascii="Arial" w:cs="Arial" w:eastAsia="Arial" w:hAnsi="Arial"/>
                <w:b/>
                <w:bCs/>
                <w:color w:val="1A7A4A"/>
                <w:sz w:val="20"/>
                <w:szCs w:val="20"/>
              </w:rPr>
              <w:t xml:space="preserve">✓ Entregable: Informe de evaluación del sandbox. Decisión de escalado documentada.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Fase 3 — Escalado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C0392B" w:sz="1"/>
              <w:left w:val="single" w:color="C0392B" w:sz="1"/>
              <w:bottom w:val="single" w:color="C0392B" w:sz="1"/>
              <w:right w:val="single" w:color="C0392B"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F3</w:t>
            </w:r>
          </w:p>
        </w:tc>
        <w:tc>
          <w:tcPr>
            <w:tcW w:type="dxa" w:w="5760"/>
            <w:tcBorders>
              <w:top w:val="single" w:color="C0392B" w:sz="1"/>
              <w:left w:val="single" w:color="C0392B" w:sz="1"/>
              <w:bottom w:val="single" w:color="C0392B" w:sz="1"/>
              <w:right w:val="single" w:color="C0392B" w:sz="1"/>
            </w:tcBorders>
            <w:shd w:fill="F8F9FA" w:val="clear"/>
            <w:tcMar>
              <w:top w:type="dxa" w:w="120"/>
              <w:left w:type="dxa" w:w="200"/>
              <w:bottom w:type="dxa" w:w="120"/>
              <w:right w:type="dxa" w:w="160"/>
            </w:tcMar>
            <w:vAlign w:val="center"/>
          </w:tcPr>
          <w:p>
            <w:r>
              <w:rPr>
                <w:rFonts w:ascii="Arial" w:cs="Arial" w:eastAsia="Arial" w:hAnsi="Arial"/>
                <w:b/>
                <w:bCs/>
                <w:color w:val="C0392B"/>
                <w:sz w:val="28"/>
                <w:szCs w:val="28"/>
              </w:rPr>
              <w:t xml:space="preserve">Escalado Provincial y Nacional</w:t>
            </w:r>
          </w:p>
        </w:tc>
        <w:tc>
          <w:tcPr>
            <w:tcW w:type="dxa" w:w="2200"/>
            <w:tcBorders>
              <w:top w:val="single" w:color="C0392B" w:sz="1"/>
              <w:left w:val="single" w:color="C0392B" w:sz="1"/>
              <w:bottom w:val="single" w:color="C0392B" w:sz="1"/>
              <w:right w:val="single" w:color="C0392B"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Septiembre — Diciembre 2026</w:t>
            </w:r>
          </w:p>
        </w:tc>
      </w:tr>
    </w:tbl>
    <w:p>
      <w:pPr>
        <w:spacing w:before="80" w:after="0"/>
      </w:pPr>
      <w:r>
        <w:t xml:space="preserve"/>
      </w:r>
    </w:p>
    <w:p>
      <w:pPr>
        <w:spacing w:before="60" w:after="80"/>
      </w:pPr>
      <w:r>
        <w:rPr>
          <w:rFonts w:ascii="Arial" w:cs="Arial" w:eastAsia="Arial" w:hAnsi="Arial"/>
          <w:color w:val="1C1C1C"/>
          <w:sz w:val="22"/>
          <w:szCs w:val="22"/>
        </w:rPr>
        <w:t xml:space="preserve">La Fase 3 solo ocurre si los indicadores del sandbox se cumplen. No es una fecha en el calendario — es una consecuencia de la validación. Si los 4 indicadores están en verde en agosto, septiembre es escalado. Si no, es ajuste.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Septiembre</w:t>
            </w:r>
          </w:p>
        </w:tc>
        <w:tc>
          <w:tcPr>
            <w:tcW w:type="dxa" w:w="8360"/>
            <w:tcBorders>
              <w:top w:val="single" w:color="C0392B" w:sz="1"/>
              <w:left w:val="single" w:color="C0392B" w:sz="1"/>
              <w:bottom w:val="single" w:color="C0392B" w:sz="1"/>
              <w:right w:val="single" w:color="C0392B" w:sz="1"/>
            </w:tcBorders>
            <w:shd w:fill="F0F4F8" w:val="clear"/>
            <w:tcMar>
              <w:top w:type="dxa" w:w="80"/>
              <w:left w:type="dxa" w:w="200"/>
              <w:bottom w:type="dxa" w:w="80"/>
              <w:right w:type="dxa" w:w="160"/>
            </w:tcMar>
          </w:tcPr>
          <w:p>
            <w:r>
              <w:rPr>
                <w:rFonts w:ascii="Arial" w:cs="Arial" w:eastAsia="Arial" w:hAnsi="Arial"/>
                <w:b/>
                <w:bCs/>
                <w:color w:val="C0392B"/>
                <w:sz w:val="23"/>
                <w:szCs w:val="23"/>
              </w:rPr>
              <w:t xml:space="preserve">Apertura provincial ampliada</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Anuncio público del ecosistema Mejora Continua App en redes y canales propios</w:t>
            </w:r>
          </w:p>
          <w:p>
            <w:pPr>
              <w:pStyle w:val="ListParagraph"/>
              <w:numPr>
                <w:ilvl w:val="0"/>
                <w:numId w:val="3"/>
              </w:numPr>
              <w:spacing w:before="30" w:after="30"/>
            </w:pPr>
            <w:r>
              <w:rPr>
                <w:rFonts w:ascii="Arial" w:cs="Arial" w:eastAsia="Arial" w:hAnsi="Arial"/>
                <w:color w:val="1C1C1C"/>
                <w:sz w:val="20"/>
                <w:szCs w:val="20"/>
              </w:rPr>
              <w:t xml:space="preserve">After office provincial con presentación oficial — primer evento abierto con app funcionando</w:t>
            </w:r>
          </w:p>
          <w:p>
            <w:pPr>
              <w:pStyle w:val="ListParagraph"/>
              <w:numPr>
                <w:ilvl w:val="0"/>
                <w:numId w:val="3"/>
              </w:numPr>
              <w:spacing w:before="30" w:after="30"/>
            </w:pPr>
            <w:r>
              <w:rPr>
                <w:rFonts w:ascii="Arial" w:cs="Arial" w:eastAsia="Arial" w:hAnsi="Arial"/>
                <w:color w:val="1C1C1C"/>
                <w:sz w:val="20"/>
                <w:szCs w:val="20"/>
              </w:rPr>
              <w:t xml:space="preserve">Campaña de invitación a Nivel 0 Free para toda la lista de contactos</w:t>
            </w:r>
          </w:p>
          <w:p>
            <w:pPr>
              <w:pStyle w:val="ListParagraph"/>
              <w:numPr>
                <w:ilvl w:val="0"/>
                <w:numId w:val="3"/>
              </w:numPr>
              <w:spacing w:before="30" w:after="30"/>
            </w:pPr>
            <w:r>
              <w:rPr>
                <w:rFonts w:ascii="Arial" w:cs="Arial" w:eastAsia="Arial" w:hAnsi="Arial"/>
                <w:color w:val="1C1C1C"/>
                <w:sz w:val="20"/>
                <w:szCs w:val="20"/>
              </w:rPr>
              <w:t xml:space="preserve">Activación de oferta cruzada: miembros del after office invitados a la app en 48hs</w:t>
            </w:r>
          </w:p>
          <w:p>
            <w:pPr>
              <w:pStyle w:val="ListParagraph"/>
              <w:numPr>
                <w:ilvl w:val="0"/>
                <w:numId w:val="3"/>
              </w:numPr>
              <w:spacing w:before="30" w:after="30"/>
            </w:pPr>
            <w:r>
              <w:rPr>
                <w:rFonts w:ascii="Arial" w:cs="Arial" w:eastAsia="Arial" w:hAnsi="Arial"/>
                <w:color w:val="1C1C1C"/>
                <w:sz w:val="20"/>
                <w:szCs w:val="20"/>
              </w:rPr>
              <w:t xml:space="preserve">Primer aumento de precio si los 4 indicadores del sandbox están en verde</w:t>
            </w:r>
          </w:p>
          <w:p>
            <w:pPr>
              <w:spacing w:before="60" w:after="0"/>
            </w:pPr>
            <w:r>
              <w:rPr>
                <w:rFonts w:ascii="Arial" w:cs="Arial" w:eastAsia="Arial" w:hAnsi="Arial"/>
                <w:b/>
                <w:bCs/>
                <w:color w:val="1A7A4A"/>
                <w:sz w:val="20"/>
                <w:szCs w:val="20"/>
              </w:rPr>
              <w:t xml:space="preserve">✓ Entregable: 50+ usuarios en la app. Primeros miembros de fuera del círculo directo.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Octubre–Noviembre</w:t>
            </w:r>
          </w:p>
        </w:tc>
        <w:tc>
          <w:tcPr>
            <w:tcW w:type="dxa" w:w="8360"/>
            <w:tcBorders>
              <w:top w:val="single" w:color="C0392B" w:sz="1"/>
              <w:left w:val="single" w:color="C0392B" w:sz="1"/>
              <w:bottom w:val="single" w:color="C0392B" w:sz="1"/>
              <w:right w:val="single" w:color="C0392B" w:sz="1"/>
            </w:tcBorders>
            <w:shd w:fill="F0F4F8" w:val="clear"/>
            <w:tcMar>
              <w:top w:type="dxa" w:w="80"/>
              <w:left w:type="dxa" w:w="200"/>
              <w:bottom w:type="dxa" w:w="80"/>
              <w:right w:type="dxa" w:w="160"/>
            </w:tcMar>
          </w:tcPr>
          <w:p>
            <w:r>
              <w:rPr>
                <w:rFonts w:ascii="Arial" w:cs="Arial" w:eastAsia="Arial" w:hAnsi="Arial"/>
                <w:b/>
                <w:bCs/>
                <w:color w:val="C0392B"/>
                <w:sz w:val="23"/>
                <w:szCs w:val="23"/>
              </w:rPr>
              <w:t xml:space="preserve">Expansión al mercado nacional</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 + red de asesores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Primeros contactos en otras provincias y ciudades a través de la red de asesores</w:t>
            </w:r>
          </w:p>
          <w:p>
            <w:pPr>
              <w:pStyle w:val="ListParagraph"/>
              <w:numPr>
                <w:ilvl w:val="0"/>
                <w:numId w:val="3"/>
              </w:numPr>
              <w:spacing w:before="30" w:after="30"/>
            </w:pPr>
            <w:r>
              <w:rPr>
                <w:rFonts w:ascii="Arial" w:cs="Arial" w:eastAsia="Arial" w:hAnsi="Arial"/>
                <w:color w:val="1C1C1C"/>
                <w:sz w:val="20"/>
                <w:szCs w:val="20"/>
              </w:rPr>
              <w:t xml:space="preserve">Adaptación del precio ARS para el mercado nacional (menos sensible que Misiones)</w:t>
            </w:r>
          </w:p>
          <w:p>
            <w:pPr>
              <w:pStyle w:val="ListParagraph"/>
              <w:numPr>
                <w:ilvl w:val="0"/>
                <w:numId w:val="3"/>
              </w:numPr>
              <w:spacing w:before="30" w:after="30"/>
            </w:pPr>
            <w:r>
              <w:rPr>
                <w:rFonts w:ascii="Arial" w:cs="Arial" w:eastAsia="Arial" w:hAnsi="Arial"/>
                <w:color w:val="1C1C1C"/>
                <w:sz w:val="20"/>
                <w:szCs w:val="20"/>
              </w:rPr>
              <w:t xml:space="preserve">Webinario nacional de presentación del ecosistema — primer evento con audiencia fuera de la provincia</w:t>
            </w:r>
          </w:p>
          <w:p>
            <w:pPr>
              <w:pStyle w:val="ListParagraph"/>
              <w:numPr>
                <w:ilvl w:val="0"/>
                <w:numId w:val="3"/>
              </w:numPr>
              <w:spacing w:before="30" w:after="30"/>
            </w:pPr>
            <w:r>
              <w:rPr>
                <w:rFonts w:ascii="Arial" w:cs="Arial" w:eastAsia="Arial" w:hAnsi="Arial"/>
                <w:color w:val="1C1C1C"/>
                <w:sz w:val="20"/>
                <w:szCs w:val="20"/>
              </w:rPr>
              <w:t xml:space="preserve">Inicio de conversaciones con potenciales facilitadores en otras ciudades</w:t>
            </w:r>
          </w:p>
          <w:p>
            <w:pPr>
              <w:pStyle w:val="ListParagraph"/>
              <w:numPr>
                <w:ilvl w:val="0"/>
                <w:numId w:val="3"/>
              </w:numPr>
              <w:spacing w:before="30" w:after="30"/>
            </w:pPr>
            <w:r>
              <w:rPr>
                <w:rFonts w:ascii="Arial" w:cs="Arial" w:eastAsia="Arial" w:hAnsi="Arial"/>
                <w:color w:val="1C1C1C"/>
                <w:sz w:val="20"/>
                <w:szCs w:val="20"/>
              </w:rPr>
              <w:t xml:space="preserve">Testeo del precio nacional: primera venta fuera de la provincia como validación</w:t>
            </w:r>
          </w:p>
          <w:p>
            <w:pPr>
              <w:spacing w:before="60" w:after="0"/>
            </w:pPr>
            <w:r>
              <w:rPr>
                <w:rFonts w:ascii="Arial" w:cs="Arial" w:eastAsia="Arial" w:hAnsi="Arial"/>
                <w:b/>
                <w:bCs/>
                <w:color w:val="1A7A4A"/>
                <w:sz w:val="20"/>
                <w:szCs w:val="20"/>
              </w:rPr>
              <w:t xml:space="preserve">✓ Entregable: Primeros miembros de otras provincias. Precio nacional validado.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Diciembre</w:t>
            </w:r>
          </w:p>
        </w:tc>
        <w:tc>
          <w:tcPr>
            <w:tcW w:type="dxa" w:w="8360"/>
            <w:tcBorders>
              <w:top w:val="single" w:color="C0392B" w:sz="1"/>
              <w:left w:val="single" w:color="C0392B" w:sz="1"/>
              <w:bottom w:val="single" w:color="C0392B" w:sz="1"/>
              <w:right w:val="single" w:color="C0392B" w:sz="1"/>
            </w:tcBorders>
            <w:shd w:fill="F0F4F8" w:val="clear"/>
            <w:tcMar>
              <w:top w:type="dxa" w:w="80"/>
              <w:left w:type="dxa" w:w="200"/>
              <w:bottom w:type="dxa" w:w="80"/>
              <w:right w:type="dxa" w:w="160"/>
            </w:tcMar>
          </w:tcPr>
          <w:p>
            <w:r>
              <w:rPr>
                <w:rFonts w:ascii="Arial" w:cs="Arial" w:eastAsia="Arial" w:hAnsi="Arial"/>
                <w:b/>
                <w:bCs/>
                <w:color w:val="C0392B"/>
                <w:sz w:val="23"/>
                <w:szCs w:val="23"/>
              </w:rPr>
              <w:t xml:space="preserve">Cierre y planificación 2027</w:t>
            </w:r>
          </w:p>
        </w:tc>
      </w:tr>
      <w:tr>
        <w:tc>
          <w:tcPr>
            <w:tcW w:type="dxa" w:w="1000"/>
            <w:tcBorders>
              <w:top w:val="single" w:color="D5D8DC" w:sz="1"/>
              <w:left w:val="single" w:color="D5D8DC" w:sz="1"/>
              <w:bottom w:val="single" w:color="D5D8DC" w:sz="1"/>
              <w:right w:val="single" w:color="D5D8DC" w:sz="1"/>
            </w:tcBorders>
            <w:shd w:fill="F2F4F6"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p>
            <w:pPr>
              <w:jc w:val="center"/>
            </w:pPr>
            <w:r>
              <w:rPr>
                <w:rFonts w:ascii="Arial" w:cs="Arial" w:eastAsia="Arial" w:hAnsi="Arial"/>
                <w:color w:val="555555"/>
                <w:sz w:val="16"/>
                <w:szCs w:val="16"/>
              </w:rPr>
              <w:t xml:space="preserve">Ambos socios</w:t>
            </w:r>
          </w:p>
        </w:tc>
        <w:tc>
          <w:tcPr>
            <w:tcW w:type="dxa" w:w="8360"/>
            <w:tcBorders>
              <w:top w:val="single" w:color="D5D8DC" w:sz="1"/>
              <w:left w:val="single" w:color="D5D8DC" w:sz="1"/>
              <w:bottom w:val="single" w:color="D5D8DC" w:sz="1"/>
              <w:right w:val="single" w:color="D5D8DC" w:sz="1"/>
            </w:tcBorders>
            <w:shd w:fill="FFFFFF" w:val="clear"/>
            <w:tcMar>
              <w:top w:type="dxa" w:w="80"/>
              <w:left w:type="dxa" w:w="200"/>
              <w:bottom w:type="dxa" w:w="80"/>
              <w:right w:type="dxa" w:w="160"/>
            </w:tcMar>
          </w:tcPr>
          <w:p>
            <w:pPr>
              <w:pStyle w:val="ListParagraph"/>
              <w:numPr>
                <w:ilvl w:val="0"/>
                <w:numId w:val="3"/>
              </w:numPr>
              <w:spacing w:before="30" w:after="30"/>
            </w:pPr>
            <w:r>
              <w:rPr>
                <w:rFonts w:ascii="Arial" w:cs="Arial" w:eastAsia="Arial" w:hAnsi="Arial"/>
                <w:color w:val="1C1C1C"/>
                <w:sz w:val="20"/>
                <w:szCs w:val="20"/>
              </w:rPr>
              <w:t xml:space="preserve">Evaluación completa del año: miembros, retención, ingresos, aprendizajes</w:t>
            </w:r>
          </w:p>
          <w:p>
            <w:pPr>
              <w:pStyle w:val="ListParagraph"/>
              <w:numPr>
                <w:ilvl w:val="0"/>
                <w:numId w:val="3"/>
              </w:numPr>
              <w:spacing w:before="30" w:after="30"/>
            </w:pPr>
            <w:r>
              <w:rPr>
                <w:rFonts w:ascii="Arial" w:cs="Arial" w:eastAsia="Arial" w:hAnsi="Arial"/>
                <w:color w:val="1C1C1C"/>
                <w:sz w:val="20"/>
                <w:szCs w:val="20"/>
              </w:rPr>
              <w:t xml:space="preserve">Decisión de precio internacional en USD basada en datos reales del mercado nacional</w:t>
            </w:r>
          </w:p>
          <w:p>
            <w:pPr>
              <w:pStyle w:val="ListParagraph"/>
              <w:numPr>
                <w:ilvl w:val="0"/>
                <w:numId w:val="3"/>
              </w:numPr>
              <w:spacing w:before="30" w:after="30"/>
            </w:pPr>
            <w:r>
              <w:rPr>
                <w:rFonts w:ascii="Arial" w:cs="Arial" w:eastAsia="Arial" w:hAnsi="Arial"/>
                <w:color w:val="1C1C1C"/>
                <w:sz w:val="20"/>
                <w:szCs w:val="20"/>
              </w:rPr>
              <w:t xml:space="preserve">Identificación del primer mercado internacional objetivo para Q1 2027</w:t>
            </w:r>
          </w:p>
          <w:p>
            <w:pPr>
              <w:pStyle w:val="ListParagraph"/>
              <w:numPr>
                <w:ilvl w:val="0"/>
                <w:numId w:val="3"/>
              </w:numPr>
              <w:spacing w:before="30" w:after="30"/>
            </w:pPr>
            <w:r>
              <w:rPr>
                <w:rFonts w:ascii="Arial" w:cs="Arial" w:eastAsia="Arial" w:hAnsi="Arial"/>
                <w:color w:val="1C1C1C"/>
                <w:sz w:val="20"/>
                <w:szCs w:val="20"/>
              </w:rPr>
              <w:t xml:space="preserve">Inicio de conversaciones con potenciales aliados internacionales</w:t>
            </w:r>
          </w:p>
          <w:p>
            <w:pPr>
              <w:pStyle w:val="ListParagraph"/>
              <w:numPr>
                <w:ilvl w:val="0"/>
                <w:numId w:val="3"/>
              </w:numPr>
              <w:spacing w:before="30" w:after="30"/>
            </w:pPr>
            <w:r>
              <w:rPr>
                <w:rFonts w:ascii="Arial" w:cs="Arial" w:eastAsia="Arial" w:hAnsi="Arial"/>
                <w:color w:val="1C1C1C"/>
                <w:sz w:val="20"/>
                <w:szCs w:val="20"/>
              </w:rPr>
              <w:t xml:space="preserve">Plan 2027: expansión internacional + MVP Fase 3 (backend nativo)</w:t>
            </w:r>
          </w:p>
          <w:p>
            <w:pPr>
              <w:spacing w:before="60" w:after="0"/>
            </w:pPr>
            <w:r>
              <w:rPr>
                <w:rFonts w:ascii="Arial" w:cs="Arial" w:eastAsia="Arial" w:hAnsi="Arial"/>
                <w:b/>
                <w:bCs/>
                <w:color w:val="1A7A4A"/>
                <w:sz w:val="20"/>
                <w:szCs w:val="20"/>
              </w:rPr>
              <w:t xml:space="preserve">✓ Entregable: Plan 2027 aprobado. Precio internacional definido. Primer aliado internacional identificado.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Criterios de Éxito por Fase</w:t>
      </w:r>
    </w:p>
    <w:p>
      <w:pPr>
        <w:spacing w:before="80" w:after="0"/>
      </w:pPr>
      <w:r>
        <w:t xml:space="preserve"/>
      </w:r>
    </w:p>
    <w:p>
      <w:pPr>
        <w:spacing w:before="200" w:after="60"/>
      </w:pPr>
      <w:r>
        <w:rPr>
          <w:rFonts w:ascii="Arial" w:cs="Arial" w:eastAsia="Arial" w:hAnsi="Arial"/>
          <w:b/>
          <w:bCs/>
          <w:color w:val="1B3A5C"/>
          <w:sz w:val="24"/>
          <w:szCs w:val="24"/>
        </w:rPr>
        <w:t xml:space="preserve">Fase 1 — Criterios de cierre (fin de mayo)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Indicador</w:t>
            </w:r>
          </w:p>
        </w:tc>
        <w:tc>
          <w:tcPr>
            <w:tcW w:type="dxa" w:w="32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Umbral de éxito</w:t>
            </w:r>
          </w:p>
        </w:tc>
        <w:tc>
          <w:tcPr>
            <w:tcW w:type="dxa" w:w="32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Qué ocurre si no se cumple</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MVP funcional</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Login + Muro + Directorio operativos y testeados</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Retrasar el contacto con founders hasta que esté listo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Documento de requerimientos</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Entregado al desarrollador antes del 15 de abril</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Revisar el proceso de diseño — algo no está claro</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Documento de mockups</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Completado y aprobado por ambos socios</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No mostrar la app a founders hasta que esté listo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Procesos documentados</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5 protocolos escritos y testeados internamente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El onboarding del primer founder será caótico</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Material de founders</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Invitaciones redactadas + encuentro organizado</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Postergar el contacto hasta tenerlo listo</w:t>
            </w:r>
          </w:p>
        </w:tc>
      </w:tr>
    </w:tbl>
    <w:p>
      <w:pPr>
        <w:spacing w:before="80" w:after="0"/>
      </w:pPr>
      <w:r>
        <w:t xml:space="preserve"/>
      </w:r>
    </w:p>
    <w:p>
      <w:pPr>
        <w:spacing w:before="200" w:after="60"/>
      </w:pPr>
      <w:r>
        <w:rPr>
          <w:rFonts w:ascii="Arial" w:cs="Arial" w:eastAsia="Arial" w:hAnsi="Arial"/>
          <w:b/>
          <w:bCs/>
          <w:color w:val="1A7A4A"/>
          <w:sz w:val="24"/>
          <w:szCs w:val="24"/>
        </w:rPr>
        <w:t xml:space="preserve">Fase 2 — Criterios de escalado (fin de agosto)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Indicador</w:t>
            </w:r>
          </w:p>
        </w:tc>
        <w:tc>
          <w:tcPr>
            <w:tcW w:type="dxa" w:w="32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Umbral de éxito</w:t>
            </w:r>
          </w:p>
        </w:tc>
        <w:tc>
          <w:tcPr>
            <w:tcW w:type="dxa" w:w="32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Qué ocurre si no se cumple</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Valor percibido</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70%+ de founders activos semanalmente al mes 2</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Revisar el contenido y la dinámica del Muro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Compromiso</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60%+ usando al menos 2 beneficios por mes</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Rediseñar la propuesta de valor del nivel correspondiente</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Masa crítica</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Mínimo 15 miembros activos entre N1 y N2</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No escalar a provincial hasta alcanzar el umbral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Permanencia</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80%+ de retención al mes 2 + 2 upgrades N1→N2</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Revisar la oferta de upgrade y el protocolo de oferta cruzada</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Tracción cruzada</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Al menos 1 miembro que contrató otro servicio MC</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Revisar la integración del CRM con el seguimiento de miembros</w:t>
            </w:r>
          </w:p>
        </w:tc>
      </w:tr>
    </w:tbl>
    <w:p>
      <w:pPr>
        <w:spacing w:before="80" w:after="0"/>
      </w:pPr>
      <w:r>
        <w:t xml:space="preserve"/>
      </w:r>
    </w:p>
    <w:p>
      <w:pPr>
        <w:spacing w:before="200" w:after="60"/>
      </w:pPr>
      <w:r>
        <w:rPr>
          <w:rFonts w:ascii="Arial" w:cs="Arial" w:eastAsia="Arial" w:hAnsi="Arial"/>
          <w:b/>
          <w:bCs/>
          <w:color w:val="C0392B"/>
          <w:sz w:val="24"/>
          <w:szCs w:val="24"/>
        </w:rPr>
        <w:t xml:space="preserve">Fase 3 — Criterios de expansión internacional (fin de 2026)</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Indicador</w:t>
            </w:r>
          </w:p>
        </w:tc>
        <w:tc>
          <w:tcPr>
            <w:tcW w:type="dxa" w:w="32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Umbral de éxito</w:t>
            </w:r>
          </w:p>
        </w:tc>
        <w:tc>
          <w:tcPr>
            <w:tcW w:type="dxa" w:w="32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Qué ocurre si no se cumple</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Base provincial consolidada</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50+ miembros activos en Misiones con retención &gt;70%</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No avanzar internacionalmente hasta consolidar local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Precio nacional validado</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Al menos 1 venta fuera de la provincia al precio nacional</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El precio nacional no está comunicado correctamente</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Modelo replicable</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A7A4A"/>
                <w:sz w:val="20"/>
                <w:szCs w:val="20"/>
              </w:rPr>
              <w:t xml:space="preserve">Al menos 1 facilitador externo operando con el modelo</w:t>
            </w:r>
          </w:p>
        </w:tc>
        <w:tc>
          <w:tcPr>
            <w:tcW w:type="dxa" w:w="32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color w:val="1C1C1C"/>
                <w:sz w:val="20"/>
                <w:szCs w:val="20"/>
              </w:rPr>
              <w:t xml:space="preserve">El modelo todavía depende demasiado del fundador</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Producto estable</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A7A4A"/>
                <w:sz w:val="20"/>
                <w:szCs w:val="20"/>
              </w:rPr>
              <w:t xml:space="preserve">MVP Fase 2 completo y funcionando sin incidentes críticos</w:t>
            </w:r>
          </w:p>
        </w:tc>
        <w:tc>
          <w:tcPr>
            <w:tcW w:type="dxa" w:w="32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color w:val="1C1C1C"/>
                <w:sz w:val="20"/>
                <w:szCs w:val="20"/>
              </w:rPr>
              <w:t xml:space="preserve">No presentar el producto internacionalmente con deuda técnica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7. Roles y Responsabilidades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1"/>
                <w:szCs w:val="21"/>
              </w:rPr>
              <w:t xml:space="preserve">Rol</w:t>
            </w:r>
          </w:p>
        </w:tc>
        <w:tc>
          <w:tcPr>
            <w:tcW w:type="dxa" w:w="34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1"/>
                <w:szCs w:val="21"/>
              </w:rPr>
              <w:t xml:space="preserve">Responsabilidades principales</w:t>
            </w:r>
          </w:p>
        </w:tc>
        <w:tc>
          <w:tcPr>
            <w:tcW w:type="dxa" w:w="34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1"/>
                <w:szCs w:val="21"/>
              </w:rPr>
              <w:t xml:space="preserve">Productos a cargo</w:t>
            </w:r>
          </w:p>
        </w:tc>
      </w:tr>
      <w:tr>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Socia — Coordinadora profesional y comercial</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Coordina asesores. Cara visible del relanzamiento. Relación con founders y ex-miembros. Aprobación del diseño de experiencia.</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Asesoría · In Company · Relación con miembros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Fundador — Coordinador técnico-operativo</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Diseño de la app (documentos 2 y 3). Comunicación con el desarrollador. Operación diaria de la comunidad. Gestión del CRM.</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App/Comunidad · CRM · After Office · Procesos</w:t>
            </w:r>
          </w:p>
        </w:tc>
      </w:tr>
      <w:tr>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Desarrollador (socio 70/30)</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Desarrollo y mantenimiento del MVP. Evolución técnica del producto. Integración con Tiendup y sistemas externos.</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App — desarrollo técnico completo</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Red de asesores asociados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Contenido premium (webinarios, cápsulas). Derivaciones del Botón de Emergencia. Facilitadores de talleres dentro de la app.</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val="false"/>
                <w:bCs w:val="false"/>
                <w:color w:val="1C1C1C"/>
                <w:sz w:val="20"/>
                <w:szCs w:val="20"/>
              </w:rPr>
              <w:t xml:space="preserve">Contenido N2 · Asesoría derivada · Eventos</w:t>
            </w:r>
          </w:p>
        </w:tc>
      </w:tr>
      <w:tr>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10 Founders (sandbox)</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Uso activo de la app. Feedback honesto del producto. Generación de contenido en el Muro. Referidos a sus redes.</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val="false"/>
                <w:bCs w:val="false"/>
                <w:color w:val="1C1C1C"/>
                <w:sz w:val="20"/>
                <w:szCs w:val="20"/>
              </w:rPr>
              <w:t xml:space="preserve">Validación del producto · Viralización inicial</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8. Los Tres Documentos del Proyecto</w:t>
      </w:r>
    </w:p>
    <w:p>
      <w:pPr>
        <w:spacing w:before="60" w:after="80"/>
      </w:pPr>
      <w:r>
        <w:rPr>
          <w:rFonts w:ascii="Arial" w:cs="Arial" w:eastAsia="Arial" w:hAnsi="Arial"/>
          <w:color w:val="1C1C1C"/>
          <w:sz w:val="22"/>
          <w:szCs w:val="22"/>
        </w:rPr>
        <w:t xml:space="preserve">Este plan es el primero de tres documentos que juntos constituyen el kit de lanzamiento completo del ecosistema: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80"/>
        <w:gridCol w:w="2480"/>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Documento</w:t>
            </w:r>
          </w:p>
        </w:tc>
        <w:tc>
          <w:tcPr>
            <w:tcW w:type="dxa" w:w="34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Contenido</w:t>
            </w:r>
          </w:p>
        </w:tc>
        <w:tc>
          <w:tcPr>
            <w:tcW w:type="dxa" w:w="24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1"/>
                <w:szCs w:val="21"/>
              </w:rPr>
              <w:t xml:space="preserve">Para quién</w:t>
            </w:r>
          </w:p>
        </w:tc>
      </w:tr>
      <w:tr>
        <w:tc>
          <w:tcPr>
            <w:tcW w:type="dxa" w:w="8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80"/>
            </w:tcMar>
          </w:tcPr>
          <w:p>
            <w:r>
              <w:rPr>
                <w:rFonts w:ascii="Arial" w:cs="Arial" w:eastAsia="Arial" w:hAnsi="Arial"/>
                <w:b/>
                <w:bCs/>
                <w:color w:val="1A7A4A"/>
                <w:sz w:val="20"/>
                <w:szCs w:val="20"/>
              </w:rPr>
              <w:t xml:space="preserve">1 ✓</w:t>
            </w:r>
          </w:p>
        </w:tc>
        <w:tc>
          <w:tcPr>
            <w:tcW w:type="dxa" w:w="260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80"/>
            </w:tcMar>
          </w:tcPr>
          <w:p>
            <w:r>
              <w:rPr>
                <w:rFonts w:ascii="Arial" w:cs="Arial" w:eastAsia="Arial" w:hAnsi="Arial"/>
                <w:b/>
                <w:bCs/>
                <w:color w:val="1B3A5C"/>
                <w:sz w:val="20"/>
                <w:szCs w:val="20"/>
              </w:rPr>
              <w:t xml:space="preserve">Plan de Implementación</w:t>
            </w:r>
          </w:p>
        </w:tc>
        <w:tc>
          <w:tcPr>
            <w:tcW w:type="dxa" w:w="348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80"/>
            </w:tcMar>
          </w:tcPr>
          <w:p>
            <w:r>
              <w:rPr>
                <w:rFonts w:ascii="Arial" w:cs="Arial" w:eastAsia="Arial" w:hAnsi="Arial"/>
                <w:b w:val="false"/>
                <w:bCs w:val="false"/>
                <w:color w:val="1C1C1C"/>
                <w:sz w:val="20"/>
                <w:szCs w:val="20"/>
              </w:rPr>
              <w:t xml:space="preserve">Hoja de ruta ejecutiva con fases, timings, criterios de éxito y roles. Este documento.</w:t>
            </w:r>
          </w:p>
        </w:tc>
        <w:tc>
          <w:tcPr>
            <w:tcW w:type="dxa" w:w="2480"/>
            <w:tcBorders>
              <w:top w:val="single" w:color="D5D8DC" w:sz="1"/>
              <w:left w:val="single" w:color="D5D8DC" w:sz="1"/>
              <w:bottom w:val="single" w:color="D5D8DC" w:sz="1"/>
              <w:right w:val="single" w:color="D5D8DC" w:sz="1"/>
            </w:tcBorders>
            <w:shd w:fill="E8F8F5" w:val="clear"/>
            <w:tcMar>
              <w:top w:type="dxa" w:w="80"/>
              <w:left w:type="dxa" w:w="120"/>
              <w:bottom w:type="dxa" w:w="80"/>
              <w:right w:type="dxa" w:w="80"/>
            </w:tcMar>
          </w:tcPr>
          <w:p>
            <w:r>
              <w:rPr>
                <w:rFonts w:ascii="Arial" w:cs="Arial" w:eastAsia="Arial" w:hAnsi="Arial"/>
                <w:b w:val="false"/>
                <w:bCs w:val="false"/>
                <w:color w:val="1C1C1C"/>
                <w:sz w:val="20"/>
                <w:szCs w:val="20"/>
              </w:rPr>
              <w:t xml:space="preserve">Fundadores del proyecto — gobierno del relanzamiento</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A7A4A"/>
                <w:sz w:val="20"/>
                <w:szCs w:val="20"/>
              </w:rPr>
              <w:t xml:space="preserve">2</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Requerimientos Técnicos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Especificaciones técnicas completas para el desarrollador: pantallas, flujos, esquema de datos, matriz de acceso, criterios de aceptación.</w:t>
            </w:r>
          </w:p>
        </w:tc>
        <w:tc>
          <w:tcPr>
            <w:tcW w:type="dxa" w:w="2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Desarrollador — hoja de trabajo del MVP</w:t>
            </w:r>
          </w:p>
        </w:tc>
      </w:tr>
      <w:tr>
        <w:tc>
          <w:tcPr>
            <w:tcW w:type="dxa" w:w="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A7A4A"/>
                <w:sz w:val="20"/>
                <w:szCs w:val="20"/>
              </w:rPr>
              <w:t xml:space="preserve">3</w:t>
            </w:r>
          </w:p>
        </w:tc>
        <w:tc>
          <w:tcPr>
            <w:tcW w:type="dxa" w:w="26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Mockups y Experiencia</w:t>
            </w:r>
          </w:p>
        </w:tc>
        <w:tc>
          <w:tcPr>
            <w:tcW w:type="dxa" w:w="3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Representación visual de cada pantalla. Lo que el usuario ve en cada nivel. Sin jerga técnica. Para mostrar a founders antes del desarrollo.</w:t>
            </w:r>
          </w:p>
        </w:tc>
        <w:tc>
          <w:tcPr>
            <w:tcW w:type="dxa" w:w="24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Founders + socia + cualquier stakeholder no técnico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PRÓXIMO PASO INMEDIATO</w:t>
            </w:r>
          </w:p>
          <w:p>
            <w:pPr>
              <w:spacing w:before="0" w:after="0"/>
            </w:pPr>
            <w:r>
              <w:rPr>
                <w:rFonts w:ascii="Arial" w:cs="Arial" w:eastAsia="Arial" w:hAnsi="Arial"/>
                <w:color w:val="1C1C1C"/>
                <w:sz w:val="22"/>
                <w:szCs w:val="22"/>
              </w:rPr>
              <w:t xml:space="preserve">El Documento 2 (Requerimientos Técnicos) es el más urgente — el desarrollador está esperando. El trabajo de la Semana 1 de abril es exactamente ese: diseñar la experiencia de usuario para poder traducirla a requerimientos técnicos precisos. Ese trabajo lo hacemos con el mismo método de este diagnóstico: pregunta a pregunta, pantalla a pantalla.</w:t>
            </w:r>
          </w:p>
        </w:tc>
      </w:tr>
    </w:tbl>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Plan de Implementación Integrado — Documento 1 de 3 — Confidencial</w:t>
      </w:r>
    </w:p>
    <w:p>
      <w:pPr>
        <w:jc w:val="center"/>
      </w:pPr>
      <w:r>
        <w:rPr>
          <w:rFonts w:ascii="Arial" w:cs="Arial" w:eastAsia="Arial" w:hAnsi="Arial"/>
          <w:color w:val="AAAAAA"/>
          <w:sz w:val="18"/>
          <w:szCs w:val="18"/>
        </w:rPr>
        <w:t xml:space="preserve">Versión 1.0 — 28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2026-03-28T20:43:41.724Z</dcterms:created>
  <dcterms:modified xsi:type="dcterms:W3CDTF">2026-03-28T20:43:41.724Z</dcterms:modified>
</cp:coreProperties>
</file>

<file path=docProps/custom.xml><?xml version="1.0" encoding="utf-8"?>
<Properties xmlns="http://schemas.openxmlformats.org/officeDocument/2006/custom-properties" xmlns:vt="http://schemas.openxmlformats.org/officeDocument/2006/docPropsVTypes"/>
</file>