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DE DIAGNÓSTICO ESTRATÉGICO — REVISADO</w:t>
      </w:r>
    </w:p>
    <w:p>
      <w:pPr>
        <w:spacing w:before="0" w:after="20"/>
        <w:jc w:val="center"/>
      </w:pPr>
      <w:r>
        <w:rPr>
          <w:rFonts w:ascii="Arial" w:cs="Arial" w:eastAsia="Arial" w:hAnsi="Arial"/>
          <w:color w:val="555555"/>
          <w:sz w:val="24"/>
          <w:szCs w:val="24"/>
        </w:rPr>
        <w:t xml:space="preserve">Bloque 2 (v2): El Modelo de Negocio Real — Ecosistema Integrado y Estrategia de Precio</w:t>
      </w:r>
    </w:p>
    <w:p>
      <w:pPr>
        <w:spacing w:before="0" w:after="480"/>
        <w:jc w:val="center"/>
      </w:pPr>
      <w:r>
        <w:rPr>
          <w:rFonts w:ascii="Arial" w:cs="Arial" w:eastAsia="Arial" w:hAnsi="Arial"/>
          <w:color w:val="888888"/>
          <w:sz w:val="22"/>
          <w:szCs w:val="22"/>
        </w:rPr>
        <w:t xml:space="preserve">Revisión: 28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Las Dos Correcciones Fundamentales</w:t>
      </w:r>
    </w:p>
    <w:p>
      <w:pPr>
        <w:spacing w:before="60" w:after="80"/>
      </w:pPr>
      <w:r>
        <w:rPr>
          <w:rFonts w:ascii="Arial" w:cs="Arial" w:eastAsia="Arial" w:hAnsi="Arial"/>
          <w:color w:val="1C1C1C"/>
          <w:sz w:val="22"/>
          <w:szCs w:val="22"/>
        </w:rPr>
        <w:t xml:space="preserve">El Bloque 2 original contenía dos errores de base que invalidaban la mayor parte de su análisis. Ambos derivaban del mismo problema: el cuestionario inicial no capturó la naturaleza real del modelo de negocio de Mejora Continua.</w:t>
      </w:r>
    </w:p>
    <w:p>
      <w:pPr>
        <w:spacing w:before="80" w:after="0"/>
      </w:pPr>
      <w:r>
        <w:t xml:space="preserve"/>
      </w:r>
    </w:p>
    <w:p>
      <w:pPr>
        <w:pStyle w:val="Heading2"/>
        <w:spacing w:before="280" w:after="80"/>
      </w:pPr>
      <w:r>
        <w:rPr>
          <w:rFonts w:ascii="Arial" w:cs="Arial" w:eastAsia="Arial" w:hAnsi="Arial"/>
          <w:b/>
          <w:bCs/>
          <w:color w:val="1B3A5C"/>
          <w:sz w:val="28"/>
          <w:szCs w:val="28"/>
        </w:rPr>
        <w:t xml:space="preserve">Corrección 1 — El primer producto no es un evento presencial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  Diagnóstico anterior (incorrecto)</w:t>
            </w:r>
          </w:p>
          <w:p>
            <w:r>
              <w:rPr>
                <w:rFonts w:ascii="Arial" w:cs="Arial" w:eastAsia="Arial" w:hAnsi="Arial"/>
                <w:i/>
                <w:iCs/>
                <w:color w:val="666666"/>
                <w:sz w:val="20"/>
                <w:szCs w:val="20"/>
              </w:rPr>
              <w:t xml:space="preserve">El primer producto planificado es un evento presencial de menos de $50 USD por persona. Todo el análisis de precio, facturación y posicionamiento se construyó sobre ese supuesto.</w:t>
            </w:r>
          </w:p>
        </w:tc>
        <w:tc>
          <w:tcPr>
            <w:tcW w:type="dxa" w:w="468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pPr>
              <w:spacing w:before="0" w:after="40"/>
            </w:pPr>
            <w:r>
              <w:rPr>
                <w:rFonts w:ascii="Arial" w:cs="Arial" w:eastAsia="Arial" w:hAnsi="Arial"/>
                <w:b/>
                <w:bCs/>
                <w:color w:val="1A7A4A"/>
                <w:sz w:val="20"/>
                <w:szCs w:val="20"/>
              </w:rPr>
              <w:t xml:space="preserve">✓  Diagnóstico corregido</w:t>
            </w:r>
          </w:p>
          <w:p>
            <w:r>
              <w:rPr>
                <w:rFonts w:ascii="Arial" w:cs="Arial" w:eastAsia="Arial" w:hAnsi="Arial"/>
                <w:color w:val="1C1C1C"/>
                <w:sz w:val="20"/>
                <w:szCs w:val="20"/>
              </w:rPr>
              <w:t xml:space="preserve">El primer producto es la app de la comunidad. El evento presencial es un formato dentro del ecosistema, no el producto central. La contradicción de precio analizada en el Bloque 2 original no existe porque partía de un supuesto falso.</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Corrección 2 — El precio bajo no es una creencia limitante: es una decisión táctica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  Diagnóstico anterior (incorrecto)</w:t>
            </w:r>
          </w:p>
          <w:p>
            <w:r>
              <w:rPr>
                <w:rFonts w:ascii="Arial" w:cs="Arial" w:eastAsia="Arial" w:hAnsi="Arial"/>
                <w:i/>
                <w:iCs/>
                <w:color w:val="666666"/>
                <w:sz w:val="20"/>
                <w:szCs w:val="20"/>
              </w:rPr>
              <w:t xml:space="preserve">El precio bajo refleja la creencia errónea de que 'el mercado no paga más'. Debe revisarse aplicando al propio modelo el mismo principio que el ecosistema promete a sus clientes.</w:t>
            </w:r>
          </w:p>
        </w:tc>
        <w:tc>
          <w:tcPr>
            <w:tcW w:type="dxa" w:w="468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pPr>
              <w:spacing w:before="0" w:after="40"/>
            </w:pPr>
            <w:r>
              <w:rPr>
                <w:rFonts w:ascii="Arial" w:cs="Arial" w:eastAsia="Arial" w:hAnsi="Arial"/>
                <w:b/>
                <w:bCs/>
                <w:color w:val="1A7A4A"/>
                <w:sz w:val="20"/>
                <w:szCs w:val="20"/>
              </w:rPr>
              <w:t xml:space="preserve">✓  Diagnóstico corregido</w:t>
            </w:r>
          </w:p>
          <w:p>
            <w:r>
              <w:rPr>
                <w:rFonts w:ascii="Arial" w:cs="Arial" w:eastAsia="Arial" w:hAnsi="Arial"/>
                <w:color w:val="1C1C1C"/>
                <w:sz w:val="20"/>
                <w:szCs w:val="20"/>
              </w:rPr>
              <w:t xml:space="preserve">El precio de penetración es una decisión estratégica consciente para el período sandbox. La lógica es correcta: validar el producto con precio accesible, construir masa crítica y escalar el precio a medida que el producto se consolida y el mercado lo valida.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DISTINCIÓN CRÍTICA</w:t>
            </w:r>
          </w:p>
          <w:p>
            <w:pPr>
              <w:spacing w:before="0" w:after="0"/>
            </w:pPr>
            <w:r>
              <w:rPr>
                <w:rFonts w:ascii="Arial" w:cs="Arial" w:eastAsia="Arial" w:hAnsi="Arial"/>
                <w:color w:val="1C1C1C"/>
                <w:sz w:val="22"/>
                <w:szCs w:val="22"/>
              </w:rPr>
              <w:t xml:space="preserve">Hay una diferencia enorme entre cobrar poco porque no se cree merecer más (creencia limitante) y cobrar poco porque es la estrategia correcta para una fase específica de lanzamiento (decisión táctica). El diagnóstico original confundió las dos. La segunda no necesita corrección — necesita un plan de escalado de precio con criterios claros.</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El Modelo de Negocio Real: Mejora Continua como Ecosistema</w:t>
      </w:r>
    </w:p>
    <w:p>
      <w:pPr>
        <w:spacing w:before="60" w:after="80"/>
      </w:pPr>
      <w:r>
        <w:rPr>
          <w:rFonts w:ascii="Arial" w:cs="Arial" w:eastAsia="Arial" w:hAnsi="Arial"/>
          <w:color w:val="1C1C1C"/>
          <w:sz w:val="22"/>
          <w:szCs w:val="22"/>
        </w:rPr>
        <w:t xml:space="preserve">Lo que el Bloque 2 original no vio es que la app/comunidad no es el negocio — es un producto dentro de un negocio ya existente y operativo. Mejora Continua es un ecosistema consolidado con múltiples líneas de producto que se alimentan mutuamente.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Producto / Servicio</w:t>
            </w:r>
          </w:p>
        </w:tc>
        <w:tc>
          <w:tcPr>
            <w:tcW w:type="dxa" w:w="3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c>
          <w:tcPr>
            <w:tcW w:type="dxa" w:w="28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Rol en el ecosistema</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CRM propio</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Herramienta de gestión de relaciones comerciales desarrollada por Mejora Continua. Activo tecnológico diferencial.</w:t>
            </w:r>
          </w:p>
        </w:tc>
        <w:tc>
          <w:tcPr>
            <w:tcW w:type="dxa" w:w="28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Ingresos directos + eficiencia operativa</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After Office (sello propio)</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Eventos periódicos con marca propia. 2 años de recorrido provincial activo. Último hace menos de 3 meses.</w:t>
            </w:r>
          </w:p>
        </w:tc>
        <w:tc>
          <w:tcPr>
            <w:tcW w:type="dxa" w:w="28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Comunidad activa + captación de leads</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Servicios de asesoría</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Consultoría para empresas y líderes. Motor de ingresos actual. Red de asesores asociados operativa.</w:t>
            </w:r>
          </w:p>
        </w:tc>
        <w:tc>
          <w:tcPr>
            <w:tcW w:type="dxa" w:w="28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Ingreso principal consolidado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Capacitaciones In Company</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Formación para equipos empresariales. Producto de ticket alto con ciclo de venta más largo.</w:t>
            </w:r>
          </w:p>
        </w:tc>
        <w:tc>
          <w:tcPr>
            <w:tcW w:type="dxa" w:w="28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Ingreso de alto valor por proyecto</w:t>
            </w:r>
          </w:p>
        </w:tc>
      </w:tr>
      <w:tr>
        <w:tc>
          <w:tcPr>
            <w:tcW w:type="dxa" w:w="300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80"/>
            </w:tcMar>
          </w:tcPr>
          <w:p>
            <w:r>
              <w:rPr>
                <w:rFonts w:ascii="Arial" w:cs="Arial" w:eastAsia="Arial" w:hAnsi="Arial"/>
                <w:b/>
                <w:bCs/>
                <w:color w:val="1A7A4A"/>
                <w:sz w:val="20"/>
                <w:szCs w:val="20"/>
              </w:rPr>
              <w:t xml:space="preserve">App / Comunidad (nuevo)</w:t>
            </w:r>
          </w:p>
        </w:tc>
        <w:tc>
          <w:tcPr>
            <w:tcW w:type="dxa" w:w="348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80"/>
            </w:tcMar>
          </w:tcPr>
          <w:p>
            <w:r>
              <w:rPr>
                <w:rFonts w:ascii="Arial" w:cs="Arial" w:eastAsia="Arial" w:hAnsi="Arial"/>
                <w:color w:val="1C1C1C"/>
                <w:sz w:val="20"/>
                <w:szCs w:val="20"/>
              </w:rPr>
              <w:t xml:space="preserve">Ecosistema digital de membresías. Producto en fase sandbox. Se integra y alimenta a todos los anteriores.</w:t>
            </w:r>
          </w:p>
        </w:tc>
        <w:tc>
          <w:tcPr>
            <w:tcW w:type="dxa" w:w="2880"/>
            <w:tcBorders>
              <w:top w:val="single" w:color="D5D8DC" w:sz="1"/>
              <w:left w:val="single" w:color="D5D8DC" w:sz="1"/>
              <w:bottom w:val="single" w:color="D5D8DC" w:sz="1"/>
              <w:right w:val="single" w:color="D5D8DC" w:sz="1"/>
            </w:tcBorders>
            <w:shd w:fill="EAFAF1" w:val="clear"/>
            <w:tcMar>
              <w:top w:type="dxa" w:w="80"/>
              <w:left w:type="dxa" w:w="140"/>
              <w:bottom w:type="dxa" w:w="80"/>
              <w:right w:type="dxa" w:w="80"/>
            </w:tcMar>
          </w:tcPr>
          <w:p>
            <w:r>
              <w:rPr>
                <w:rFonts w:ascii="Arial" w:cs="Arial" w:eastAsia="Arial" w:hAnsi="Arial"/>
                <w:b/>
                <w:bCs/>
                <w:color w:val="1A7A4A"/>
                <w:sz w:val="20"/>
                <w:szCs w:val="20"/>
              </w:rPr>
              <w:t xml:space="preserve">Ingreso recurrente futuro + tracción de toda la línea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IMPLICANCIA ESTRATÉGICA</w:t>
            </w:r>
          </w:p>
          <w:p>
            <w:pPr>
              <w:spacing w:before="0" w:after="0"/>
            </w:pPr>
            <w:r>
              <w:rPr>
                <w:rFonts w:ascii="Arial" w:cs="Arial" w:eastAsia="Arial" w:hAnsi="Arial"/>
                <w:color w:val="1C1C1C"/>
                <w:sz w:val="22"/>
                <w:szCs w:val="22"/>
              </w:rPr>
              <w:t xml:space="preserve">Este modelo cambia radicalmente el análisis de riesgo financiero. El sandbox de la app no necesita generar ingresos propios para sostener el negocio durante los primeros 90 días — porque el negocio ya tiene otras líneas operativas. La app es una inversión de validación dentro de un ecosistema que ya factura, no un proyecto que necesita autofinanciarse desde el día 1.</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La Gravitación del Ecosistema: Cómo Todo Lleva Agua al Pozo</w:t>
      </w:r>
    </w:p>
    <w:p>
      <w:pPr>
        <w:spacing w:before="60" w:after="80"/>
      </w:pPr>
      <w:r>
        <w:rPr>
          <w:rFonts w:ascii="Arial" w:cs="Arial" w:eastAsia="Arial" w:hAnsi="Arial"/>
          <w:color w:val="1C1C1C"/>
          <w:sz w:val="22"/>
          <w:szCs w:val="22"/>
        </w:rPr>
        <w:t xml:space="preserve">La metáfora del fundador es exacta: cada producto lleva agua al pozo de Mejora Continua. No son líneas paralelas e independientes — son vectores que convergen en el mismo destino. La app es el último y más poderoso de esos vectores porque es el único que opera de forma permanente, en el dispositivo del usuario, todos los días.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80"/>
            </w:tcMar>
          </w:tcPr>
          <w:p>
            <w:r>
              <w:rPr>
                <w:rFonts w:ascii="Arial" w:cs="Arial" w:eastAsia="Arial" w:hAnsi="Arial"/>
                <w:b/>
                <w:bCs/>
                <w:color w:val="FFFFFF"/>
                <w:sz w:val="20"/>
                <w:szCs w:val="20"/>
              </w:rPr>
              <w:t xml:space="preserve">Producto que genera tracción</w:t>
            </w:r>
          </w:p>
        </w:tc>
        <w:tc>
          <w:tcPr>
            <w:tcW w:type="dxa" w:w="62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80"/>
            </w:tcMar>
          </w:tcPr>
          <w:p>
            <w:r>
              <w:rPr>
                <w:rFonts w:ascii="Arial" w:cs="Arial" w:eastAsia="Arial" w:hAnsi="Arial"/>
                <w:b/>
                <w:bCs/>
                <w:color w:val="FFFFFF"/>
                <w:sz w:val="20"/>
                <w:szCs w:val="20"/>
              </w:rPr>
              <w:t xml:space="preserve">Cómo lleva agua al pozo de Mejora Continua</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b/>
                <w:bCs/>
                <w:color w:val="1B3A5C"/>
                <w:sz w:val="20"/>
                <w:szCs w:val="20"/>
              </w:rPr>
              <w:t xml:space="preserve">App / Comunidad</w:t>
            </w:r>
          </w:p>
        </w:tc>
        <w:tc>
          <w:tcPr>
            <w:tcW w:type="dxa" w:w="624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color w:val="1C1C1C"/>
                <w:sz w:val="20"/>
                <w:szCs w:val="20"/>
              </w:rPr>
              <w:t xml:space="preserve">Expone a todos sus miembros al ecosistema completo de Mejora Continua. El miembro que necesita más que la comunidad encuentra la asesoría, la capacitación o el CRM dentro del mismo universo.</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After Office</w:t>
            </w:r>
          </w:p>
        </w:tc>
        <w:tc>
          <w:tcPr>
            <w:tcW w:type="dxa" w:w="624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80"/>
            </w:tcMar>
          </w:tcPr>
          <w:p>
            <w:r>
              <w:rPr>
                <w:rFonts w:ascii="Arial" w:cs="Arial" w:eastAsia="Arial" w:hAnsi="Arial"/>
                <w:color w:val="1C1C1C"/>
                <w:sz w:val="20"/>
                <w:szCs w:val="20"/>
              </w:rPr>
              <w:t xml:space="preserve">Capta leads que no conocen el ecosistema digital. El evento es la puerta; la app es el siguiente paso natural.</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b/>
                <w:bCs/>
                <w:color w:val="1B3A5C"/>
                <w:sz w:val="20"/>
                <w:szCs w:val="20"/>
              </w:rPr>
              <w:t xml:space="preserve">Asesoría</w:t>
            </w:r>
          </w:p>
        </w:tc>
        <w:tc>
          <w:tcPr>
            <w:tcW w:type="dxa" w:w="624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color w:val="1C1C1C"/>
                <w:sz w:val="20"/>
                <w:szCs w:val="20"/>
              </w:rPr>
              <w:t xml:space="preserve">El cliente de consultoría descubre la comunidad y puede acceder a un espacio de pares que potencia el trabajo 1:1.</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Capacitación In Company</w:t>
            </w:r>
          </w:p>
        </w:tc>
        <w:tc>
          <w:tcPr>
            <w:tcW w:type="dxa" w:w="624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80"/>
            </w:tcMar>
          </w:tcPr>
          <w:p>
            <w:r>
              <w:rPr>
                <w:rFonts w:ascii="Arial" w:cs="Arial" w:eastAsia="Arial" w:hAnsi="Arial"/>
                <w:color w:val="1C1C1C"/>
                <w:sz w:val="20"/>
                <w:szCs w:val="20"/>
              </w:rPr>
              <w:t xml:space="preserve">El equipo que se capacita puede continuar la experiencia en la comunidad. La empresa conoce el ecosistema completo.</w:t>
            </w:r>
          </w:p>
        </w:tc>
      </w:tr>
      <w:tr>
        <w:tc>
          <w:tcPr>
            <w:tcW w:type="dxa" w:w="312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b/>
                <w:bCs/>
                <w:color w:val="1B3A5C"/>
                <w:sz w:val="20"/>
                <w:szCs w:val="20"/>
              </w:rPr>
              <w:t xml:space="preserve">CRM propio</w:t>
            </w:r>
          </w:p>
        </w:tc>
        <w:tc>
          <w:tcPr>
            <w:tcW w:type="dxa" w:w="624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80"/>
            </w:tcMar>
          </w:tcPr>
          <w:p>
            <w:r>
              <w:rPr>
                <w:rFonts w:ascii="Arial" w:cs="Arial" w:eastAsia="Arial" w:hAnsi="Arial"/>
                <w:color w:val="1C1C1C"/>
                <w:sz w:val="20"/>
                <w:szCs w:val="20"/>
              </w:rPr>
              <w:t xml:space="preserve">Gestiona todas las relaciones de todos los productos. La inteligencia de datos cruza entre líneas y permite ofrecer el producto correcto al momento correcto.</w:t>
            </w:r>
          </w:p>
        </w:tc>
      </w:tr>
    </w:tbl>
    <w:p>
      <w:pPr>
        <w:spacing w:before="80" w:after="0"/>
      </w:pPr>
      <w:r>
        <w:t xml:space="preserve"/>
      </w:r>
    </w:p>
    <w:p>
      <w:pPr>
        <w:spacing w:before="60" w:after="80"/>
      </w:pPr>
      <w:r>
        <w:rPr>
          <w:rFonts w:ascii="Arial" w:cs="Arial" w:eastAsia="Arial" w:hAnsi="Arial"/>
          <w:color w:val="1C1C1C"/>
          <w:sz w:val="22"/>
          <w:szCs w:val="22"/>
        </w:rPr>
        <w:t xml:space="preserve">El CRM propio es el sistema nervioso que conecta todo. La inteligencia que cruza entre productos — saber que el miembro de la comunidad también es cliente de asesoría, o que el asistente al after office nunca conoció la app — permite ofertar el producto correcto en el momento correcto sin fricción.</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La Propuesta de Valor Central: lo que Ningún Competidor Tiene</w:t>
      </w:r>
    </w:p>
    <w:p>
      <w:pPr>
        <w:spacing w:before="60" w:after="80"/>
      </w:pPr>
      <w:r>
        <w:rPr>
          <w:rFonts w:ascii="Arial" w:cs="Arial" w:eastAsia="Arial" w:hAnsi="Arial"/>
          <w:color w:val="1C1C1C"/>
          <w:sz w:val="22"/>
          <w:szCs w:val="22"/>
        </w:rPr>
        <w:t xml:space="preserve">Revisado el modelo completo, el diferencial más poderoso de Mejora Continua no es ninguno de los que aparecen en el documento original. Es este: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DIFERENCIAL ÚNICO IDENTIFICADO</w:t>
            </w:r>
          </w:p>
          <w:p>
            <w:pPr>
              <w:spacing w:before="0" w:after="0"/>
            </w:pPr>
            <w:r>
              <w:rPr>
                <w:rFonts w:ascii="Arial" w:cs="Arial" w:eastAsia="Arial" w:hAnsi="Arial"/>
                <w:color w:val="1C1C1C"/>
                <w:sz w:val="22"/>
                <w:szCs w:val="22"/>
              </w:rPr>
              <w:t xml:space="preserve">Mejora Continua es el único ecosistema en la región que integra comunidad de pares + consultoría + eventos + tecnología propia bajo una sola marca y con un solo punto de entrada. TAB, Vistage, REF y YPO son comunidades de pares aisladas. Las consultoras son prestadores de servicios aislados. Los eventos son momentos aislados. Mejora Continua es el único que los conecta en un sistema continuo.</w:t>
            </w:r>
          </w:p>
        </w:tc>
      </w:tr>
    </w:tbl>
    <w:p>
      <w:pPr>
        <w:spacing w:before="80" w:after="0"/>
      </w:pPr>
      <w:r>
        <w:t xml:space="preserve"/>
      </w:r>
    </w:p>
    <w:p>
      <w:pPr>
        <w:spacing w:before="60" w:after="80"/>
      </w:pPr>
      <w:r>
        <w:rPr>
          <w:rFonts w:ascii="Arial" w:cs="Arial" w:eastAsia="Arial" w:hAnsi="Arial"/>
          <w:color w:val="1C1C1C"/>
          <w:sz w:val="22"/>
          <w:szCs w:val="22"/>
        </w:rPr>
        <w:t xml:space="preserve">Tres valores que atraviesan todo el ecosistema y que ningún competidor puede replicar fácilmente:</w:t>
      </w:r>
    </w:p>
    <w:p>
      <w:pPr>
        <w:spacing w:before="4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No es clasista — vincula personas, no puestos ni empresas. Todos con los mismos valores.</w:t>
      </w:r>
    </w:p>
    <w:p>
      <w:pPr>
        <w:pStyle w:val="ListParagraph"/>
        <w:numPr>
          <w:ilvl w:val="0"/>
          <w:numId w:val="2"/>
        </w:numPr>
        <w:spacing w:before="40" w:after="40"/>
      </w:pPr>
      <w:r>
        <w:rPr>
          <w:rFonts w:ascii="Arial" w:cs="Arial" w:eastAsia="Arial" w:hAnsi="Arial"/>
          <w:b/>
          <w:bCs/>
          <w:color w:val="1C1C1C"/>
          <w:sz w:val="22"/>
          <w:szCs w:val="22"/>
        </w:rPr>
        <w:t xml:space="preserve">Es adaptativo — el nivel de compromiso lo define el precio que cada miembro elige pagar.</w:t>
      </w:r>
    </w:p>
    <w:p>
      <w:pPr>
        <w:pStyle w:val="ListParagraph"/>
        <w:numPr>
          <w:ilvl w:val="0"/>
          <w:numId w:val="2"/>
        </w:numPr>
        <w:spacing w:before="40" w:after="40"/>
      </w:pPr>
      <w:r>
        <w:rPr>
          <w:rFonts w:ascii="Arial" w:cs="Arial" w:eastAsia="Arial" w:hAnsi="Arial"/>
          <w:b/>
          <w:bCs/>
          <w:color w:val="1C1C1C"/>
          <w:sz w:val="22"/>
          <w:szCs w:val="22"/>
        </w:rPr>
        <w:t xml:space="preserve">Buenos Negocios con Buenos Valores — el propósito no es solo crecer sino crecer bien.</w:t>
      </w:r>
    </w:p>
    <w:p>
      <w:pPr>
        <w:spacing w:before="80" w:after="0"/>
      </w:pPr>
      <w:r>
        <w:t xml:space="preserve"/>
      </w:r>
    </w:p>
    <w:p>
      <w:pPr>
        <w:spacing w:before="60" w:after="80"/>
      </w:pPr>
      <w:r>
        <w:rPr>
          <w:rFonts w:ascii="Arial" w:cs="Arial" w:eastAsia="Arial" w:hAnsi="Arial"/>
          <w:color w:val="1C1C1C"/>
          <w:sz w:val="22"/>
          <w:szCs w:val="22"/>
        </w:rPr>
        <w:t xml:space="preserve">La app es la infraestructura que hace visible y permanente ese diferencial. Sin la app, el diferencial existe pero vive solo en los momentos de contacto presencial. Con la app, el diferencial está en el bolsillo del miembro todos los días.</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Estrategia de Precio: El Plan de Escalado</w:t>
      </w:r>
    </w:p>
    <w:p>
      <w:pPr>
        <w:spacing w:before="60" w:after="80"/>
      </w:pPr>
      <w:r>
        <w:rPr>
          <w:rFonts w:ascii="Arial" w:cs="Arial" w:eastAsia="Arial" w:hAnsi="Arial"/>
          <w:color w:val="1C1C1C"/>
          <w:sz w:val="22"/>
          <w:szCs w:val="22"/>
        </w:rPr>
        <w:t xml:space="preserve">El precio de penetración para el sandbox es una decisión correcta. Lo que la completa y la hace estratégica — en lugar de simplemente baja — es tener criterios claros para cuándo y cómo escalar. Sin esos criterios, el precio bajo tiende a volverse permanente por inercia, no por decisión.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520"/>
        <w:gridCol w:w="25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Etapa</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Período</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Estrategia de precio</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Lógica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Sandbox / Founders</w:t>
            </w:r>
          </w:p>
        </w:tc>
        <w:tc>
          <w:tcPr>
            <w:tcW w:type="dxa" w:w="234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Primeros 90 días</w:t>
            </w:r>
          </w:p>
        </w:tc>
        <w:tc>
          <w:tcPr>
            <w:tcW w:type="dxa" w:w="25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Gratuito para los 10 founders</w:t>
            </w:r>
          </w:p>
        </w:tc>
        <w:tc>
          <w:tcPr>
            <w:tcW w:type="dxa" w:w="2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Validación sin fricción. Inversión en feedback y red.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Beta abierto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Mes 3 a 6</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de penetración intencional (ARS accesible)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Captura de masa crítica. Sandbox ampliado con datos reales.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Escalado local</w:t>
            </w:r>
          </w:p>
        </w:tc>
        <w:tc>
          <w:tcPr>
            <w:tcW w:type="dxa" w:w="234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Mes 6 a 12</w:t>
            </w:r>
          </w:p>
        </w:tc>
        <w:tc>
          <w:tcPr>
            <w:tcW w:type="dxa" w:w="25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escalonado según evolución del producto y mercado</w:t>
            </w:r>
          </w:p>
        </w:tc>
        <w:tc>
          <w:tcPr>
            <w:tcW w:type="dxa" w:w="25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El producto demostrado justifica el aumento progresivo.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Expansión nacional</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Mes 12+</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diferenciado por mercado con ancla en USD</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Segmentación por poder adquisitivo. Coherencia de posicionamiento.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80"/>
            </w:tcMar>
          </w:tcPr>
          <w:p>
            <w:r>
              <w:rPr>
                <w:rFonts w:ascii="Arial" w:cs="Arial" w:eastAsia="Arial" w:hAnsi="Arial"/>
                <w:b/>
                <w:bCs/>
                <w:color w:val="1B3A5C"/>
                <w:sz w:val="20"/>
                <w:szCs w:val="20"/>
              </w:rPr>
              <w:t xml:space="preserve">Precio objetivo final</w:t>
            </w:r>
          </w:p>
        </w:tc>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80"/>
            </w:tcMar>
          </w:tcPr>
          <w:p>
            <w:r>
              <w:rPr>
                <w:rFonts w:ascii="Arial" w:cs="Arial" w:eastAsia="Arial" w:hAnsi="Arial"/>
                <w:b w:val="false"/>
                <w:bCs w:val="false"/>
                <w:color w:val="1C1C1C"/>
                <w:sz w:val="20"/>
                <w:szCs w:val="20"/>
              </w:rPr>
              <w:t xml:space="preserve">A definir con datos</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propio del producto consolidado</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80"/>
            </w:tcMar>
          </w:tcPr>
          <w:p>
            <w:r>
              <w:rPr>
                <w:rFonts w:ascii="Arial" w:cs="Arial" w:eastAsia="Arial" w:hAnsi="Arial"/>
                <w:b w:val="false"/>
                <w:bCs w:val="false"/>
                <w:color w:val="1C1C1C"/>
                <w:sz w:val="20"/>
                <w:szCs w:val="20"/>
              </w:rPr>
              <w:t xml:space="preserve">Determinado por valor percibido, competencia y tracción real.</w:t>
            </w:r>
          </w:p>
        </w:tc>
      </w:tr>
    </w:tbl>
    <w:p>
      <w:pPr>
        <w:spacing w:before="80" w:after="0"/>
      </w:pPr>
      <w:r>
        <w:t xml:space="preserve"/>
      </w:r>
    </w:p>
    <w:p>
      <w:pPr>
        <w:spacing w:before="60" w:after="80"/>
      </w:pPr>
      <w:r>
        <w:rPr>
          <w:rFonts w:ascii="Arial" w:cs="Arial" w:eastAsia="Arial" w:hAnsi="Arial"/>
          <w:color w:val="1C1C1C"/>
          <w:sz w:val="22"/>
          <w:szCs w:val="22"/>
        </w:rPr>
        <w:t xml:space="preserve">Los criterios de escalado de precio no deben ser temporales ('subo al mes 6') sino basados en indicadores del producto ('subo cuando el 80% de los miembros renueven por segundo mes consecutivo'). El tiempo es un proxy impreciso; la retención es el indicador real de valor percibido.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RECOMENDACIÓN</w:t>
            </w:r>
          </w:p>
          <w:p>
            <w:pPr>
              <w:spacing w:before="0" w:after="0"/>
            </w:pPr>
            <w:r>
              <w:rPr>
                <w:rFonts w:ascii="Arial" w:cs="Arial" w:eastAsia="Arial" w:hAnsi="Arial"/>
                <w:color w:val="1C1C1C"/>
                <w:sz w:val="22"/>
                <w:szCs w:val="22"/>
              </w:rPr>
              <w:t xml:space="preserve">Definir antes del lanzamiento del sandbox tres indicadores concretos que habilitarán el primer aumento de precio. Sugeridos: (1) tasa de retención al mes 2 mayor al 70%, (2) al menos 3 referidos activos generados por los founders, (3) al menos 1 caso documentado de tracción hacia otro producto de Mejora Continua. Cuando los tres se cumplan, el precio sube.</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Lo que el Bloque 2 Original Mantiene Vigente</w:t>
      </w:r>
    </w:p>
    <w:p>
      <w:pPr>
        <w:spacing w:before="60" w:after="80"/>
      </w:pPr>
      <w:r>
        <w:rPr>
          <w:rFonts w:ascii="Arial" w:cs="Arial" w:eastAsia="Arial" w:hAnsi="Arial"/>
          <w:color w:val="1C1C1C"/>
          <w:sz w:val="22"/>
          <w:szCs w:val="22"/>
        </w:rPr>
        <w:t xml:space="preserve">No todo el análisis anterior era incorrecto. Estos puntos siguen siendo válidos con la información corregida:</w:t>
      </w:r>
    </w:p>
    <w:p>
      <w:pPr>
        <w:spacing w:before="6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La necesidad de definir criterios de escalado de precio — ahora reenmarcada como planificación táctica, no corrección de creencia.</w:t>
      </w:r>
    </w:p>
    <w:p>
      <w:pPr>
        <w:pStyle w:val="ListParagraph"/>
        <w:numPr>
          <w:ilvl w:val="0"/>
          <w:numId w:val="2"/>
        </w:numPr>
        <w:spacing w:before="40" w:after="40"/>
      </w:pPr>
      <w:r>
        <w:rPr>
          <w:rFonts w:ascii="Arial" w:cs="Arial" w:eastAsia="Arial" w:hAnsi="Arial"/>
          <w:b/>
          <w:bCs/>
          <w:color w:val="1C1C1C"/>
          <w:sz w:val="22"/>
          <w:szCs w:val="22"/>
        </w:rPr>
        <w:t xml:space="preserve">La importancia de separar el mercado local (ARS) del internacional (USD) con estrategias diferenciadas.</w:t>
      </w:r>
    </w:p>
    <w:p>
      <w:pPr>
        <w:pStyle w:val="ListParagraph"/>
        <w:numPr>
          <w:ilvl w:val="0"/>
          <w:numId w:val="2"/>
        </w:numPr>
        <w:spacing w:before="40" w:after="40"/>
      </w:pPr>
      <w:r>
        <w:rPr>
          <w:rFonts w:ascii="Arial" w:cs="Arial" w:eastAsia="Arial" w:hAnsi="Arial"/>
          <w:b/>
          <w:bCs/>
          <w:color w:val="1C1C1C"/>
          <w:sz w:val="22"/>
          <w:szCs w:val="22"/>
        </w:rPr>
        <w:t xml:space="preserve">El cupo limitado de los founders como mecanismo de exclusividad percibida y gestión de calidad.</w:t>
      </w:r>
    </w:p>
    <w:p>
      <w:pPr>
        <w:pStyle w:val="ListParagraph"/>
        <w:numPr>
          <w:ilvl w:val="0"/>
          <w:numId w:val="2"/>
        </w:numPr>
        <w:spacing w:before="40" w:after="40"/>
      </w:pPr>
      <w:r>
        <w:rPr>
          <w:rFonts w:ascii="Arial" w:cs="Arial" w:eastAsia="Arial" w:hAnsi="Arial"/>
          <w:b/>
          <w:bCs/>
          <w:color w:val="1C1C1C"/>
          <w:sz w:val="22"/>
          <w:szCs w:val="22"/>
        </w:rPr>
        <w:t xml:space="preserve">La necesidad de tener un plan concreto para la conversión de founders a miembros pagos al mes 6.</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Preguntas que Abre Este Bloque Corregido</w:t>
      </w:r>
    </w:p>
    <w:p>
      <w:pPr>
        <w:spacing w:before="60" w:after="80"/>
      </w:pPr>
      <w:r>
        <w:rPr>
          <w:rFonts w:ascii="Arial" w:cs="Arial" w:eastAsia="Arial" w:hAnsi="Arial"/>
          <w:color w:val="1C1C1C"/>
          <w:sz w:val="22"/>
          <w:szCs w:val="22"/>
        </w:rPr>
        <w:t xml:space="preserve">Con el modelo de negocio real claro, emergen nuevas preguntas que los bloques de operaciones y financiero deben responder:</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¿Cuáles son los tres indicadores concretos que habilitarán el primer aumento de precio de la membresía?</w:t>
      </w:r>
    </w:p>
    <w:p>
      <w:pPr>
        <w:pStyle w:val="ListParagraph"/>
        <w:numPr>
          <w:ilvl w:val="0"/>
          <w:numId w:val="2"/>
        </w:numPr>
        <w:spacing w:before="40" w:after="40"/>
      </w:pPr>
      <w:r>
        <w:rPr>
          <w:rFonts w:ascii="Arial" w:cs="Arial" w:eastAsia="Arial" w:hAnsi="Arial"/>
          <w:b w:val="false"/>
          <w:bCs w:val="false"/>
          <w:color w:val="1C1C1C"/>
          <w:sz w:val="22"/>
          <w:szCs w:val="22"/>
        </w:rPr>
        <w:t xml:space="preserve">¿Cómo se gestiona en el CRM el cruce de datos entre los miembros de la comunidad y los clientes de asesoría e in company?</w:t>
      </w:r>
    </w:p>
    <w:p>
      <w:pPr>
        <w:pStyle w:val="ListParagraph"/>
        <w:numPr>
          <w:ilvl w:val="0"/>
          <w:numId w:val="2"/>
        </w:numPr>
        <w:spacing w:before="40" w:after="40"/>
      </w:pPr>
      <w:r>
        <w:rPr>
          <w:rFonts w:ascii="Arial" w:cs="Arial" w:eastAsia="Arial" w:hAnsi="Arial"/>
          <w:b w:val="false"/>
          <w:bCs w:val="false"/>
          <w:color w:val="1C1C1C"/>
          <w:sz w:val="22"/>
          <w:szCs w:val="22"/>
        </w:rPr>
        <w:t xml:space="preserve">¿Hay un protocolo de oferta cruzada definido — por ejemplo, cuándo y cómo se le ofrece asesoría individual a un miembro Premium?</w:t>
      </w:r>
    </w:p>
    <w:p>
      <w:pPr>
        <w:pStyle w:val="ListParagraph"/>
        <w:numPr>
          <w:ilvl w:val="0"/>
          <w:numId w:val="2"/>
        </w:numPr>
        <w:spacing w:before="40" w:after="40"/>
      </w:pPr>
      <w:r>
        <w:rPr>
          <w:rFonts w:ascii="Arial" w:cs="Arial" w:eastAsia="Arial" w:hAnsi="Arial"/>
          <w:b w:val="false"/>
          <w:bCs w:val="false"/>
          <w:color w:val="1C1C1C"/>
          <w:sz w:val="22"/>
          <w:szCs w:val="22"/>
        </w:rPr>
        <w:t xml:space="preserve">¿Los asesores asociados conocen y están integrados al ecosistema de la app, o operan en paralelo sin conexión digital?</w:t>
      </w:r>
    </w:p>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 — Bloque 2 Revisado</w:t>
      </w:r>
    </w:p>
    <w:p>
      <w:pPr>
        <w:jc w:val="center"/>
      </w:pPr>
      <w:r>
        <w:rPr>
          <w:rFonts w:ascii="Arial" w:cs="Arial" w:eastAsia="Arial" w:hAnsi="Arial"/>
          <w:color w:val="AAAAAA"/>
          <w:sz w:val="18"/>
          <w:szCs w:val="18"/>
        </w:rPr>
        <w:t xml:space="preserve">Revisión: 28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2026-03-28T13:33:05.318Z</dcterms:created>
  <dcterms:modified xsi:type="dcterms:W3CDTF">2026-03-28T13:33:05.318Z</dcterms:modified>
</cp:coreProperties>
</file>

<file path=docProps/custom.xml><?xml version="1.0" encoding="utf-8"?>
<Properties xmlns="http://schemas.openxmlformats.org/officeDocument/2006/custom-properties" xmlns:vt="http://schemas.openxmlformats.org/officeDocument/2006/docPropsVTypes"/>
</file>