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60"/>
        <w:jc w:val="center"/>
      </w:pPr>
      <w:r>
        <w:rPr>
          <w:rFonts w:ascii="Arial" w:cs="Arial" w:eastAsia="Arial" w:hAnsi="Arial"/>
          <w:b/>
          <w:bCs/>
          <w:color w:val="1B3A5C"/>
          <w:sz w:val="52"/>
          <w:szCs w:val="52"/>
        </w:rPr>
        <w:t xml:space="preserve">MEJORA CONTINUA</w:t>
      </w:r>
    </w:p>
    <w:p>
      <w:pPr>
        <w:spacing w:before="0" w:after="40"/>
        <w:jc w:val="center"/>
      </w:pPr>
      <w:r>
        <w:rPr>
          <w:rFonts w:ascii="Arial" w:cs="Arial" w:eastAsia="Arial" w:hAnsi="Arial"/>
          <w:color w:val="555555"/>
          <w:sz w:val="32"/>
          <w:szCs w:val="32"/>
        </w:rPr>
        <w:t xml:space="preserve">Ecosistema Estratégico</w:t>
      </w:r>
    </w:p>
    <w:p>
      <w:pPr>
        <w:pBdr>
          <w:bottom w:val="single" w:color="C0392B" w:sz="6" w:space="8"/>
        </w:pBdr>
        <w:spacing w:before="0" w:after="120"/>
        <w:jc w:val="center"/>
      </w:pPr>
      <w:r>
        <w:t xml:space="preserve"/>
      </w:r>
    </w:p>
    <w:p>
      <w:pPr>
        <w:spacing w:before="60" w:after="0"/>
      </w:pPr>
      <w:r>
        <w:t xml:space="preserve"/>
      </w:r>
    </w:p>
    <w:p>
      <w:pPr>
        <w:spacing w:before="0" w:after="20"/>
        <w:jc w:val="center"/>
      </w:pPr>
      <w:r>
        <w:rPr>
          <w:rFonts w:ascii="Arial" w:cs="Arial" w:eastAsia="Arial" w:hAnsi="Arial"/>
          <w:b/>
          <w:bCs/>
          <w:color w:val="C0392B"/>
          <w:sz w:val="30"/>
          <w:szCs w:val="30"/>
        </w:rPr>
        <w:t xml:space="preserve">INFORME DE DIAGNÓSTICO ESTRATÉGICO</w:t>
      </w:r>
    </w:p>
    <w:p>
      <w:pPr>
        <w:spacing w:before="0" w:after="20"/>
        <w:jc w:val="center"/>
      </w:pPr>
      <w:r>
        <w:rPr>
          <w:rFonts w:ascii="Arial" w:cs="Arial" w:eastAsia="Arial" w:hAnsi="Arial"/>
          <w:color w:val="555555"/>
          <w:sz w:val="24"/>
          <w:szCs w:val="24"/>
        </w:rPr>
        <w:t xml:space="preserve">Bloque 5: Tecnología — Cuándo Construir Qué y Por Qué</w:t>
      </w:r>
    </w:p>
    <w:p>
      <w:pPr>
        <w:spacing w:before="0" w:after="480"/>
        <w:jc w:val="center"/>
      </w:pPr>
      <w:r>
        <w:rPr>
          <w:rFonts w:ascii="Arial" w:cs="Arial" w:eastAsia="Arial" w:hAnsi="Arial"/>
          <w:color w:val="888888"/>
          <w:sz w:val="22"/>
          <w:szCs w:val="22"/>
        </w:rPr>
        <w:t xml:space="preserve">Sesión: 27 de marzo de 2026</w:t>
      </w:r>
    </w:p>
    <w:p>
      <w:pPr>
        <w:pStyle w:val="Heading1"/>
        <w:pBdr>
          <w:bottom w:val="single" w:color="1B3A5C" w:sz="4" w:space="6"/>
        </w:pBdr>
        <w:spacing w:before="360" w:after="120"/>
      </w:pPr>
      <w:r>
        <w:rPr>
          <w:rFonts w:ascii="Arial" w:cs="Arial" w:eastAsia="Arial" w:hAnsi="Arial"/>
          <w:b/>
          <w:bCs/>
          <w:color w:val="1B3A5C"/>
          <w:sz w:val="36"/>
          <w:szCs w:val="36"/>
        </w:rPr>
        <w:t xml:space="preserve">1. Resumen del Bloque 5</w:t>
      </w:r>
    </w:p>
    <w:p>
      <w:pPr>
        <w:spacing w:before="60" w:after="80"/>
      </w:pPr>
      <w:r>
        <w:rPr>
          <w:rFonts w:ascii="Arial" w:cs="Arial" w:eastAsia="Arial" w:hAnsi="Arial"/>
          <w:color w:val="1C1C1C"/>
          <w:sz w:val="22"/>
          <w:szCs w:val="22"/>
        </w:rPr>
        <w:t xml:space="preserve">Este bloque diagnosticó el estado tecnológico del ecosistema: el MVP no ha comenzado, hay un acuerdo colaborativo con un desarrollador específico sin costo monetario, el tiempo estimado de desarrollo es de 1 a 3 meses, y el fundador considera la app indispensable desde el día 1 del lanzamiento. Este último punto es la creencia más riesgosa del proyecto.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2"/>
              <w:bottom w:val="single" w:color="C0392B" w:sz="1"/>
              <w:right w:val="single" w:color="C0392B" w:sz="1"/>
            </w:tcBorders>
            <w:shd w:fill="FEF0F0" w:val="clear"/>
            <w:tcMar>
              <w:top w:type="dxa" w:w="120"/>
              <w:left w:type="dxa" w:w="200"/>
              <w:bottom w:type="dxa" w:w="120"/>
              <w:right w:type="dxa" w:w="200"/>
            </w:tcMar>
          </w:tcPr>
          <w:p>
            <w:pPr>
              <w:spacing w:before="0" w:after="40"/>
            </w:pPr>
            <w:r>
              <w:rPr>
                <w:rFonts w:ascii="Arial" w:cs="Arial" w:eastAsia="Arial" w:hAnsi="Arial"/>
                <w:b/>
                <w:bCs/>
                <w:color w:val="C0392B"/>
                <w:sz w:val="22"/>
                <w:szCs w:val="22"/>
              </w:rPr>
              <w:t xml:space="preserve">⚠️  RIESGO CRÍTICO IDENTIFICADO</w:t>
            </w:r>
          </w:p>
          <w:p>
            <w:pPr>
              <w:spacing w:before="0" w:after="0"/>
            </w:pPr>
            <w:r>
              <w:rPr>
                <w:rFonts w:ascii="Arial" w:cs="Arial" w:eastAsia="Arial" w:hAnsi="Arial"/>
                <w:color w:val="1C1C1C"/>
                <w:sz w:val="22"/>
                <w:szCs w:val="22"/>
              </w:rPr>
              <w:t xml:space="preserve">La combinación de tres factores crea un bloqueo estructural: (1) app no iniciada, (2) plazo de 1 a 3 meses, (3) creencia de que la app es indispensable desde el día 1. Esto significa que el lanzamiento real está condicionado a una dependencia técnica sin fecha garantizada. En proyectos colaborativos sin compensación económica, los plazos rara vez se cumplen.</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2. Snapshot Tecnológico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20"/>
            </w:tcMar>
          </w:tcPr>
          <w:p>
            <w:r>
              <w:rPr>
                <w:rFonts w:ascii="Arial" w:cs="Arial" w:eastAsia="Arial" w:hAnsi="Arial"/>
                <w:b/>
                <w:bCs/>
                <w:color w:val="FFFFFF"/>
                <w:sz w:val="22"/>
                <w:szCs w:val="22"/>
              </w:rPr>
              <w:t xml:space="preserve">Variable</w:t>
            </w:r>
          </w:p>
        </w:tc>
        <w:tc>
          <w:tcPr>
            <w:tcW w:type="dxa" w:w="616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20"/>
            </w:tcMar>
          </w:tcPr>
          <w:p>
            <w:r>
              <w:rPr>
                <w:rFonts w:ascii="Arial" w:cs="Arial" w:eastAsia="Arial" w:hAnsi="Arial"/>
                <w:b/>
                <w:bCs/>
                <w:color w:val="FFFFFF"/>
                <w:sz w:val="22"/>
                <w:szCs w:val="22"/>
              </w:rPr>
              <w:t xml:space="preserve">Estado actual</w:t>
            </w:r>
          </w:p>
        </w:tc>
      </w:tr>
      <w:tr>
        <w:tc>
          <w:tcPr>
            <w:tcW w:type="dxa" w:w="32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Estado del MVP</w:t>
            </w:r>
          </w:p>
        </w:tc>
        <w:tc>
          <w:tcPr>
            <w:tcW w:type="dxa" w:w="61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bCs/>
                <w:color w:val="C0392B"/>
                <w:sz w:val="21"/>
                <w:szCs w:val="21"/>
              </w:rPr>
              <w:t xml:space="preserve">No iniciado</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Plataforma elegida</w:t>
            </w:r>
          </w:p>
        </w:tc>
        <w:tc>
          <w:tcPr>
            <w:tcW w:type="dxa" w:w="6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Base44 (low-code) para el MVP</w:t>
            </w:r>
          </w:p>
        </w:tc>
      </w:tr>
      <w:tr>
        <w:tc>
          <w:tcPr>
            <w:tcW w:type="dxa" w:w="32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Responsable técnico</w:t>
            </w:r>
          </w:p>
        </w:tc>
        <w:tc>
          <w:tcPr>
            <w:tcW w:type="dxa" w:w="61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Desarrollador colaborativo — acuerdo concreto firmado</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Modelo de compensación</w:t>
            </w:r>
          </w:p>
        </w:tc>
        <w:tc>
          <w:tcPr>
            <w:tcW w:type="dxa" w:w="6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bCs/>
                <w:color w:val="D35400"/>
                <w:sz w:val="21"/>
                <w:szCs w:val="21"/>
              </w:rPr>
              <w:t xml:space="preserve">Sin pago monetario — trabajo colaborativo</w:t>
            </w:r>
          </w:p>
        </w:tc>
      </w:tr>
      <w:tr>
        <w:tc>
          <w:tcPr>
            <w:tcW w:type="dxa" w:w="32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Presupuesto tecnológico</w:t>
            </w:r>
          </w:p>
        </w:tc>
        <w:tc>
          <w:tcPr>
            <w:tcW w:type="dxa" w:w="61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bCs/>
                <w:color w:val="C0392B"/>
                <w:sz w:val="21"/>
                <w:szCs w:val="21"/>
              </w:rPr>
              <w:t xml:space="preserve">Sin inversión económica separada</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Plazo estimado del MVP</w:t>
            </w:r>
          </w:p>
        </w:tc>
        <w:tc>
          <w:tcPr>
            <w:tcW w:type="dxa" w:w="6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Entre 1 y 3 meses desde el inicio</w:t>
            </w:r>
          </w:p>
        </w:tc>
      </w:tr>
      <w:tr>
        <w:tc>
          <w:tcPr>
            <w:tcW w:type="dxa" w:w="32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Postura ante lanzamiento sin app</w:t>
            </w:r>
          </w:p>
        </w:tc>
        <w:tc>
          <w:tcPr>
            <w:tcW w:type="dxa" w:w="61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bCs/>
                <w:color w:val="C0392B"/>
                <w:sz w:val="21"/>
                <w:szCs w:val="21"/>
              </w:rPr>
              <w:t xml:space="preserve">App considerada indispensable desde el día 1</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Alternativa sin app</w:t>
            </w:r>
          </w:p>
        </w:tc>
        <w:tc>
          <w:tcPr>
            <w:tcW w:type="dxa" w:w="6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bCs/>
                <w:color w:val="C0392B"/>
                <w:sz w:val="21"/>
                <w:szCs w:val="21"/>
              </w:rPr>
              <w:t xml:space="preserve">No contemplada — preferencia de esperar</w:t>
            </w:r>
          </w:p>
        </w:tc>
      </w:tr>
      <w:tr>
        <w:tc>
          <w:tcPr>
            <w:tcW w:type="dxa" w:w="32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Roadmap de escalado</w:t>
            </w:r>
          </w:p>
        </w:tc>
        <w:tc>
          <w:tcPr>
            <w:tcW w:type="dxa" w:w="61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Definido en documento: 5 fases hasta mes 9+</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3. Análisis Crítico: La Creencia Más Peligrosa del Proyecto</w:t>
      </w:r>
    </w:p>
    <w:p>
      <w:pPr>
        <w:pStyle w:val="Heading2"/>
        <w:spacing w:before="280" w:after="80"/>
      </w:pPr>
      <w:r>
        <w:rPr>
          <w:rFonts w:ascii="Arial" w:cs="Arial" w:eastAsia="Arial" w:hAnsi="Arial"/>
          <w:b/>
          <w:bCs/>
          <w:color w:val="1B3A5C"/>
          <w:sz w:val="28"/>
          <w:szCs w:val="28"/>
        </w:rPr>
        <w:t xml:space="preserve">3.1 — 'La app es indispensable desde el día 1'</w:t>
      </w:r>
    </w:p>
    <w:p>
      <w:pPr>
        <w:spacing w:before="60" w:after="80"/>
      </w:pPr>
      <w:r>
        <w:rPr>
          <w:rFonts w:ascii="Arial" w:cs="Arial" w:eastAsia="Arial" w:hAnsi="Arial"/>
          <w:color w:val="1C1C1C"/>
          <w:sz w:val="22"/>
          <w:szCs w:val="22"/>
        </w:rPr>
        <w:t xml:space="preserve">Esta creencia es la que más riesgo concentra en todo el ecosistema — más que el precio bajo, más que la audiencia dormida, más que la falta de capital. Porque es la única que puede paralizar completamente el proyecto sin que el fundador lo decida conscientemente.</w:t>
      </w:r>
    </w:p>
    <w:p>
      <w:pPr>
        <w:spacing w:before="60" w:after="80"/>
      </w:pPr>
      <w:r>
        <w:rPr>
          <w:rFonts w:ascii="Arial" w:cs="Arial" w:eastAsia="Arial" w:hAnsi="Arial"/>
          <w:color w:val="1C1C1C"/>
          <w:sz w:val="22"/>
          <w:szCs w:val="22"/>
        </w:rPr>
        <w:t xml:space="preserve">La app no genera valor por existir. Genera valor cuando hay miembros adentro que la usan. Un ecosistema sin miembros no necesita una app — necesita una primera venta. La secuencia correcta no es: construir app → lanzar → conseguir miembros. Es: conseguir miembros → entender qué necesitan → construir lo que realmente usan.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1"/>
              <w:left w:val="single" w:color="D35400" w:sz="12"/>
              <w:bottom w:val="single" w:color="D35400" w:sz="1"/>
              <w:right w:val="single" w:color="D35400" w:sz="1"/>
            </w:tcBorders>
            <w:shd w:fill="FEF9E7" w:val="clear"/>
            <w:tcMar>
              <w:top w:type="dxa" w:w="120"/>
              <w:left w:type="dxa" w:w="200"/>
              <w:bottom w:type="dxa" w:w="120"/>
              <w:right w:type="dxa" w:w="200"/>
            </w:tcMar>
          </w:tcPr>
          <w:p>
            <w:pPr>
              <w:spacing w:before="0" w:after="40"/>
            </w:pPr>
            <w:r>
              <w:rPr>
                <w:rFonts w:ascii="Arial" w:cs="Arial" w:eastAsia="Arial" w:hAnsi="Arial"/>
                <w:b/>
                <w:bCs/>
                <w:color w:val="D35400"/>
                <w:sz w:val="22"/>
                <w:szCs w:val="22"/>
              </w:rPr>
              <w:t xml:space="preserve">PRINCIPIO CRÍTICO</w:t>
            </w:r>
          </w:p>
          <w:p>
            <w:pPr>
              <w:spacing w:before="0" w:after="0"/>
            </w:pPr>
            <w:r>
              <w:rPr>
                <w:rFonts w:ascii="Arial" w:cs="Arial" w:eastAsia="Arial" w:hAnsi="Arial"/>
                <w:color w:val="1C1C1C"/>
                <w:sz w:val="22"/>
                <w:szCs w:val="22"/>
              </w:rPr>
              <w:t xml:space="preserve">Las comunidades más exitosas del mundo arrancaron en WhatsApp, Telegram o email. La tecnología vino después de validar que había personas dispuestas a pagar y quedarse. Airbnb arrancó con fotos tomadas por el fundador y una planilla de Excel. La app llegó cuando ya había demanda probada.</w:t>
            </w:r>
          </w:p>
        </w:tc>
      </w:tr>
    </w:tbl>
    <w:p>
      <w:pPr>
        <w:spacing w:before="120" w:after="0"/>
      </w:pPr>
      <w:r>
        <w:t xml:space="preserve"/>
      </w:r>
    </w:p>
    <w:p>
      <w:pPr>
        <w:pStyle w:val="Heading2"/>
        <w:spacing w:before="280" w:after="80"/>
      </w:pPr>
      <w:r>
        <w:rPr>
          <w:rFonts w:ascii="Arial" w:cs="Arial" w:eastAsia="Arial" w:hAnsi="Arial"/>
          <w:b/>
          <w:bCs/>
          <w:color w:val="1B3A5C"/>
          <w:sz w:val="28"/>
          <w:szCs w:val="28"/>
        </w:rPr>
        <w:t xml:space="preserve">3.2 — El riesgo del acuerdo colaborativo sin compensación</w:t>
      </w:r>
    </w:p>
    <w:p>
      <w:pPr>
        <w:spacing w:before="60" w:after="80"/>
      </w:pPr>
      <w:r>
        <w:rPr>
          <w:rFonts w:ascii="Arial" w:cs="Arial" w:eastAsia="Arial" w:hAnsi="Arial"/>
          <w:color w:val="1C1C1C"/>
          <w:sz w:val="22"/>
          <w:szCs w:val="22"/>
        </w:rPr>
        <w:t xml:space="preserve">Un desarrollo colaborativo sin compensación económica tiene una dinámica predecible: el proyecto que paga siempre tiene prioridad sobre el que no paga. Eso no es una crítica al colaborador — es la realidad de cómo funciona el tiempo humano.</w:t>
      </w:r>
    </w:p>
    <w:p>
      <w:pPr>
        <w:spacing w:before="60" w:after="80"/>
      </w:pPr>
      <w:r>
        <w:rPr>
          <w:rFonts w:ascii="Arial" w:cs="Arial" w:eastAsia="Arial" w:hAnsi="Arial"/>
          <w:color w:val="1C1C1C"/>
          <w:sz w:val="22"/>
          <w:szCs w:val="22"/>
        </w:rPr>
        <w:t xml:space="preserve">El acuerdo existe y es concreto, lo cual es una fortaleza. Pero sin un contrato que defina entregables, fechas, alcance y consecuencias del incumplimiento, el plazo de '1 a 3 meses' es una estimación optimista, no un compromiso ejecutable.</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1C1C1C"/>
          <w:sz w:val="22"/>
          <w:szCs w:val="22"/>
        </w:rPr>
        <w:t xml:space="preserve">Sin acuerdo escrito de entregables y fechas, el MVP puede extenderse a 6 meses o más.</w:t>
      </w:r>
    </w:p>
    <w:p>
      <w:pPr>
        <w:pStyle w:val="ListParagraph"/>
        <w:numPr>
          <w:ilvl w:val="0"/>
          <w:numId w:val="2"/>
        </w:numPr>
        <w:spacing w:before="40" w:after="40"/>
      </w:pPr>
      <w:r>
        <w:rPr>
          <w:rFonts w:ascii="Arial" w:cs="Arial" w:eastAsia="Arial" w:hAnsi="Arial"/>
          <w:b w:val="false"/>
          <w:bCs w:val="false"/>
          <w:color w:val="1C1C1C"/>
          <w:sz w:val="22"/>
          <w:szCs w:val="22"/>
        </w:rPr>
        <w:t xml:space="preserve">Sin compensación, el colaborador puede priorizar otros proyectos en cualquier momento.</w:t>
      </w:r>
    </w:p>
    <w:p>
      <w:pPr>
        <w:pStyle w:val="ListParagraph"/>
        <w:numPr>
          <w:ilvl w:val="0"/>
          <w:numId w:val="2"/>
        </w:numPr>
        <w:spacing w:before="40" w:after="40"/>
      </w:pPr>
      <w:r>
        <w:rPr>
          <w:rFonts w:ascii="Arial" w:cs="Arial" w:eastAsia="Arial" w:hAnsi="Arial"/>
          <w:b w:val="false"/>
          <w:bCs w:val="false"/>
          <w:color w:val="1C1C1C"/>
          <w:sz w:val="22"/>
          <w:szCs w:val="22"/>
        </w:rPr>
        <w:t xml:space="preserve">El fundador no tiene palanca de negociación si hay retrasos — porque no hay contrato económico.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1"/>
              <w:left w:val="single" w:color="2980B9" w:sz="12"/>
              <w:bottom w:val="single" w:color="2980B9" w:sz="1"/>
              <w:right w:val="single" w:color="2980B9" w:sz="1"/>
            </w:tcBorders>
            <w:shd w:fill="EBF5FB" w:val="clear"/>
            <w:tcMar>
              <w:top w:type="dxa" w:w="120"/>
              <w:left w:type="dxa" w:w="200"/>
              <w:bottom w:type="dxa" w:w="120"/>
              <w:right w:type="dxa" w:w="200"/>
            </w:tcMar>
          </w:tcPr>
          <w:p>
            <w:pPr>
              <w:spacing w:before="0" w:after="40"/>
            </w:pPr>
            <w:r>
              <w:rPr>
                <w:rFonts w:ascii="Arial" w:cs="Arial" w:eastAsia="Arial" w:hAnsi="Arial"/>
                <w:b/>
                <w:bCs/>
                <w:color w:val="2980B9"/>
                <w:sz w:val="22"/>
                <w:szCs w:val="22"/>
              </w:rPr>
              <w:t xml:space="preserve">RECOMENDACIÓN URGENTE</w:t>
            </w:r>
          </w:p>
          <w:p>
            <w:pPr>
              <w:spacing w:before="0" w:after="0"/>
            </w:pPr>
            <w:r>
              <w:rPr>
                <w:rFonts w:ascii="Arial" w:cs="Arial" w:eastAsia="Arial" w:hAnsi="Arial"/>
                <w:color w:val="1C1C1C"/>
                <w:sz w:val="22"/>
                <w:szCs w:val="22"/>
              </w:rPr>
              <w:t xml:space="preserve">Formalizar el acuerdo colaborativo por escrito esta semana: alcance del MVP (4 pantallas específicas), fecha de entrega del primer prototipo funcional, mecanismo de revisión y feedback, y qué ocurre si hay retrasos. Sin esto, el acuerdo es una intención, no un compromiso.</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4. Priorización de Funcionalidades del MVP</w:t>
      </w:r>
    </w:p>
    <w:p>
      <w:pPr>
        <w:spacing w:before="60" w:after="80"/>
      </w:pPr>
      <w:r>
        <w:rPr>
          <w:rFonts w:ascii="Arial" w:cs="Arial" w:eastAsia="Arial" w:hAnsi="Arial"/>
          <w:color w:val="1C1C1C"/>
          <w:sz w:val="22"/>
          <w:szCs w:val="22"/>
        </w:rPr>
        <w:t xml:space="preserve">El documento original define 4 pantallas para el MVP. La siguiente tabla evalúa cada funcionalidad según su criticidad real para el lanzamiento inicial con los primeros 20 miembros: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c>
          <w:tcPr>
            <w:tcW w:type="dxa" w:w="312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Funcionalidad</w:t>
            </w:r>
          </w:p>
        </w:tc>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Prioridad</w:t>
            </w:r>
          </w:p>
        </w:tc>
        <w:tc>
          <w:tcPr>
            <w:tcW w:type="dxa" w:w="384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Razonamiento</w:t>
            </w:r>
          </w:p>
        </w:tc>
      </w:tr>
      <w:tr>
        <w:tc>
          <w:tcPr>
            <w:tcW w:type="dxa" w:w="312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color w:val="1C1C1C"/>
                <w:sz w:val="20"/>
                <w:szCs w:val="20"/>
              </w:rPr>
              <w:t xml:space="preserve">Sistema de login y niveles de acceso</w:t>
            </w:r>
          </w:p>
        </w:tc>
        <w:tc>
          <w:tcPr>
            <w:tcW w:type="dxa" w:w="24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pPr>
              <w:jc w:val="center"/>
            </w:pPr>
            <w:r>
              <w:rPr>
                <w:rFonts w:ascii="Arial" w:cs="Arial" w:eastAsia="Arial" w:hAnsi="Arial"/>
                <w:b/>
                <w:bCs/>
                <w:color w:val="C0392B"/>
                <w:sz w:val="20"/>
                <w:szCs w:val="20"/>
              </w:rPr>
              <w:t xml:space="preserve">CRÍTICA</w:t>
            </w:r>
          </w:p>
        </w:tc>
        <w:tc>
          <w:tcPr>
            <w:tcW w:type="dxa" w:w="384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color w:val="1C1C1C"/>
                <w:sz w:val="20"/>
                <w:szCs w:val="20"/>
              </w:rPr>
              <w:t xml:space="preserve">Sin esto no hay diferenciación entre Nivel 0, 1 y 2. Es el núcleo del modelo.</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color w:val="1C1C1C"/>
                <w:sz w:val="20"/>
                <w:szCs w:val="20"/>
              </w:rPr>
              <w:t xml:space="preserve">El Muro — Ask &amp; Offer (Nivel 1+)</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pPr>
              <w:jc w:val="center"/>
            </w:pPr>
            <w:r>
              <w:rPr>
                <w:rFonts w:ascii="Arial" w:cs="Arial" w:eastAsia="Arial" w:hAnsi="Arial"/>
                <w:b/>
                <w:bCs/>
                <w:color w:val="C0392B"/>
                <w:sz w:val="20"/>
                <w:szCs w:val="20"/>
              </w:rPr>
              <w:t xml:space="preserve">CRÍTICA</w:t>
            </w:r>
          </w:p>
        </w:tc>
        <w:tc>
          <w:tcPr>
            <w:tcW w:type="dxa" w:w="38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color w:val="1C1C1C"/>
                <w:sz w:val="20"/>
                <w:szCs w:val="20"/>
              </w:rPr>
              <w:t xml:space="preserve">Es la razón principal por la que alguien paga la membresía mensual.</w:t>
            </w:r>
          </w:p>
        </w:tc>
      </w:tr>
      <w:tr>
        <w:tc>
          <w:tcPr>
            <w:tcW w:type="dxa" w:w="312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color w:val="1C1C1C"/>
                <w:sz w:val="20"/>
                <w:szCs w:val="20"/>
              </w:rPr>
              <w:t xml:space="preserve">Directorio de miembros</w:t>
            </w:r>
          </w:p>
        </w:tc>
        <w:tc>
          <w:tcPr>
            <w:tcW w:type="dxa" w:w="24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pPr>
              <w:jc w:val="center"/>
            </w:pPr>
            <w:r>
              <w:rPr>
                <w:rFonts w:ascii="Arial" w:cs="Arial" w:eastAsia="Arial" w:hAnsi="Arial"/>
                <w:b/>
                <w:bCs/>
                <w:color w:val="D35400"/>
                <w:sz w:val="20"/>
                <w:szCs w:val="20"/>
              </w:rPr>
              <w:t xml:space="preserve">ALTA</w:t>
            </w:r>
          </w:p>
        </w:tc>
        <w:tc>
          <w:tcPr>
            <w:tcW w:type="dxa" w:w="384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color w:val="1C1C1C"/>
                <w:sz w:val="20"/>
                <w:szCs w:val="20"/>
              </w:rPr>
              <w:t xml:space="preserve">Genera valor de red desde el primer mes. Puede ser simplificado al inicio.</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color w:val="1C1C1C"/>
                <w:sz w:val="20"/>
                <w:szCs w:val="20"/>
              </w:rPr>
              <w:t xml:space="preserve">Calendario de eventos con Tiendup</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pPr>
              <w:jc w:val="center"/>
            </w:pPr>
            <w:r>
              <w:rPr>
                <w:rFonts w:ascii="Arial" w:cs="Arial" w:eastAsia="Arial" w:hAnsi="Arial"/>
                <w:b/>
                <w:bCs/>
                <w:color w:val="D35400"/>
                <w:sz w:val="20"/>
                <w:szCs w:val="20"/>
              </w:rPr>
              <w:t xml:space="preserve">ALTA</w:t>
            </w:r>
          </w:p>
        </w:tc>
        <w:tc>
          <w:tcPr>
            <w:tcW w:type="dxa" w:w="38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color w:val="1C1C1C"/>
                <w:sz w:val="20"/>
                <w:szCs w:val="20"/>
              </w:rPr>
              <w:t xml:space="preserve">Necesario para monetizar el Botón de Emergencia y eventos. Puede ser link externo.</w:t>
            </w:r>
          </w:p>
        </w:tc>
      </w:tr>
      <w:tr>
        <w:tc>
          <w:tcPr>
            <w:tcW w:type="dxa" w:w="312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color w:val="1C1C1C"/>
                <w:sz w:val="20"/>
                <w:szCs w:val="20"/>
              </w:rPr>
              <w:t xml:space="preserve">Pantalla VIP / Círculo Interno (Nivel 2)</w:t>
            </w:r>
          </w:p>
        </w:tc>
        <w:tc>
          <w:tcPr>
            <w:tcW w:type="dxa" w:w="24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pPr>
              <w:jc w:val="center"/>
            </w:pPr>
            <w:r>
              <w:rPr>
                <w:rFonts w:ascii="Arial" w:cs="Arial" w:eastAsia="Arial" w:hAnsi="Arial"/>
                <w:b/>
                <w:bCs/>
                <w:color w:val="D35400"/>
                <w:sz w:val="20"/>
                <w:szCs w:val="20"/>
              </w:rPr>
              <w:t xml:space="preserve">ALTA</w:t>
            </w:r>
          </w:p>
        </w:tc>
        <w:tc>
          <w:tcPr>
            <w:tcW w:type="dxa" w:w="384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color w:val="1C1C1C"/>
                <w:sz w:val="20"/>
                <w:szCs w:val="20"/>
              </w:rPr>
              <w:t xml:space="preserve">Diferenciador del Premium. Puede ser mínimo al inicio.</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color w:val="1C1C1C"/>
                <w:sz w:val="20"/>
                <w:szCs w:val="20"/>
              </w:rPr>
              <w:t xml:space="preserve">Push notifications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pPr>
              <w:jc w:val="center"/>
            </w:pPr>
            <w:r>
              <w:rPr>
                <w:rFonts w:ascii="Arial" w:cs="Arial" w:eastAsia="Arial" w:hAnsi="Arial"/>
                <w:b/>
                <w:bCs/>
                <w:color w:val="2980B9"/>
                <w:sz w:val="20"/>
                <w:szCs w:val="20"/>
              </w:rPr>
              <w:t xml:space="preserve">MEDIA</w:t>
            </w:r>
          </w:p>
        </w:tc>
        <w:tc>
          <w:tcPr>
            <w:tcW w:type="dxa" w:w="38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color w:val="1C1C1C"/>
                <w:sz w:val="20"/>
                <w:szCs w:val="20"/>
              </w:rPr>
              <w:t xml:space="preserve">Útil pero no crítico. WhatsApp reemplaza esto en la primera etapa.</w:t>
            </w:r>
          </w:p>
        </w:tc>
      </w:tr>
      <w:tr>
        <w:tc>
          <w:tcPr>
            <w:tcW w:type="dxa" w:w="312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color w:val="1C1C1C"/>
                <w:sz w:val="20"/>
                <w:szCs w:val="20"/>
              </w:rPr>
              <w:t xml:space="preserve">Mensajería interna en la app</w:t>
            </w:r>
          </w:p>
        </w:tc>
        <w:tc>
          <w:tcPr>
            <w:tcW w:type="dxa" w:w="24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pPr>
              <w:jc w:val="center"/>
            </w:pPr>
            <w:r>
              <w:rPr>
                <w:rFonts w:ascii="Arial" w:cs="Arial" w:eastAsia="Arial" w:hAnsi="Arial"/>
                <w:b/>
                <w:bCs/>
                <w:color w:val="2980B9"/>
                <w:sz w:val="20"/>
                <w:szCs w:val="20"/>
              </w:rPr>
              <w:t xml:space="preserve">MEDIA</w:t>
            </w:r>
          </w:p>
        </w:tc>
        <w:tc>
          <w:tcPr>
            <w:tcW w:type="dxa" w:w="384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color w:val="1C1C1C"/>
                <w:sz w:val="20"/>
                <w:szCs w:val="20"/>
              </w:rPr>
              <w:t xml:space="preserve">WhatsApp cubre esto. No es diferenciador en el MVP.</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color w:val="1C1C1C"/>
                <w:sz w:val="20"/>
                <w:szCs w:val="20"/>
              </w:rPr>
              <w:t xml:space="preserve">Video streaming propio</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pPr>
              <w:jc w:val="center"/>
            </w:pPr>
            <w:r>
              <w:rPr>
                <w:rFonts w:ascii="Arial" w:cs="Arial" w:eastAsia="Arial" w:hAnsi="Arial"/>
                <w:b/>
                <w:bCs/>
                <w:color w:val="7F8C8D"/>
                <w:sz w:val="20"/>
                <w:szCs w:val="20"/>
              </w:rPr>
              <w:t xml:space="preserve">BAJA</w:t>
            </w:r>
          </w:p>
        </w:tc>
        <w:tc>
          <w:tcPr>
            <w:tcW w:type="dxa" w:w="38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color w:val="1C1C1C"/>
                <w:sz w:val="20"/>
                <w:szCs w:val="20"/>
              </w:rPr>
              <w:t xml:space="preserve">Fase 5 del roadmap. Completamente prescindible en el MVP.</w:t>
            </w:r>
          </w:p>
        </w:tc>
      </w:tr>
      <w:tr>
        <w:tc>
          <w:tcPr>
            <w:tcW w:type="dxa" w:w="312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color w:val="1C1C1C"/>
                <w:sz w:val="20"/>
                <w:szCs w:val="20"/>
              </w:rPr>
              <w:t xml:space="preserve">CRM integrado</w:t>
            </w:r>
          </w:p>
        </w:tc>
        <w:tc>
          <w:tcPr>
            <w:tcW w:type="dxa" w:w="24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pPr>
              <w:jc w:val="center"/>
            </w:pPr>
            <w:r>
              <w:rPr>
                <w:rFonts w:ascii="Arial" w:cs="Arial" w:eastAsia="Arial" w:hAnsi="Arial"/>
                <w:b/>
                <w:bCs/>
                <w:color w:val="7F8C8D"/>
                <w:sz w:val="20"/>
                <w:szCs w:val="20"/>
              </w:rPr>
              <w:t xml:space="preserve">BAJA</w:t>
            </w:r>
          </w:p>
        </w:tc>
        <w:tc>
          <w:tcPr>
            <w:tcW w:type="dxa" w:w="384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color w:val="1C1C1C"/>
                <w:sz w:val="20"/>
                <w:szCs w:val="20"/>
              </w:rPr>
              <w:t xml:space="preserve">Fase 5 del roadmap. Una planilla de Google cubre esto por ahora.</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color w:val="1C1C1C"/>
                <w:sz w:val="20"/>
                <w:szCs w:val="20"/>
              </w:rPr>
              <w:t xml:space="preserve">Automatización de pagos con HMAC</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pPr>
              <w:jc w:val="center"/>
            </w:pPr>
            <w:r>
              <w:rPr>
                <w:rFonts w:ascii="Arial" w:cs="Arial" w:eastAsia="Arial" w:hAnsi="Arial"/>
                <w:b/>
                <w:bCs/>
                <w:color w:val="2980B9"/>
                <w:sz w:val="20"/>
                <w:szCs w:val="20"/>
              </w:rPr>
              <w:t xml:space="preserve">MEDIA</w:t>
            </w:r>
          </w:p>
        </w:tc>
        <w:tc>
          <w:tcPr>
            <w:tcW w:type="dxa" w:w="38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color w:val="1C1C1C"/>
                <w:sz w:val="20"/>
                <w:szCs w:val="20"/>
              </w:rPr>
              <w:t xml:space="preserve">Importante para escala, no para los primeros 20 miembros con alta manual.</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5. Propuesta de Timeline Tecnológico Revisado</w:t>
      </w:r>
    </w:p>
    <w:p>
      <w:pPr>
        <w:spacing w:before="60" w:after="80"/>
      </w:pPr>
      <w:r>
        <w:rPr>
          <w:rFonts w:ascii="Arial" w:cs="Arial" w:eastAsia="Arial" w:hAnsi="Arial"/>
          <w:color w:val="1C1C1C"/>
          <w:sz w:val="22"/>
          <w:szCs w:val="22"/>
        </w:rPr>
        <w:t xml:space="preserve">En función del diagnóstico, se propone un timeline que desacopla el lanzamiento del ecosistema de la disponibilidad de la app, reduciendo el riesgo de bloqueo: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Fase</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Período</w:t>
            </w:r>
          </w:p>
        </w:tc>
        <w:tc>
          <w:tcPr>
            <w:tcW w:type="dxa" w:w="3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Qué se construye</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Condición de inicio</w:t>
            </w:r>
          </w:p>
        </w:tc>
      </w:tr>
      <w:tr>
        <w:tc>
          <w:tcPr>
            <w:tcW w:type="dxa" w:w="1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C0392B"/>
                <w:sz w:val="20"/>
                <w:szCs w:val="20"/>
              </w:rPr>
              <w:t xml:space="preserve">S1–S3</w:t>
            </w:r>
          </w:p>
        </w:tc>
        <w:tc>
          <w:tcPr>
            <w:tcW w:type="dxa" w:w="24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1B3A5C"/>
                <w:sz w:val="20"/>
                <w:szCs w:val="20"/>
              </w:rPr>
              <w:t xml:space="preserve">HOY (sin app)</w:t>
            </w:r>
          </w:p>
        </w:tc>
        <w:tc>
          <w:tcPr>
            <w:tcW w:type="dxa" w:w="336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Reactivación de audiencia, evento presencial, primeras ventas de membresía con alta manual</w:t>
            </w:r>
          </w:p>
        </w:tc>
        <w:tc>
          <w:tcPr>
            <w:tcW w:type="dxa" w:w="24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Ejecutar protocolo de 3 semanas de WhatsApp</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C0392B"/>
                <w:sz w:val="20"/>
                <w:szCs w:val="20"/>
              </w:rPr>
              <w:t xml:space="preserve">M1–M2</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MVP Fase 1</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Login + Muro + Directorio básico. Las 2 funcionalidades críticas operativas.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Primer evento realizado. Al menos 5 miembros pagos.</w:t>
            </w:r>
          </w:p>
        </w:tc>
      </w:tr>
      <w:tr>
        <w:tc>
          <w:tcPr>
            <w:tcW w:type="dxa" w:w="1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C0392B"/>
                <w:sz w:val="20"/>
                <w:szCs w:val="20"/>
              </w:rPr>
              <w:t xml:space="preserve">M2–M3</w:t>
            </w:r>
          </w:p>
        </w:tc>
        <w:tc>
          <w:tcPr>
            <w:tcW w:type="dxa" w:w="24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1B3A5C"/>
                <w:sz w:val="20"/>
                <w:szCs w:val="20"/>
              </w:rPr>
              <w:t xml:space="preserve">MVP Fase 2</w:t>
            </w:r>
          </w:p>
        </w:tc>
        <w:tc>
          <w:tcPr>
            <w:tcW w:type="dxa" w:w="336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Calendario + Pantalla VIP + integración Tiendup. Experiencia Premium completa.</w:t>
            </w:r>
          </w:p>
        </w:tc>
        <w:tc>
          <w:tcPr>
            <w:tcW w:type="dxa" w:w="24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MVP Fase 1 funcionando. 10+ miembros activos.</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C0392B"/>
                <w:sz w:val="20"/>
                <w:szCs w:val="20"/>
              </w:rPr>
              <w:t xml:space="preserve">M3–M6</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Escala Intermedia</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Webhooks de pago automático, push notifications, mensajería.</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50+ usuarios. MRR estable por 2 meses consecutivos.</w:t>
            </w:r>
          </w:p>
        </w:tc>
      </w:tr>
      <w:tr>
        <w:tc>
          <w:tcPr>
            <w:tcW w:type="dxa" w:w="1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C0392B"/>
                <w:sz w:val="20"/>
                <w:szCs w:val="20"/>
              </w:rPr>
              <w:t xml:space="preserve">M6–M9</w:t>
            </w:r>
          </w:p>
        </w:tc>
        <w:tc>
          <w:tcPr>
            <w:tcW w:type="dxa" w:w="24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1B3A5C"/>
                <w:sz w:val="20"/>
                <w:szCs w:val="20"/>
              </w:rPr>
              <w:t xml:space="preserve">Transición Nativa</w:t>
            </w:r>
          </w:p>
        </w:tc>
        <w:tc>
          <w:tcPr>
            <w:tcW w:type="dxa" w:w="336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Backend Node.js + PostgreSQL. Autorización real en servidor.</w:t>
            </w:r>
          </w:p>
        </w:tc>
        <w:tc>
          <w:tcPr>
            <w:tcW w:type="dxa" w:w="24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200+ usuarios. Acuerdo con desarrollador nativo.</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C0392B"/>
                <w:sz w:val="20"/>
                <w:szCs w:val="20"/>
              </w:rPr>
              <w:t xml:space="preserve">M9+</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Stores &amp; Optimización</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App Store, Google Play, video streaming, CRM.</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App estable. Recursos para inversión en stores.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2"/>
              <w:bottom w:val="single" w:color="1A7A4A" w:sz="1"/>
              <w:right w:val="single" w:color="1A7A4A" w:sz="1"/>
            </w:tcBorders>
            <w:shd w:fill="E8F8F5" w:val="clear"/>
            <w:tcMar>
              <w:top w:type="dxa" w:w="120"/>
              <w:left w:type="dxa" w:w="200"/>
              <w:bottom w:type="dxa" w:w="120"/>
              <w:right w:type="dxa" w:w="200"/>
            </w:tcMar>
          </w:tcPr>
          <w:p>
            <w:pPr>
              <w:spacing w:before="0" w:after="40"/>
            </w:pPr>
            <w:r>
              <w:rPr>
                <w:rFonts w:ascii="Arial" w:cs="Arial" w:eastAsia="Arial" w:hAnsi="Arial"/>
                <w:b/>
                <w:bCs/>
                <w:color w:val="1A7A4A"/>
                <w:sz w:val="22"/>
                <w:szCs w:val="22"/>
              </w:rPr>
              <w:t xml:space="preserve">CONCEPTO CLAVE</w:t>
            </w:r>
          </w:p>
          <w:p>
            <w:pPr>
              <w:spacing w:before="0" w:after="0"/>
            </w:pPr>
            <w:r>
              <w:rPr>
                <w:rFonts w:ascii="Arial" w:cs="Arial" w:eastAsia="Arial" w:hAnsi="Arial"/>
                <w:color w:val="1C1C1C"/>
                <w:sz w:val="22"/>
                <w:szCs w:val="22"/>
              </w:rPr>
              <w:t xml:space="preserve">El lanzamiento no espera a la app. La app espera al lanzamiento. Esta inversión de la secuencia es lo que separa a los proyectos que validan de los que construyen en el vacío. Los primeros 3 miembros pagos enseñan más sobre qué construir que 3 meses de desarrollo sin feedback real.</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6. Plan de Contingencia Tecnológica</w:t>
      </w:r>
    </w:p>
    <w:p>
      <w:pPr>
        <w:spacing w:before="60" w:after="80"/>
      </w:pPr>
      <w:r>
        <w:rPr>
          <w:rFonts w:ascii="Arial" w:cs="Arial" w:eastAsia="Arial" w:hAnsi="Arial"/>
          <w:color w:val="1C1C1C"/>
          <w:sz w:val="22"/>
          <w:szCs w:val="22"/>
        </w:rPr>
        <w:t xml:space="preserve">Si el MVP no está listo cuando el primer evento ocurre — lo cual es probable dado el plazo de 1 a 3 meses — el ecosistema necesita un plan B que no comprometa la experiencia del primer miembro. Estas son las herramientas que pueden simular cada funcionalidad del MVP sin desarrollo: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Funcionalidad del MVP</w:t>
            </w:r>
          </w:p>
        </w:tc>
        <w:tc>
          <w:tcPr>
            <w:tcW w:type="dxa" w:w="312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Herramienta de contingencia</w:t>
            </w:r>
          </w:p>
        </w:tc>
        <w:tc>
          <w:tcPr>
            <w:tcW w:type="dxa" w:w="312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Costo</w:t>
            </w:r>
          </w:p>
        </w:tc>
      </w:tr>
      <w:tr>
        <w:tc>
          <w:tcPr>
            <w:tcW w:type="dxa" w:w="312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val="false"/>
                <w:bCs w:val="false"/>
                <w:color w:val="1C1C1C"/>
                <w:sz w:val="20"/>
                <w:szCs w:val="20"/>
              </w:rPr>
              <w:t xml:space="preserve">Login y control de acceso</w:t>
            </w:r>
          </w:p>
        </w:tc>
        <w:tc>
          <w:tcPr>
            <w:tcW w:type="dxa" w:w="312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val="false"/>
                <w:bCs w:val="false"/>
                <w:color w:val="1C1C1C"/>
                <w:sz w:val="20"/>
                <w:szCs w:val="20"/>
              </w:rPr>
              <w:t xml:space="preserve">Google Groups + acceso por email</w:t>
            </w:r>
          </w:p>
        </w:tc>
        <w:tc>
          <w:tcPr>
            <w:tcW w:type="dxa" w:w="312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A7A4A"/>
                <w:sz w:val="20"/>
                <w:szCs w:val="20"/>
              </w:rPr>
              <w:t xml:space="preserve">Gratis</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val="false"/>
                <w:bCs w:val="false"/>
                <w:color w:val="1C1C1C"/>
                <w:sz w:val="20"/>
                <w:szCs w:val="20"/>
              </w:rPr>
              <w:t xml:space="preserve">El Muro — Ask &amp; Offer</w:t>
            </w:r>
          </w:p>
        </w:tc>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val="false"/>
                <w:bCs w:val="false"/>
                <w:color w:val="1C1C1C"/>
                <w:sz w:val="20"/>
                <w:szCs w:val="20"/>
              </w:rPr>
              <w:t xml:space="preserve">Grupo de WhatsApp exclusivo por nivel</w:t>
            </w:r>
          </w:p>
        </w:tc>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A7A4A"/>
                <w:sz w:val="20"/>
                <w:szCs w:val="20"/>
              </w:rPr>
              <w:t xml:space="preserve">Gratis</w:t>
            </w:r>
          </w:p>
        </w:tc>
      </w:tr>
      <w:tr>
        <w:tc>
          <w:tcPr>
            <w:tcW w:type="dxa" w:w="312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val="false"/>
                <w:bCs w:val="false"/>
                <w:color w:val="1C1C1C"/>
                <w:sz w:val="20"/>
                <w:szCs w:val="20"/>
              </w:rPr>
              <w:t xml:space="preserve">Directorio de miembros</w:t>
            </w:r>
          </w:p>
        </w:tc>
        <w:tc>
          <w:tcPr>
            <w:tcW w:type="dxa" w:w="312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val="false"/>
                <w:bCs w:val="false"/>
                <w:color w:val="1C1C1C"/>
                <w:sz w:val="20"/>
                <w:szCs w:val="20"/>
              </w:rPr>
              <w:t xml:space="preserve">Google Sheet compartida con fotos y datos</w:t>
            </w:r>
          </w:p>
        </w:tc>
        <w:tc>
          <w:tcPr>
            <w:tcW w:type="dxa" w:w="312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A7A4A"/>
                <w:sz w:val="20"/>
                <w:szCs w:val="20"/>
              </w:rPr>
              <w:t xml:space="preserve">Gratis</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val="false"/>
                <w:bCs w:val="false"/>
                <w:color w:val="1C1C1C"/>
                <w:sz w:val="20"/>
                <w:szCs w:val="20"/>
              </w:rPr>
              <w:t xml:space="preserve">Calendario de eventos</w:t>
            </w:r>
          </w:p>
        </w:tc>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val="false"/>
                <w:bCs w:val="false"/>
                <w:color w:val="1C1C1C"/>
                <w:sz w:val="20"/>
                <w:szCs w:val="20"/>
              </w:rPr>
              <w:t xml:space="preserve">Google Calendar compartido + link Tiendup</w:t>
            </w:r>
          </w:p>
        </w:tc>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A7A4A"/>
                <w:sz w:val="20"/>
                <w:szCs w:val="20"/>
              </w:rPr>
              <w:t xml:space="preserve">Gratis</w:t>
            </w:r>
          </w:p>
        </w:tc>
      </w:tr>
      <w:tr>
        <w:tc>
          <w:tcPr>
            <w:tcW w:type="dxa" w:w="312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val="false"/>
                <w:bCs w:val="false"/>
                <w:color w:val="1C1C1C"/>
                <w:sz w:val="20"/>
                <w:szCs w:val="20"/>
              </w:rPr>
              <w:t xml:space="preserve">Contenido VIP (Nivel 2)</w:t>
            </w:r>
          </w:p>
        </w:tc>
        <w:tc>
          <w:tcPr>
            <w:tcW w:type="dxa" w:w="312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val="false"/>
                <w:bCs w:val="false"/>
                <w:color w:val="1C1C1C"/>
                <w:sz w:val="20"/>
                <w:szCs w:val="20"/>
              </w:rPr>
              <w:t xml:space="preserve">Carpeta de Google Drive exclusiva</w:t>
            </w:r>
          </w:p>
        </w:tc>
        <w:tc>
          <w:tcPr>
            <w:tcW w:type="dxa" w:w="312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A7A4A"/>
                <w:sz w:val="20"/>
                <w:szCs w:val="20"/>
              </w:rPr>
              <w:t xml:space="preserve">Gratis</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val="false"/>
                <w:bCs w:val="false"/>
                <w:color w:val="1C1C1C"/>
                <w:sz w:val="20"/>
                <w:szCs w:val="20"/>
              </w:rPr>
              <w:t xml:space="preserve">Cobro de membresías</w:t>
            </w:r>
          </w:p>
        </w:tc>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val="false"/>
                <w:bCs w:val="false"/>
                <w:color w:val="1C1C1C"/>
                <w:sz w:val="20"/>
                <w:szCs w:val="20"/>
              </w:rPr>
              <w:t xml:space="preserve">Mercado Pago / Tiendup / transferencia directa</w:t>
            </w:r>
          </w:p>
        </w:tc>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A7A4A"/>
                <w:sz w:val="20"/>
                <w:szCs w:val="20"/>
              </w:rPr>
              <w:t xml:space="preserve">% de comisión</w:t>
            </w:r>
          </w:p>
        </w:tc>
      </w:tr>
    </w:tbl>
    <w:p>
      <w:pPr>
        <w:spacing w:before="80" w:after="0"/>
      </w:pPr>
      <w:r>
        <w:t xml:space="preserve"/>
      </w:r>
    </w:p>
    <w:p>
      <w:pPr>
        <w:spacing w:before="60" w:after="80"/>
      </w:pPr>
      <w:r>
        <w:rPr>
          <w:rFonts w:ascii="Arial" w:cs="Arial" w:eastAsia="Arial" w:hAnsi="Arial"/>
          <w:color w:val="1C1C1C"/>
          <w:sz w:val="22"/>
          <w:szCs w:val="22"/>
        </w:rPr>
        <w:t xml:space="preserve">Este stack de contingencia tiene costo cero, puede implementarse en 48 horas y sostiene perfectamente a los primeros 20 miembros. No es el ecosistema definitivo — es el puente que permite lanzar sin esperar.</w:t>
      </w:r>
    </w:p>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7. Próximos Bloques</w:t>
      </w:r>
    </w:p>
    <w:p>
      <w:pPr>
        <w:spacing w:before="60" w:after="80"/>
      </w:pPr>
      <w:r>
        <w:rPr>
          <w:rFonts w:ascii="Arial" w:cs="Arial" w:eastAsia="Arial" w:hAnsi="Arial"/>
          <w:color w:val="1C1C1C"/>
          <w:sz w:val="22"/>
          <w:szCs w:val="22"/>
        </w:rPr>
        <w:t xml:space="preserve">Con el diagnóstico tecnológico completo, el siguiente bloque cierra el ciclo con el modelo financiero consolidado y el plan de operaciones:</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1C1C1C"/>
          <w:sz w:val="22"/>
          <w:szCs w:val="22"/>
        </w:rPr>
        <w:t xml:space="preserve">Bloque 6: Modelo financiero a 12 meses — proyección integrada de evento + membresías + consultoría</w:t>
      </w:r>
    </w:p>
    <w:p>
      <w:pPr>
        <w:pStyle w:val="ListParagraph"/>
        <w:numPr>
          <w:ilvl w:val="0"/>
          <w:numId w:val="2"/>
        </w:numPr>
        <w:spacing w:before="40" w:after="40"/>
      </w:pPr>
      <w:r>
        <w:rPr>
          <w:rFonts w:ascii="Arial" w:cs="Arial" w:eastAsia="Arial" w:hAnsi="Arial"/>
          <w:b w:val="false"/>
          <w:bCs w:val="false"/>
          <w:color w:val="1C1C1C"/>
          <w:sz w:val="22"/>
          <w:szCs w:val="22"/>
        </w:rPr>
        <w:t xml:space="preserve">Bloque 7: Operaciones y escalado — procesos, documentación y criterios de expansión internacional</w:t>
      </w:r>
    </w:p>
    <w:p>
      <w:pPr>
        <w:spacing w:before="160" w:after="0"/>
      </w:pPr>
      <w:r>
        <w:t xml:space="preserve"/>
      </w:r>
    </w:p>
    <w:p>
      <w:pPr>
        <w:pBdr>
          <w:top w:val="single" w:color="D5D8DC" w:sz="2" w:space="8"/>
        </w:pBdr>
        <w:spacing w:before="120" w:after="40"/>
        <w:jc w:val="center"/>
      </w:pPr>
      <w:r>
        <w:rPr>
          <w:rFonts w:ascii="Arial" w:cs="Arial" w:eastAsia="Arial" w:hAnsi="Arial"/>
          <w:color w:val="888888"/>
          <w:sz w:val="18"/>
          <w:szCs w:val="18"/>
        </w:rPr>
        <w:t xml:space="preserve">Mejora Continua — Diagnóstico Estratégico Confidencial</w:t>
      </w:r>
    </w:p>
    <w:p>
      <w:pPr>
        <w:jc w:val="center"/>
      </w:pPr>
      <w:r>
        <w:rPr>
          <w:rFonts w:ascii="Arial" w:cs="Arial" w:eastAsia="Arial" w:hAnsi="Arial"/>
          <w:color w:val="AAAAAA"/>
          <w:sz w:val="18"/>
          <w:szCs w:val="18"/>
        </w:rPr>
        <w:t xml:space="preserve">Sesión de trabajo — 27 de marzo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2026-03-27T21:11:00.771Z</dcterms:created>
  <dcterms:modified xsi:type="dcterms:W3CDTF">2026-03-27T21:11:00.771Z</dcterms:modified>
</cp:coreProperties>
</file>

<file path=docProps/custom.xml><?xml version="1.0" encoding="utf-8"?>
<Properties xmlns="http://schemas.openxmlformats.org/officeDocument/2006/custom-properties" xmlns:vt="http://schemas.openxmlformats.org/officeDocument/2006/docPropsVTypes"/>
</file>