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Arial" w:cs="Arial" w:eastAsia="Arial" w:hAnsi="Arial"/>
          <w:b/>
          <w:bCs/>
          <w:color w:val="1B3A5C"/>
          <w:sz w:val="52"/>
          <w:szCs w:val="52"/>
        </w:rPr>
        <w:t xml:space="preserve">MEJORA CONTINUA</w:t>
      </w:r>
    </w:p>
    <w:p>
      <w:pPr>
        <w:spacing w:before="0" w:after="40"/>
        <w:jc w:val="center"/>
      </w:pPr>
      <w:r>
        <w:rPr>
          <w:rFonts w:ascii="Arial" w:cs="Arial" w:eastAsia="Arial" w:hAnsi="Arial"/>
          <w:color w:val="555555"/>
          <w:sz w:val="32"/>
          <w:szCs w:val="32"/>
        </w:rPr>
        <w:t xml:space="preserve">Ecosistema Estratégico</w:t>
      </w:r>
    </w:p>
    <w:p>
      <w:pPr>
        <w:pBdr>
          <w:bottom w:val="single" w:color="C0392B" w:sz="6" w:space="8"/>
        </w:pBdr>
        <w:spacing w:before="0" w:after="120"/>
        <w:jc w:val="center"/>
      </w:pPr>
      <w:r>
        <w:t xml:space="preserve"/>
      </w:r>
    </w:p>
    <w:p>
      <w:pPr>
        <w:spacing w:before="60" w:after="0"/>
      </w:pPr>
      <w:r>
        <w:t xml:space="preserve"/>
      </w:r>
    </w:p>
    <w:p>
      <w:pPr>
        <w:spacing w:before="0" w:after="20"/>
        <w:jc w:val="center"/>
      </w:pPr>
      <w:r>
        <w:rPr>
          <w:rFonts w:ascii="Arial" w:cs="Arial" w:eastAsia="Arial" w:hAnsi="Arial"/>
          <w:b/>
          <w:bCs/>
          <w:color w:val="C0392B"/>
          <w:sz w:val="30"/>
          <w:szCs w:val="30"/>
        </w:rPr>
        <w:t xml:space="preserve">INFORME DE DIAGNÓSTICO ESTRATÉGICO</w:t>
      </w:r>
    </w:p>
    <w:p>
      <w:pPr>
        <w:spacing w:before="0" w:after="20"/>
        <w:jc w:val="center"/>
      </w:pPr>
      <w:r>
        <w:rPr>
          <w:rFonts w:ascii="Arial" w:cs="Arial" w:eastAsia="Arial" w:hAnsi="Arial"/>
          <w:color w:val="555555"/>
          <w:sz w:val="24"/>
          <w:szCs w:val="24"/>
        </w:rPr>
        <w:t xml:space="preserve">Bloques 6 y 7: Modelo Financiero y Operaciones — Informe Integrado de Cierre</w:t>
      </w:r>
    </w:p>
    <w:p>
      <w:pPr>
        <w:spacing w:before="0" w:after="480"/>
        <w:jc w:val="center"/>
      </w:pPr>
      <w:r>
        <w:rPr>
          <w:rFonts w:ascii="Arial" w:cs="Arial" w:eastAsia="Arial" w:hAnsi="Arial"/>
          <w:color w:val="888888"/>
          <w:sz w:val="22"/>
          <w:szCs w:val="22"/>
        </w:rPr>
        <w:t xml:space="preserve">Sesión: 27 de marzo de 2026</w:t>
      </w:r>
    </w:p>
    <w:p>
      <w:pPr>
        <w:pStyle w:val="Heading1"/>
        <w:pBdr>
          <w:bottom w:val="single" w:color="1B3A5C" w:sz="4" w:space="6"/>
        </w:pBdr>
        <w:spacing w:before="360" w:after="120"/>
      </w:pPr>
      <w:r>
        <w:rPr>
          <w:rFonts w:ascii="Arial" w:cs="Arial" w:eastAsia="Arial" w:hAnsi="Arial"/>
          <w:b/>
          <w:bCs/>
          <w:color w:val="1B3A5C"/>
          <w:sz w:val="36"/>
          <w:szCs w:val="36"/>
        </w:rPr>
        <w:t xml:space="preserve">1. El Contexto Financiero Real</w:t>
      </w:r>
    </w:p>
    <w:p>
      <w:pPr>
        <w:spacing w:before="60" w:after="80"/>
      </w:pPr>
      <w:r>
        <w:rPr>
          <w:rFonts w:ascii="Arial" w:cs="Arial" w:eastAsia="Arial" w:hAnsi="Arial"/>
          <w:color w:val="1C1C1C"/>
          <w:sz w:val="22"/>
          <w:szCs w:val="22"/>
        </w:rPr>
        <w:t xml:space="preserve">Este es el punto de partida financiero exacto del proyecto al momento del diagnóstico: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Variable</w:t>
            </w:r>
          </w:p>
        </w:tc>
        <w:tc>
          <w:tcPr>
            <w:tcW w:type="dxa" w:w="5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Dato confirmado</w:t>
            </w:r>
          </w:p>
        </w:tc>
      </w:tr>
      <w:tr>
        <w:tc>
          <w:tcPr>
            <w:tcW w:type="dxa" w:w="3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Ingresos mensuales actuales (consultoría)</w:t>
            </w:r>
          </w:p>
        </w:tc>
        <w:tc>
          <w:tcPr>
            <w:tcW w:type="dxa" w:w="55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D35400"/>
                <w:sz w:val="20"/>
                <w:szCs w:val="20"/>
              </w:rPr>
              <w:t xml:space="preserve">&lt; $500 USD/mes (~$400 USD)</w:t>
            </w:r>
          </w:p>
        </w:tc>
      </w:tr>
      <w:tr>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Gastos operativos mensuales</w:t>
            </w:r>
          </w:p>
        </w:tc>
        <w:tc>
          <w:tcPr>
            <w:tcW w:type="dxa" w:w="5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D35400"/>
                <w:sz w:val="20"/>
                <w:szCs w:val="20"/>
              </w:rPr>
              <w:t xml:space="preserve">&lt; $500 USD/mes (~$450 USD)</w:t>
            </w:r>
          </w:p>
        </w:tc>
      </w:tr>
      <w:tr>
        <w:tc>
          <w:tcPr>
            <w:tcW w:type="dxa" w:w="3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Margen mensual actual</w:t>
            </w:r>
          </w:p>
        </w:tc>
        <w:tc>
          <w:tcPr>
            <w:tcW w:type="dxa" w:w="55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C0392B"/>
                <w:sz w:val="20"/>
                <w:szCs w:val="20"/>
              </w:rPr>
              <w:t xml:space="preserve">~$0 — equilibrio sin excedente</w:t>
            </w:r>
          </w:p>
        </w:tc>
      </w:tr>
      <w:tr>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Runway disponible sin ingresos del ecosistema</w:t>
            </w:r>
          </w:p>
        </w:tc>
        <w:tc>
          <w:tcPr>
            <w:tcW w:type="dxa" w:w="5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C0392B"/>
                <w:sz w:val="20"/>
                <w:szCs w:val="20"/>
              </w:rPr>
              <w:t xml:space="preserve">Menos de 6 meses</w:t>
            </w:r>
          </w:p>
        </w:tc>
      </w:tr>
      <w:tr>
        <w:tc>
          <w:tcPr>
            <w:tcW w:type="dxa" w:w="3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Capital separado para el proyecto</w:t>
            </w:r>
          </w:p>
        </w:tc>
        <w:tc>
          <w:tcPr>
            <w:tcW w:type="dxa" w:w="55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C0392B"/>
                <w:sz w:val="20"/>
                <w:szCs w:val="20"/>
              </w:rPr>
              <w:t xml:space="preserve">Ninguno — autofinanciado</w:t>
            </w:r>
          </w:p>
        </w:tc>
      </w:tr>
      <w:tr>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Estructura operativa</w:t>
            </w:r>
          </w:p>
        </w:tc>
        <w:tc>
          <w:tcPr>
            <w:tcW w:type="dxa" w:w="5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Fundador único — sin equipo ni procesos documentados</w:t>
            </w:r>
          </w:p>
        </w:tc>
      </w:tr>
      <w:tr>
        <w:tc>
          <w:tcPr>
            <w:tcW w:type="dxa" w:w="3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Expansión internacional planificada</w:t>
            </w:r>
          </w:p>
        </w:tc>
        <w:tc>
          <w:tcPr>
            <w:tcW w:type="dxa" w:w="55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D35400"/>
                <w:sz w:val="20"/>
                <w:szCs w:val="20"/>
              </w:rPr>
              <w:t xml:space="preserve">Sí — activa este año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EF0F0" w:val="clear"/>
            <w:tcMar>
              <w:top w:type="dxa" w:w="120"/>
              <w:left w:type="dxa" w:w="200"/>
              <w:bottom w:type="dxa" w:w="120"/>
              <w:right w:type="dxa" w:w="200"/>
            </w:tcMar>
          </w:tcPr>
          <w:p>
            <w:pPr>
              <w:spacing w:before="0" w:after="40"/>
            </w:pPr>
            <w:r>
              <w:rPr>
                <w:rFonts w:ascii="Arial" w:cs="Arial" w:eastAsia="Arial" w:hAnsi="Arial"/>
                <w:b/>
                <w:bCs/>
                <w:color w:val="C0392B"/>
                <w:sz w:val="22"/>
                <w:szCs w:val="22"/>
              </w:rPr>
              <w:t xml:space="preserve">⚠️  DIAGNÓSTICO DE SITUACIÓN</w:t>
            </w:r>
          </w:p>
          <w:p>
            <w:pPr>
              <w:spacing w:before="0" w:after="0"/>
            </w:pPr>
            <w:r>
              <w:rPr>
                <w:rFonts w:ascii="Arial" w:cs="Arial" w:eastAsia="Arial" w:hAnsi="Arial"/>
                <w:color w:val="1C1C1C"/>
                <w:sz w:val="22"/>
                <w:szCs w:val="22"/>
              </w:rPr>
              <w:t xml:space="preserve">El proyecto opera con margen cero, runway menor a 6 meses, sin capital de reserva y con un plan de expansión internacional activo. Esto no es una situación insostenible — es una situación que exige una secuencia de ejecución precisa donde cada semana cuenta. El orden de las acciones en los próximos 90 días determina si el ecosistema sobrevive o no.</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2. Proyección Financiera a 12 Meses</w:t>
      </w:r>
    </w:p>
    <w:p>
      <w:pPr>
        <w:spacing w:before="60" w:after="80"/>
      </w:pPr>
      <w:r>
        <w:rPr>
          <w:rFonts w:ascii="Arial" w:cs="Arial" w:eastAsia="Arial" w:hAnsi="Arial"/>
          <w:color w:val="1C1C1C"/>
          <w:sz w:val="22"/>
          <w:szCs w:val="22"/>
        </w:rPr>
        <w:t xml:space="preserve">La siguiente proyección integra tres fuentes de ingresos: consultoría individual (decreciente a medida que el ecosistema crece), membresías recurrentes (creciente) y eventos trimestrales (pico cada 3 meses). Los supuestos base son conservadores y alcanzables con ejecución disciplinada.</w:t>
      </w:r>
    </w:p>
    <w:p>
      <w:pPr>
        <w:spacing w:before="60" w:after="0"/>
      </w:pPr>
      <w:r>
        <w:t xml:space="preserve"/>
      </w:r>
    </w:p>
    <w:p>
      <w:pPr>
        <w:spacing w:before="60" w:after="80"/>
      </w:pPr>
      <w:r>
        <w:rPr>
          <w:rFonts w:ascii="Arial" w:cs="Arial" w:eastAsia="Arial" w:hAnsi="Arial"/>
          <w:i/>
          <w:iCs/>
          <w:color w:val="666666"/>
          <w:sz w:val="22"/>
          <w:szCs w:val="22"/>
        </w:rPr>
        <w:t xml:space="preserve">Supuestos del modelo: N1 = $18 USD/mes · N2 = $80 USD/mes · Evento trimestral = $3.000 USD (10 personas × $300 USD) · Gastos crecen gradualmente con la operación.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600"/>
        <w:gridCol w:w="600"/>
        <w:gridCol w:w="800"/>
        <w:gridCol w:w="800"/>
        <w:gridCol w:w="900"/>
        <w:gridCol w:w="900"/>
        <w:gridCol w:w="1000"/>
        <w:gridCol w:w="1160"/>
      </w:tblGrid>
      <w:tr>
        <w:tc>
          <w:tcPr>
            <w:tcW w:type="dxa" w:w="7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Mes</w:t>
            </w:r>
          </w:p>
        </w:tc>
        <w:tc>
          <w:tcPr>
            <w:tcW w:type="dxa" w:w="9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Consultoría</w:t>
            </w:r>
          </w:p>
        </w:tc>
        <w:tc>
          <w:tcPr>
            <w:tcW w:type="dxa" w:w="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N1</w:t>
            </w:r>
          </w:p>
        </w:tc>
        <w:tc>
          <w:tcPr>
            <w:tcW w:type="dxa" w:w="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N2</w:t>
            </w:r>
          </w:p>
        </w:tc>
        <w:tc>
          <w:tcPr>
            <w:tcW w:type="dxa" w:w="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MRR</w:t>
            </w:r>
          </w:p>
        </w:tc>
        <w:tc>
          <w:tcPr>
            <w:tcW w:type="dxa" w:w="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Evento</w:t>
            </w:r>
          </w:p>
        </w:tc>
        <w:tc>
          <w:tcPr>
            <w:tcW w:type="dxa" w:w="9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Total</w:t>
            </w:r>
          </w:p>
        </w:tc>
        <w:tc>
          <w:tcPr>
            <w:tcW w:type="dxa" w:w="9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Gastos</w:t>
            </w:r>
          </w:p>
        </w:tc>
        <w:tc>
          <w:tcPr>
            <w:tcW w:type="dxa" w:w="1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Neto</w:t>
            </w:r>
          </w:p>
        </w:tc>
        <w:tc>
          <w:tcPr>
            <w:tcW w:type="dxa" w:w="11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Estado</w:t>
            </w:r>
          </w:p>
        </w:tc>
      </w:tr>
      <w:tr>
        <w:tc>
          <w:tcPr>
            <w:tcW w:type="dxa" w:w="7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Mes 1</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$400</w:t>
            </w:r>
          </w:p>
        </w:tc>
        <w:tc>
          <w:tcPr>
            <w:tcW w:type="dxa" w:w="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0</w:t>
            </w:r>
          </w:p>
        </w:tc>
        <w:tc>
          <w:tcPr>
            <w:tcW w:type="dxa" w:w="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0</w:t>
            </w:r>
          </w:p>
        </w:tc>
        <w:tc>
          <w:tcPr>
            <w:tcW w:type="dxa" w:w="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$0</w:t>
            </w:r>
          </w:p>
        </w:tc>
        <w:tc>
          <w:tcPr>
            <w:tcW w:type="dxa" w:w="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$0</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$400</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$450</w:t>
            </w:r>
          </w:p>
        </w:tc>
        <w:tc>
          <w:tcPr>
            <w:tcW w:type="dxa" w:w="1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C0392B"/>
                <w:sz w:val="20"/>
                <w:szCs w:val="20"/>
              </w:rPr>
              <w:t xml:space="preserve">-$50</w:t>
            </w:r>
          </w:p>
        </w:tc>
        <w:tc>
          <w:tcPr>
            <w:tcW w:type="dxa" w:w="1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Crítico</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Mes 2</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$400</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5</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$170</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$0</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$570</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$450</w:t>
            </w:r>
          </w:p>
        </w:tc>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A7A4A"/>
                <w:sz w:val="20"/>
                <w:szCs w:val="20"/>
              </w:rPr>
              <w:t xml:space="preserve">+$120</w:t>
            </w:r>
          </w:p>
        </w:tc>
        <w:tc>
          <w:tcPr>
            <w:tcW w:type="dxa" w:w="1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Ajustado</w:t>
            </w:r>
          </w:p>
        </w:tc>
      </w:tr>
      <w:tr>
        <w:tc>
          <w:tcPr>
            <w:tcW w:type="dxa" w:w="7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Mes 3</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$400</w:t>
            </w:r>
          </w:p>
        </w:tc>
        <w:tc>
          <w:tcPr>
            <w:tcW w:type="dxa" w:w="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8</w:t>
            </w:r>
          </w:p>
        </w:tc>
        <w:tc>
          <w:tcPr>
            <w:tcW w:type="dxa" w:w="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2</w:t>
            </w:r>
          </w:p>
        </w:tc>
        <w:tc>
          <w:tcPr>
            <w:tcW w:type="dxa" w:w="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$304</w:t>
            </w:r>
          </w:p>
        </w:tc>
        <w:tc>
          <w:tcPr>
            <w:tcW w:type="dxa" w:w="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$1.000</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$1.704</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$500</w:t>
            </w:r>
          </w:p>
        </w:tc>
        <w:tc>
          <w:tcPr>
            <w:tcW w:type="dxa" w:w="1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A7A4A"/>
                <w:sz w:val="20"/>
                <w:szCs w:val="20"/>
              </w:rPr>
              <w:t xml:space="preserve">+$1.204</w:t>
            </w:r>
          </w:p>
        </w:tc>
        <w:tc>
          <w:tcPr>
            <w:tcW w:type="dxa" w:w="1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Positivo</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Mes 4</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$350</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12</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3</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$456</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$0</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$806</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$500</w:t>
            </w:r>
          </w:p>
        </w:tc>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A7A4A"/>
                <w:sz w:val="20"/>
                <w:szCs w:val="20"/>
              </w:rPr>
              <w:t xml:space="preserve">+$306</w:t>
            </w:r>
          </w:p>
        </w:tc>
        <w:tc>
          <w:tcPr>
            <w:tcW w:type="dxa" w:w="1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Estable</w:t>
            </w:r>
          </w:p>
        </w:tc>
      </w:tr>
      <w:tr>
        <w:tc>
          <w:tcPr>
            <w:tcW w:type="dxa" w:w="7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Mes 5</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$350</w:t>
            </w:r>
          </w:p>
        </w:tc>
        <w:tc>
          <w:tcPr>
            <w:tcW w:type="dxa" w:w="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15</w:t>
            </w:r>
          </w:p>
        </w:tc>
        <w:tc>
          <w:tcPr>
            <w:tcW w:type="dxa" w:w="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4</w:t>
            </w:r>
          </w:p>
        </w:tc>
        <w:tc>
          <w:tcPr>
            <w:tcW w:type="dxa" w:w="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$590</w:t>
            </w:r>
          </w:p>
        </w:tc>
        <w:tc>
          <w:tcPr>
            <w:tcW w:type="dxa" w:w="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$0</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$940</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$500</w:t>
            </w:r>
          </w:p>
        </w:tc>
        <w:tc>
          <w:tcPr>
            <w:tcW w:type="dxa" w:w="1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A7A4A"/>
                <w:sz w:val="20"/>
                <w:szCs w:val="20"/>
              </w:rPr>
              <w:t xml:space="preserve">+$440</w:t>
            </w:r>
          </w:p>
        </w:tc>
        <w:tc>
          <w:tcPr>
            <w:tcW w:type="dxa" w:w="1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Estable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Mes 6</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$300</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18</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5</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$724</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$1.000</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$2.024</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$550</w:t>
            </w:r>
          </w:p>
        </w:tc>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A7A4A"/>
                <w:sz w:val="20"/>
                <w:szCs w:val="20"/>
              </w:rPr>
              <w:t xml:space="preserve">+$1.474</w:t>
            </w:r>
          </w:p>
        </w:tc>
        <w:tc>
          <w:tcPr>
            <w:tcW w:type="dxa" w:w="1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Sólido</w:t>
            </w:r>
          </w:p>
        </w:tc>
      </w:tr>
      <w:tr>
        <w:tc>
          <w:tcPr>
            <w:tcW w:type="dxa" w:w="7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Mes 7</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$300</w:t>
            </w:r>
          </w:p>
        </w:tc>
        <w:tc>
          <w:tcPr>
            <w:tcW w:type="dxa" w:w="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20</w:t>
            </w:r>
          </w:p>
        </w:tc>
        <w:tc>
          <w:tcPr>
            <w:tcW w:type="dxa" w:w="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6</w:t>
            </w:r>
          </w:p>
        </w:tc>
        <w:tc>
          <w:tcPr>
            <w:tcW w:type="dxa" w:w="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$840</w:t>
            </w:r>
          </w:p>
        </w:tc>
        <w:tc>
          <w:tcPr>
            <w:tcW w:type="dxa" w:w="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$0</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$1.140</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$550</w:t>
            </w:r>
          </w:p>
        </w:tc>
        <w:tc>
          <w:tcPr>
            <w:tcW w:type="dxa" w:w="1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A7A4A"/>
                <w:sz w:val="20"/>
                <w:szCs w:val="20"/>
              </w:rPr>
              <w:t xml:space="preserve">+$590</w:t>
            </w:r>
          </w:p>
        </w:tc>
        <w:tc>
          <w:tcPr>
            <w:tcW w:type="dxa" w:w="1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Sólido</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Mes 8</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$250</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22</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7</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$956</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$0</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$1.206</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$600</w:t>
            </w:r>
          </w:p>
        </w:tc>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A7A4A"/>
                <w:sz w:val="20"/>
                <w:szCs w:val="20"/>
              </w:rPr>
              <w:t xml:space="preserve">+$606</w:t>
            </w:r>
          </w:p>
        </w:tc>
        <w:tc>
          <w:tcPr>
            <w:tcW w:type="dxa" w:w="1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Sólido</w:t>
            </w:r>
          </w:p>
        </w:tc>
      </w:tr>
      <w:tr>
        <w:tc>
          <w:tcPr>
            <w:tcW w:type="dxa" w:w="7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Mes 9</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$250</w:t>
            </w:r>
          </w:p>
        </w:tc>
        <w:tc>
          <w:tcPr>
            <w:tcW w:type="dxa" w:w="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25</w:t>
            </w:r>
          </w:p>
        </w:tc>
        <w:tc>
          <w:tcPr>
            <w:tcW w:type="dxa" w:w="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8</w:t>
            </w:r>
          </w:p>
        </w:tc>
        <w:tc>
          <w:tcPr>
            <w:tcW w:type="dxa" w:w="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$1.090</w:t>
            </w:r>
          </w:p>
        </w:tc>
        <w:tc>
          <w:tcPr>
            <w:tcW w:type="dxa" w:w="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$1.000</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$2.340</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$600</w:t>
            </w:r>
          </w:p>
        </w:tc>
        <w:tc>
          <w:tcPr>
            <w:tcW w:type="dxa" w:w="1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A7A4A"/>
                <w:sz w:val="20"/>
                <w:szCs w:val="20"/>
              </w:rPr>
              <w:t xml:space="preserve">+$1.740</w:t>
            </w:r>
          </w:p>
        </w:tc>
        <w:tc>
          <w:tcPr>
            <w:tcW w:type="dxa" w:w="1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Escalando</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Mes 10</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$200</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28</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9</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$1.224</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$0</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$1.424</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$650</w:t>
            </w:r>
          </w:p>
        </w:tc>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A7A4A"/>
                <w:sz w:val="20"/>
                <w:szCs w:val="20"/>
              </w:rPr>
              <w:t xml:space="preserve">+$774</w:t>
            </w:r>
          </w:p>
        </w:tc>
        <w:tc>
          <w:tcPr>
            <w:tcW w:type="dxa" w:w="1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Escalando</w:t>
            </w:r>
          </w:p>
        </w:tc>
      </w:tr>
      <w:tr>
        <w:tc>
          <w:tcPr>
            <w:tcW w:type="dxa" w:w="7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Mes 11</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$200</w:t>
            </w:r>
          </w:p>
        </w:tc>
        <w:tc>
          <w:tcPr>
            <w:tcW w:type="dxa" w:w="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30</w:t>
            </w:r>
          </w:p>
        </w:tc>
        <w:tc>
          <w:tcPr>
            <w:tcW w:type="dxa" w:w="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10</w:t>
            </w:r>
          </w:p>
        </w:tc>
        <w:tc>
          <w:tcPr>
            <w:tcW w:type="dxa" w:w="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$1.340</w:t>
            </w:r>
          </w:p>
        </w:tc>
        <w:tc>
          <w:tcPr>
            <w:tcW w:type="dxa" w:w="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$0</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$1.540</w:t>
            </w:r>
          </w:p>
        </w:tc>
        <w:tc>
          <w:tcPr>
            <w:tcW w:type="dxa" w:w="9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$650</w:t>
            </w:r>
          </w:p>
        </w:tc>
        <w:tc>
          <w:tcPr>
            <w:tcW w:type="dxa" w:w="1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A7A4A"/>
                <w:sz w:val="20"/>
                <w:szCs w:val="20"/>
              </w:rPr>
              <w:t xml:space="preserve">+$890</w:t>
            </w:r>
          </w:p>
        </w:tc>
        <w:tc>
          <w:tcPr>
            <w:tcW w:type="dxa" w:w="1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Escalando</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Mes 12</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$150</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35</w:t>
            </w:r>
          </w:p>
        </w:tc>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12</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$1.590</w:t>
            </w:r>
          </w:p>
        </w:tc>
        <w:tc>
          <w:tcPr>
            <w:tcW w:type="dxa" w:w="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$1.000</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$2.740</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$700</w:t>
            </w:r>
          </w:p>
        </w:tc>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A7A4A"/>
                <w:sz w:val="20"/>
                <w:szCs w:val="20"/>
              </w:rPr>
              <w:t xml:space="preserve">+$2.040</w:t>
            </w:r>
          </w:p>
        </w:tc>
        <w:tc>
          <w:tcPr>
            <w:tcW w:type="dxa" w:w="1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Consolidado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8F8F5" w:val="clear"/>
            <w:tcMar>
              <w:top w:type="dxa" w:w="120"/>
              <w:left w:type="dxa" w:w="200"/>
              <w:bottom w:type="dxa" w:w="120"/>
              <w:right w:type="dxa" w:w="200"/>
            </w:tcMar>
          </w:tcPr>
          <w:p>
            <w:pPr>
              <w:spacing w:before="0" w:after="40"/>
            </w:pPr>
            <w:r>
              <w:rPr>
                <w:rFonts w:ascii="Arial" w:cs="Arial" w:eastAsia="Arial" w:hAnsi="Arial"/>
                <w:b/>
                <w:bCs/>
                <w:color w:val="1A7A4A"/>
                <w:sz w:val="22"/>
                <w:szCs w:val="22"/>
              </w:rPr>
              <w:t xml:space="preserve">LECTURA DE LA PROYECCIÓN</w:t>
            </w:r>
          </w:p>
          <w:p>
            <w:pPr>
              <w:spacing w:before="0" w:after="0"/>
            </w:pPr>
            <w:r>
              <w:rPr>
                <w:rFonts w:ascii="Arial" w:cs="Arial" w:eastAsia="Arial" w:hAnsi="Arial"/>
                <w:color w:val="1C1C1C"/>
                <w:sz w:val="22"/>
                <w:szCs w:val="22"/>
              </w:rPr>
              <w:t xml:space="preserve">El modelo entra en territorio positivo desde el Mes 2 si el primer evento se realiza en el Mes 3. El punto de inflexión real ocurre en el Mes 6, cuando las membresías comienzan a superar a la consultoría como fuente de ingreso. Al Mes 12, el ecosistema genera ~$2.740 USD mensuales con 35 miembros N1 y 12 Premium. No es la riqueza — es la viabilidad demostrada que habilita la escala.</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3. Los 90 Días que Definen el Proyecto</w:t>
      </w:r>
    </w:p>
    <w:p>
      <w:pPr>
        <w:spacing w:before="60" w:after="80"/>
      </w:pPr>
      <w:r>
        <w:rPr>
          <w:rFonts w:ascii="Arial" w:cs="Arial" w:eastAsia="Arial" w:hAnsi="Arial"/>
          <w:color w:val="1C1C1C"/>
          <w:sz w:val="22"/>
          <w:szCs w:val="22"/>
        </w:rPr>
        <w:t xml:space="preserve">Con menos de 6 meses de runway y margen mensual cero, los primeros 90 días no son estratégicos — son existenciales. Cada semana sin ingreso del ecosistema consume una semana de vida del proyecto. El plan de los próximos 90 días debe ser quirúrgico: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c>
          <w:tcPr>
            <w:tcW w:type="dxa" w:w="1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Período</w:t>
            </w:r>
          </w:p>
        </w:tc>
        <w:tc>
          <w:tcPr>
            <w:tcW w:type="dxa" w:w="3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Foco único</w:t>
            </w:r>
          </w:p>
        </w:tc>
        <w:tc>
          <w:tcPr>
            <w:tcW w:type="dxa" w:w="4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Resultado esperado</w:t>
            </w:r>
          </w:p>
        </w:tc>
      </w:tr>
      <w:tr>
        <w:tc>
          <w:tcPr>
            <w:tcW w:type="dxa" w:w="1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Semanas 1–3</w:t>
            </w:r>
          </w:p>
        </w:tc>
        <w:tc>
          <w:tcPr>
            <w:tcW w:type="dxa" w:w="37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Reactivar lista WhatsApp con protocolo de 3 fases</w:t>
            </w:r>
          </w:p>
        </w:tc>
        <w:tc>
          <w:tcPr>
            <w:tcW w:type="dxa" w:w="4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Audiencia caliente lista para la oferta del evento</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Semana 3–4</w:t>
            </w:r>
          </w:p>
        </w:tc>
        <w:tc>
          <w:tcPr>
            <w:tcW w:type="dxa" w:w="3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Lanzar y vender el primer evento (8–12 personas × $300 USD)</w:t>
            </w:r>
          </w:p>
        </w:tc>
        <w:tc>
          <w:tcPr>
            <w:tcW w:type="dxa" w:w="4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A7A4A"/>
                <w:sz w:val="20"/>
                <w:szCs w:val="20"/>
              </w:rPr>
              <w:t xml:space="preserve">$2.400–$3.600 USD de ingreso inmediato</w:t>
            </w:r>
          </w:p>
        </w:tc>
      </w:tr>
      <w:tr>
        <w:tc>
          <w:tcPr>
            <w:tcW w:type="dxa" w:w="1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Semana 4–6</w:t>
            </w:r>
          </w:p>
        </w:tc>
        <w:tc>
          <w:tcPr>
            <w:tcW w:type="dxa" w:w="37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Realizar el evento. Ofrecer membresía al finalizar.</w:t>
            </w:r>
          </w:p>
        </w:tc>
        <w:tc>
          <w:tcPr>
            <w:tcW w:type="dxa" w:w="4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5–8 miembros pagos. Primeros ingresos recurrentes.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Mes 2</w:t>
            </w:r>
          </w:p>
        </w:tc>
        <w:tc>
          <w:tcPr>
            <w:tcW w:type="dxa" w:w="3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Formalizar acuerdo técnico. Iniciar MVP con colaborador.</w:t>
            </w:r>
          </w:p>
        </w:tc>
        <w:tc>
          <w:tcPr>
            <w:tcW w:type="dxa" w:w="4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MVP en desarrollo. Comunidad operando en contingencia.</w:t>
            </w:r>
          </w:p>
        </w:tc>
      </w:tr>
      <w:tr>
        <w:tc>
          <w:tcPr>
            <w:tcW w:type="dxa" w:w="16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Mes 3</w:t>
            </w:r>
          </w:p>
        </w:tc>
        <w:tc>
          <w:tcPr>
            <w:tcW w:type="dxa" w:w="37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Segundo ciclo de reactivación. Preparar segundo evento.</w:t>
            </w:r>
          </w:p>
        </w:tc>
        <w:tc>
          <w:tcPr>
            <w:tcW w:type="dxa" w:w="4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A7A4A"/>
                <w:sz w:val="20"/>
                <w:szCs w:val="20"/>
              </w:rPr>
              <w:t xml:space="preserve">10–15 miembros. MRR &gt; $400 USD.</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4. Diagnóstico Operacional: El Cuello de Botella Humano</w:t>
      </w:r>
    </w:p>
    <w:p>
      <w:pPr>
        <w:pStyle w:val="Heading2"/>
        <w:spacing w:before="280" w:after="80"/>
      </w:pPr>
      <w:r>
        <w:rPr>
          <w:rFonts w:ascii="Arial" w:cs="Arial" w:eastAsia="Arial" w:hAnsi="Arial"/>
          <w:b/>
          <w:bCs/>
          <w:color w:val="1B3A5C"/>
          <w:sz w:val="28"/>
          <w:szCs w:val="28"/>
        </w:rPr>
        <w:t xml:space="preserve">4.1 — Operación unipersonal sin procesos documentados</w:t>
      </w:r>
    </w:p>
    <w:p>
      <w:pPr>
        <w:spacing w:before="60" w:after="80"/>
      </w:pPr>
      <w:r>
        <w:rPr>
          <w:rFonts w:ascii="Arial" w:cs="Arial" w:eastAsia="Arial" w:hAnsi="Arial"/>
          <w:color w:val="1C1C1C"/>
          <w:sz w:val="22"/>
          <w:szCs w:val="22"/>
        </w:rPr>
        <w:t xml:space="preserve">El ecosistema es operado completamente por el fundador, sin ningún proceso documentado. Eso significa que si el fundador no está disponible — por enfermedad, viaje, sobrecarga o cualquier otra razón — el ecosistema se detiene. En una etapa de lanzamiento, eso es aceptable. En una etapa de escalado con expansión internacional, es una garantía de colapso.</w:t>
      </w:r>
    </w:p>
    <w:p>
      <w:pPr>
        <w:spacing w:before="60" w:after="80"/>
      </w:pPr>
      <w:r>
        <w:rPr>
          <w:rFonts w:ascii="Arial" w:cs="Arial" w:eastAsia="Arial" w:hAnsi="Arial"/>
          <w:color w:val="1C1C1C"/>
          <w:sz w:val="22"/>
          <w:szCs w:val="22"/>
        </w:rPr>
        <w:t xml:space="preserve">La ausencia de documentación también significa que cada nueva acción requiere que el fundador tome decisiones desde cero. No hay protocolos de onboarding, no hay checklist de evento, no hay flujo de cobro definido. Eso consume tiempo cognitivo que debería estar en la estrategia, no en la operación.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1"/>
              <w:left w:val="single" w:color="D35400" w:sz="12"/>
              <w:bottom w:val="single" w:color="D35400" w:sz="1"/>
              <w:right w:val="single" w:color="D35400" w:sz="1"/>
            </w:tcBorders>
            <w:shd w:fill="FEF9E7" w:val="clear"/>
            <w:tcMar>
              <w:top w:type="dxa" w:w="120"/>
              <w:left w:type="dxa" w:w="200"/>
              <w:bottom w:type="dxa" w:w="120"/>
              <w:right w:type="dxa" w:w="200"/>
            </w:tcMar>
          </w:tcPr>
          <w:p>
            <w:pPr>
              <w:spacing w:before="0" w:after="40"/>
            </w:pPr>
            <w:r>
              <w:rPr>
                <w:rFonts w:ascii="Arial" w:cs="Arial" w:eastAsia="Arial" w:hAnsi="Arial"/>
                <w:b/>
                <w:bCs/>
                <w:color w:val="D35400"/>
                <w:sz w:val="22"/>
                <w:szCs w:val="22"/>
              </w:rPr>
              <w:t xml:space="preserve">DIAGNÓSTICO</w:t>
            </w:r>
          </w:p>
          <w:p>
            <w:pPr>
              <w:spacing w:before="0" w:after="0"/>
            </w:pPr>
            <w:r>
              <w:rPr>
                <w:rFonts w:ascii="Arial" w:cs="Arial" w:eastAsia="Arial" w:hAnsi="Arial"/>
                <w:color w:val="1C1C1C"/>
                <w:sz w:val="22"/>
                <w:szCs w:val="22"/>
              </w:rPr>
              <w:t xml:space="preserve">Un ecosistema que no puede funcionar sin su fundador no es un ecosistema — es un empleo autónomo con marca propia. La documentación de procesos no es burocracia: es la condición mínima para poder delegar, escalar o tomarse un día libre.</w:t>
            </w:r>
          </w:p>
        </w:tc>
      </w:tr>
    </w:tbl>
    <w:p>
      <w:pPr>
        <w:spacing w:before="120" w:after="0"/>
      </w:pPr>
      <w:r>
        <w:t xml:space="preserve"/>
      </w:r>
    </w:p>
    <w:p>
      <w:pPr>
        <w:pStyle w:val="Heading2"/>
        <w:spacing w:before="280" w:after="80"/>
      </w:pPr>
      <w:r>
        <w:rPr>
          <w:rFonts w:ascii="Arial" w:cs="Arial" w:eastAsia="Arial" w:hAnsi="Arial"/>
          <w:b/>
          <w:bCs/>
          <w:color w:val="1B3A5C"/>
          <w:sz w:val="28"/>
          <w:szCs w:val="28"/>
        </w:rPr>
        <w:t xml:space="preserve">4.2 — Los 5 procesos que deben documentarse esta semana</w:t>
      </w:r>
    </w:p>
    <w:p>
      <w:pPr>
        <w:spacing w:before="60" w:after="80"/>
      </w:pPr>
      <w:r>
        <w:rPr>
          <w:rFonts w:ascii="Arial" w:cs="Arial" w:eastAsia="Arial" w:hAnsi="Arial"/>
          <w:color w:val="1C1C1C"/>
          <w:sz w:val="22"/>
          <w:szCs w:val="22"/>
        </w:rPr>
        <w:t xml:space="preserve">No hace falta documentar todo. Hace falta documentar los procesos que ocurren con más frecuencia y cuyo error tiene mayor impacto. En orden de urgencia: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Proceso</w:t>
            </w:r>
          </w:p>
        </w:tc>
        <w:tc>
          <w:tcPr>
            <w:tcW w:type="dxa" w:w="3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Por qué es urgente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Formato mínimo</w:t>
            </w:r>
          </w:p>
        </w:tc>
      </w:tr>
      <w:tr>
        <w:tc>
          <w:tcPr>
            <w:tcW w:type="dxa" w:w="2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Onboarding de nuevo miembro</w:t>
            </w:r>
          </w:p>
        </w:tc>
        <w:tc>
          <w:tcPr>
            <w:tcW w:type="dxa" w:w="35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Ocurrirá desde el primer evento. Sin protocolo, cada caso es ad hoc.</w:t>
            </w:r>
          </w:p>
        </w:tc>
        <w:tc>
          <w:tcPr>
            <w:tcW w:type="dxa" w:w="3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Checklist de 10 pasos en Google Doc</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Gestión de cobro de membresía</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Sin proceso, los impagos se pierden y los retrasos se acumulan.</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Planilla de seguimiento mensual</w:t>
            </w:r>
          </w:p>
        </w:tc>
      </w:tr>
      <w:tr>
        <w:tc>
          <w:tcPr>
            <w:tcW w:type="dxa" w:w="2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Protocolo de evento presencial</w:t>
            </w:r>
          </w:p>
        </w:tc>
        <w:tc>
          <w:tcPr>
            <w:tcW w:type="dxa" w:w="35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El evento es el producto principal. Debe ser replicable.</w:t>
            </w:r>
          </w:p>
        </w:tc>
        <w:tc>
          <w:tcPr>
            <w:tcW w:type="dxa" w:w="3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Guía de 15 pasos desde convocatoria hasta seguimiento post-evento</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Activación de Botón de Emergencia</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Sin reglas, consume tiempo ilimitado del fundador.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Protocolo de 5 pasos: solicitud, confirmación, sesión, seguimiento, cobro</w:t>
            </w:r>
          </w:p>
        </w:tc>
      </w:tr>
      <w:tr>
        <w:tc>
          <w:tcPr>
            <w:tcW w:type="dxa" w:w="2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Baja de miembro</w:t>
            </w:r>
          </w:p>
        </w:tc>
        <w:tc>
          <w:tcPr>
            <w:tcW w:type="dxa" w:w="35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Sin proceso, las bajas generan fricción innecesaria y datos sucios.</w:t>
            </w:r>
          </w:p>
        </w:tc>
        <w:tc>
          <w:tcPr>
            <w:tcW w:type="dxa" w:w="3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Formulario simple + flujo de retención de 1 intento</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5. Expansión Internacional: El Plan que Necesita una Condición</w:t>
      </w:r>
    </w:p>
    <w:p>
      <w:pPr>
        <w:spacing w:before="60" w:after="80"/>
      </w:pPr>
      <w:r>
        <w:rPr>
          <w:rFonts w:ascii="Arial" w:cs="Arial" w:eastAsia="Arial" w:hAnsi="Arial"/>
          <w:color w:val="1C1C1C"/>
          <w:sz w:val="22"/>
          <w:szCs w:val="22"/>
        </w:rPr>
        <w:t xml:space="preserve">El fundador tiene un plan de expansión a otras ciudades o países activo para este año. El documento original muestra presencia en 4 continentes con un equipo ejecutivo global. Esa ambición es coherente con la visión del ecosistema. El problema es el timing.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EF0F0" w:val="clear"/>
            <w:tcMar>
              <w:top w:type="dxa" w:w="120"/>
              <w:left w:type="dxa" w:w="200"/>
              <w:bottom w:type="dxa" w:w="120"/>
              <w:right w:type="dxa" w:w="200"/>
            </w:tcMar>
          </w:tcPr>
          <w:p>
            <w:pPr>
              <w:spacing w:before="0" w:after="40"/>
            </w:pPr>
            <w:r>
              <w:rPr>
                <w:rFonts w:ascii="Arial" w:cs="Arial" w:eastAsia="Arial" w:hAnsi="Arial"/>
                <w:b/>
                <w:bCs/>
                <w:color w:val="C0392B"/>
                <w:sz w:val="22"/>
                <w:szCs w:val="22"/>
              </w:rPr>
              <w:t xml:space="preserve">⚠️  RIESGO CRÍTICO DE EXPANSIÓN PREMATURA</w:t>
            </w:r>
          </w:p>
          <w:p>
            <w:pPr>
              <w:spacing w:before="0" w:after="0"/>
            </w:pPr>
            <w:r>
              <w:rPr>
                <w:rFonts w:ascii="Arial" w:cs="Arial" w:eastAsia="Arial" w:hAnsi="Arial"/>
                <w:color w:val="1C1C1C"/>
                <w:sz w:val="22"/>
                <w:szCs w:val="22"/>
              </w:rPr>
              <w:t xml:space="preserve">Expandir un ecosistema que aún no tiene su primer miembro pago, sin procesos documentados, con operación unipersonal y menos de 6 meses de runway, es el error que destruye más proyectos con buenas ideas. No porque la expansión sea mala — sino porque consume recursos (tiempo, energía, atención) que el modelo local todavía necesita para sobrevivir.</w:t>
            </w:r>
          </w:p>
        </w:tc>
      </w:tr>
    </w:tbl>
    <w:p>
      <w:pPr>
        <w:spacing w:before="80" w:after="0"/>
      </w:pPr>
      <w:r>
        <w:t xml:space="preserve"/>
      </w:r>
    </w:p>
    <w:p>
      <w:pPr>
        <w:spacing w:before="60" w:after="80"/>
      </w:pPr>
      <w:r>
        <w:rPr>
          <w:rFonts w:ascii="Arial" w:cs="Arial" w:eastAsia="Arial" w:hAnsi="Arial"/>
          <w:color w:val="1C1C1C"/>
          <w:sz w:val="22"/>
          <w:szCs w:val="22"/>
        </w:rPr>
        <w:t xml:space="preserve">La expansión internacional no debe detenerse — debe condicionarse. La condición no es arbitraria: es el umbral que demuestra que el modelo local es replicable.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Condición de expansión</w:t>
            </w:r>
          </w:p>
        </w:tc>
        <w:tc>
          <w:tcPr>
            <w:tcW w:type="dxa" w:w="31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Indicador</w:t>
            </w:r>
          </w:p>
        </w:tc>
        <w:tc>
          <w:tcPr>
            <w:tcW w:type="dxa" w:w="3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Umbral mínimo sugerido</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Modelo local validado</w:t>
            </w:r>
          </w:p>
        </w:tc>
        <w:tc>
          <w:tcPr>
            <w:tcW w:type="dxa" w:w="3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Miembros pagos activos con retención &gt; 2 meses</w:t>
            </w:r>
          </w:p>
        </w:tc>
        <w:tc>
          <w:tcPr>
            <w:tcW w:type="dxa" w:w="3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A7A4A"/>
                <w:sz w:val="20"/>
                <w:szCs w:val="20"/>
              </w:rPr>
              <w:t xml:space="preserve">20 miembros — Mes 6</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Operación documentada</w:t>
            </w:r>
          </w:p>
        </w:tc>
        <w:tc>
          <w:tcPr>
            <w:tcW w:type="dxa" w:w="3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Procesos escritos y testeados al menos 1 vez</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5 procesos core documentados</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MRR estable</w:t>
            </w:r>
          </w:p>
        </w:tc>
        <w:tc>
          <w:tcPr>
            <w:tcW w:type="dxa" w:w="3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Ingresos recurrentes del ecosistema (sin consultoría)</w:t>
            </w:r>
          </w:p>
        </w:tc>
        <w:tc>
          <w:tcPr>
            <w:tcW w:type="dxa" w:w="3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A7A4A"/>
                <w:sz w:val="20"/>
                <w:szCs w:val="20"/>
              </w:rPr>
              <w:t xml:space="preserve">$800+ USD/mes sostenidos 2 meses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Primer aliado internacional</w:t>
            </w:r>
          </w:p>
        </w:tc>
        <w:tc>
          <w:tcPr>
            <w:tcW w:type="dxa" w:w="3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Persona en otro mercado que co-facilita o co-vende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Acuerdo concreto, no intención</w:t>
            </w:r>
          </w:p>
        </w:tc>
      </w:tr>
      <w:tr>
        <w:tc>
          <w:tcPr>
            <w:tcW w:type="dxa" w:w="3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Tecnología mínima operativa</w:t>
            </w:r>
          </w:p>
        </w:tc>
        <w:tc>
          <w:tcPr>
            <w:tcW w:type="dxa" w:w="31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MVP funcionando con acceso real por niveles</w:t>
            </w:r>
          </w:p>
        </w:tc>
        <w:tc>
          <w:tcPr>
            <w:tcW w:type="dxa" w:w="3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MVP Fase 1 + Fase 2 completos</w:t>
            </w:r>
          </w:p>
        </w:tc>
      </w:tr>
    </w:tbl>
    <w:p>
      <w:pPr>
        <w:spacing w:before="80" w:after="0"/>
      </w:pPr>
      <w:r>
        <w:t xml:space="preserve"/>
      </w:r>
    </w:p>
    <w:p>
      <w:pPr>
        <w:spacing w:before="60" w:after="80"/>
      </w:pPr>
      <w:r>
        <w:rPr>
          <w:rFonts w:ascii="Arial" w:cs="Arial" w:eastAsia="Arial" w:hAnsi="Arial"/>
          <w:color w:val="1C1C1C"/>
          <w:sz w:val="22"/>
          <w:szCs w:val="22"/>
        </w:rPr>
        <w:t xml:space="preserve">El primer mercado internacional recomendado no es el más grande — es el más cercano culturalmente y con menor fricción operativa: Uruguay, Chile o Colombia, donde el español rioplatense y el posicionamiento de 'criterio externo' ya tienen referentes.</w:t>
      </w:r>
    </w:p>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6. Resumen Estratégico Global: Los 7 Bloques en Una Página</w:t>
      </w:r>
    </w:p>
    <w:p>
      <w:pPr>
        <w:spacing w:before="60" w:after="80"/>
      </w:pPr>
      <w:r>
        <w:rPr>
          <w:rFonts w:ascii="Arial" w:cs="Arial" w:eastAsia="Arial" w:hAnsi="Arial"/>
          <w:color w:val="1C1C1C"/>
          <w:sz w:val="22"/>
          <w:szCs w:val="22"/>
        </w:rPr>
        <w:t xml:space="preserve">Este es el mapa consolidado de todo lo diagnosticado a lo largo de las sesiones: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Bloque</w:t>
            </w:r>
          </w:p>
        </w:tc>
        <w:tc>
          <w:tcPr>
            <w:tcW w:type="dxa" w:w="40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Hallazgo crítico</w:t>
            </w:r>
          </w:p>
        </w:tc>
        <w:tc>
          <w:tcPr>
            <w:tcW w:type="dxa" w:w="40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Acción prioritaria</w:t>
            </w:r>
          </w:p>
        </w:tc>
      </w:tr>
      <w:tr>
        <w:tc>
          <w:tcPr>
            <w:tcW w:type="dxa" w:w="1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1 · Identidad y modelo</w:t>
            </w:r>
          </w:p>
        </w:tc>
        <w:tc>
          <w:tcPr>
            <w:tcW w:type="dxa" w:w="40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Ecosistema sin oferta cerrada ni miembro pago</w:t>
            </w:r>
          </w:p>
        </w:tc>
        <w:tc>
          <w:tcPr>
            <w:tcW w:type="dxa" w:w="40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Definir UNA oferta. Hacer UNA venta.</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2 · Producto mínimo vendible</w:t>
            </w:r>
          </w:p>
        </w:tc>
        <w:tc>
          <w:tcPr>
            <w:tcW w:type="dxa" w:w="40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Evento a $50 USD contradice el posicionamiento premium</w:t>
            </w:r>
          </w:p>
        </w:tc>
        <w:tc>
          <w:tcPr>
            <w:tcW w:type="dxa" w:w="40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Jornada de Claridad a $300 USD · 10 personas · 4 semanas</w:t>
            </w:r>
          </w:p>
        </w:tc>
      </w:tr>
      <w:tr>
        <w:tc>
          <w:tcPr>
            <w:tcW w:type="dxa" w:w="1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3 · Conversión de audiencia</w:t>
            </w:r>
          </w:p>
        </w:tc>
        <w:tc>
          <w:tcPr>
            <w:tcW w:type="dxa" w:w="40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Lista de 500–2.000 compradores dormida 3+ meses</w:t>
            </w:r>
          </w:p>
        </w:tc>
        <w:tc>
          <w:tcPr>
            <w:tcW w:type="dxa" w:w="40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Protocolo de reactivación WhatsApp en 3 fases · Esta semana</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4 · Membresías</w:t>
            </w:r>
          </w:p>
        </w:tc>
        <w:tc>
          <w:tcPr>
            <w:tcW w:type="dxa" w:w="40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Brecha ARS/USD inconsistente · Botón de Emergencia sin límites</w:t>
            </w:r>
          </w:p>
        </w:tc>
        <w:tc>
          <w:tcPr>
            <w:tcW w:type="dxa" w:w="40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Anclar precios en USD · Definir reglas del Botón</w:t>
            </w:r>
          </w:p>
        </w:tc>
      </w:tr>
      <w:tr>
        <w:tc>
          <w:tcPr>
            <w:tcW w:type="dxa" w:w="1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5 · Tecnología</w:t>
            </w:r>
          </w:p>
        </w:tc>
        <w:tc>
          <w:tcPr>
            <w:tcW w:type="dxa" w:w="40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App considerada indispensable pero no iniciada ni financiada</w:t>
            </w:r>
          </w:p>
        </w:tc>
        <w:tc>
          <w:tcPr>
            <w:tcW w:type="dxa" w:w="40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Lanzar con stack de contingencia · App como fase 2</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6 · Finanzas</w:t>
            </w:r>
          </w:p>
        </w:tc>
        <w:tc>
          <w:tcPr>
            <w:tcW w:type="dxa" w:w="40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Margen cero · Runway &lt; 6 meses · Sin capital de reserva</w:t>
            </w:r>
          </w:p>
        </w:tc>
        <w:tc>
          <w:tcPr>
            <w:tcW w:type="dxa" w:w="40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Primer evento = oxígeno financiero · Membresías = motor</w:t>
            </w:r>
          </w:p>
        </w:tc>
      </w:tr>
      <w:tr>
        <w:tc>
          <w:tcPr>
            <w:tcW w:type="dxa" w:w="1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7 · Operaciones</w:t>
            </w:r>
          </w:p>
        </w:tc>
        <w:tc>
          <w:tcPr>
            <w:tcW w:type="dxa" w:w="40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Un solo operador · Cero procesos documentados · Expansión prematura</w:t>
            </w:r>
          </w:p>
        </w:tc>
        <w:tc>
          <w:tcPr>
            <w:tcW w:type="dxa" w:w="40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Documentar 5 procesos core · Condicionar expansión al Mes 6</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7. Plan de Acción Inmediata — Próximas 4 Semanas</w:t>
      </w:r>
    </w:p>
    <w:p>
      <w:pPr>
        <w:spacing w:before="60" w:after="80"/>
      </w:pPr>
      <w:r>
        <w:rPr>
          <w:rFonts w:ascii="Arial" w:cs="Arial" w:eastAsia="Arial" w:hAnsi="Arial"/>
          <w:color w:val="1C1C1C"/>
          <w:sz w:val="22"/>
          <w:szCs w:val="22"/>
        </w:rPr>
        <w:t xml:space="preserve">Estas son las únicas acciones que importan en las próximas 4 semanas. Todo lo que no esté en esta lista puede esperar: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800"/>
        <w:gridCol w:w="300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Semana</w:t>
            </w:r>
          </w:p>
        </w:tc>
        <w:tc>
          <w:tcPr>
            <w:tcW w:type="dxa" w:w="3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Acción</w:t>
            </w:r>
          </w:p>
        </w:tc>
        <w:tc>
          <w:tcPr>
            <w:tcW w:type="dxa" w:w="1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Responsable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Resultado esperado</w:t>
            </w:r>
          </w:p>
        </w:tc>
      </w:tr>
      <w:tr>
        <w:tc>
          <w:tcPr>
            <w:tcW w:type="dxa" w:w="1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S1 — HOY</w:t>
            </w:r>
          </w:p>
        </w:tc>
        <w:tc>
          <w:tcPr>
            <w:tcW w:type="dxa" w:w="33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Enviar primer mensaje de reactivación a la lista WhatsApp</w:t>
            </w:r>
          </w:p>
        </w:tc>
        <w:tc>
          <w:tcPr>
            <w:tcW w:type="dxa" w:w="1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Fundador</w:t>
            </w:r>
          </w:p>
        </w:tc>
        <w:tc>
          <w:tcPr>
            <w:tcW w:type="dxa" w:w="3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Medir tasa de respuesta. Identificar prospectos.</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S1 — HOY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Documentar los 5 procesos core en Google Doc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Fundador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Operación replicable desde el día 1 del primer miembro.</w:t>
            </w:r>
          </w:p>
        </w:tc>
      </w:tr>
      <w:tr>
        <w:tc>
          <w:tcPr>
            <w:tcW w:type="dxa" w:w="1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S1 — HOY</w:t>
            </w:r>
          </w:p>
        </w:tc>
        <w:tc>
          <w:tcPr>
            <w:tcW w:type="dxa" w:w="33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Formalizar acuerdo técnico con desarrollador (alcance + fecha)</w:t>
            </w:r>
          </w:p>
        </w:tc>
        <w:tc>
          <w:tcPr>
            <w:tcW w:type="dxa" w:w="1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Fundador + Dev</w:t>
            </w:r>
          </w:p>
        </w:tc>
        <w:tc>
          <w:tcPr>
            <w:tcW w:type="dxa" w:w="3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MVP con fecha comprometida, no estimada.</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S2</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Segundo mensaje de posicionamiento. Diálogos 1 a 1.</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Fundador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30–60 prospectos calificados identificados.</w:t>
            </w:r>
          </w:p>
        </w:tc>
      </w:tr>
      <w:tr>
        <w:tc>
          <w:tcPr>
            <w:tcW w:type="dxa" w:w="1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S2</w:t>
            </w:r>
          </w:p>
        </w:tc>
        <w:tc>
          <w:tcPr>
            <w:tcW w:type="dxa" w:w="33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Definir fecha, lugar y tema del primer evento</w:t>
            </w:r>
          </w:p>
        </w:tc>
        <w:tc>
          <w:tcPr>
            <w:tcW w:type="dxa" w:w="1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Fundador</w:t>
            </w:r>
          </w:p>
        </w:tc>
        <w:tc>
          <w:tcPr>
            <w:tcW w:type="dxa" w:w="3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Fecha en calendario. Urgencia real.</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S3</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Lanzar oferta del evento a la lista. Precio: $300 USD.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Fundador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8–12 confirmaciones pagas.</w:t>
            </w:r>
          </w:p>
        </w:tc>
      </w:tr>
      <w:tr>
        <w:tc>
          <w:tcPr>
            <w:tcW w:type="dxa" w:w="12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bCs/>
                <w:color w:val="1B3A5C"/>
                <w:sz w:val="20"/>
                <w:szCs w:val="20"/>
              </w:rPr>
              <w:t xml:space="preserve">S3</w:t>
            </w:r>
          </w:p>
        </w:tc>
        <w:tc>
          <w:tcPr>
            <w:tcW w:type="dxa" w:w="336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Anclar precios de membresía en USD. Definir reglas del Botón.</w:t>
            </w:r>
          </w:p>
        </w:tc>
        <w:tc>
          <w:tcPr>
            <w:tcW w:type="dxa" w:w="18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Fundador</w:t>
            </w:r>
          </w:p>
        </w:tc>
        <w:tc>
          <w:tcPr>
            <w:tcW w:type="dxa" w:w="30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Estructura de precios coherente y sostenible.</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bCs/>
                <w:color w:val="1B3A5C"/>
                <w:sz w:val="20"/>
                <w:szCs w:val="20"/>
              </w:rPr>
              <w:t xml:space="preserve">S4</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Realizar el evento. Ofrecer membresía al cierre.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Fundador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vAlign w:val="center"/>
          </w:tcPr>
          <w:p>
            <w:r>
              <w:rPr>
                <w:rFonts w:ascii="Arial" w:cs="Arial" w:eastAsia="Arial" w:hAnsi="Arial"/>
                <w:b w:val="false"/>
                <w:bCs w:val="false"/>
                <w:color w:val="1C1C1C"/>
                <w:sz w:val="20"/>
                <w:szCs w:val="20"/>
              </w:rPr>
              <w:t xml:space="preserve">Primeros 5–8 miembros pagos. Primer MRR real.</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8. Cierre del Diagnóstico Completo</w:t>
      </w:r>
    </w:p>
    <w:p>
      <w:pPr>
        <w:spacing w:before="60" w:after="80"/>
      </w:pPr>
      <w:r>
        <w:rPr>
          <w:rFonts w:ascii="Arial" w:cs="Arial" w:eastAsia="Arial" w:hAnsi="Arial"/>
          <w:color w:val="1C1C1C"/>
          <w:sz w:val="22"/>
          <w:szCs w:val="22"/>
        </w:rPr>
        <w:t xml:space="preserve">A lo largo de 7 bloques de cuestionario crítico, el diagnóstico reveló un proyecto con una visión sólida, un posicionamiento diferenciado y un activo de audiencia subutilizado, enfrentando cinco tensiones estructurales que deben resolverse en orden y con urgencia.</w:t>
      </w:r>
    </w:p>
    <w:p>
      <w:pPr>
        <w:spacing w:before="60" w:after="0"/>
      </w:pPr>
      <w:r>
        <w:t xml:space="preserve"/>
      </w:r>
    </w:p>
    <w:p>
      <w:pPr>
        <w:pStyle w:val="ListParagraph"/>
        <w:numPr>
          <w:ilvl w:val="0"/>
          <w:numId w:val="2"/>
        </w:numPr>
        <w:spacing w:before="40" w:after="40"/>
      </w:pPr>
      <w:r>
        <w:rPr>
          <w:rFonts w:ascii="Arial" w:cs="Arial" w:eastAsia="Arial" w:hAnsi="Arial"/>
          <w:b/>
          <w:bCs/>
          <w:color w:val="1C1C1C"/>
          <w:sz w:val="22"/>
          <w:szCs w:val="22"/>
        </w:rPr>
        <w:t xml:space="preserve">El ecosistema es viable — pero solo si la secuencia de ejecución se invierte: primero vender, después construir.</w:t>
      </w:r>
    </w:p>
    <w:p>
      <w:pPr>
        <w:pStyle w:val="ListParagraph"/>
        <w:numPr>
          <w:ilvl w:val="0"/>
          <w:numId w:val="2"/>
        </w:numPr>
        <w:spacing w:before="40" w:after="40"/>
      </w:pPr>
      <w:r>
        <w:rPr>
          <w:rFonts w:ascii="Arial" w:cs="Arial" w:eastAsia="Arial" w:hAnsi="Arial"/>
          <w:b/>
          <w:bCs/>
          <w:color w:val="1C1C1C"/>
          <w:sz w:val="22"/>
          <w:szCs w:val="22"/>
        </w:rPr>
        <w:t xml:space="preserve">El mayor riesgo no es la competencia ni el mercado — es el tiempo. Menos de 6 meses de runway exige que el primer ingreso del ecosistema ocurra en las próximas 4 semanas.</w:t>
      </w:r>
    </w:p>
    <w:p>
      <w:pPr>
        <w:pStyle w:val="ListParagraph"/>
        <w:numPr>
          <w:ilvl w:val="0"/>
          <w:numId w:val="2"/>
        </w:numPr>
        <w:spacing w:before="40" w:after="40"/>
      </w:pPr>
      <w:r>
        <w:rPr>
          <w:rFonts w:ascii="Arial" w:cs="Arial" w:eastAsia="Arial" w:hAnsi="Arial"/>
          <w:b/>
          <w:bCs/>
          <w:color w:val="1C1C1C"/>
          <w:sz w:val="22"/>
          <w:szCs w:val="22"/>
        </w:rPr>
        <w:t xml:space="preserve">La expansión internacional es la visión correcta para el largo plazo. Es la decisión equivocada para las próximas 12 semanas.</w:t>
      </w:r>
    </w:p>
    <w:p>
      <w:pPr>
        <w:pStyle w:val="ListParagraph"/>
        <w:numPr>
          <w:ilvl w:val="0"/>
          <w:numId w:val="2"/>
        </w:numPr>
        <w:spacing w:before="40" w:after="40"/>
      </w:pPr>
      <w:r>
        <w:rPr>
          <w:rFonts w:ascii="Arial" w:cs="Arial" w:eastAsia="Arial" w:hAnsi="Arial"/>
          <w:b/>
          <w:bCs/>
          <w:color w:val="1C1C1C"/>
          <w:sz w:val="22"/>
          <w:szCs w:val="22"/>
        </w:rPr>
        <w:t xml:space="preserve">La tecnología es el último problema a resolver, no el primero. WhatsApp + Drive + Mercado Pago es todo lo que se necesita para validar el modelo.</w:t>
      </w:r>
    </w:p>
    <w:p>
      <w:pPr>
        <w:pStyle w:val="ListParagraph"/>
        <w:numPr>
          <w:ilvl w:val="0"/>
          <w:numId w:val="2"/>
        </w:numPr>
        <w:spacing w:before="40" w:after="40"/>
      </w:pPr>
      <w:r>
        <w:rPr>
          <w:rFonts w:ascii="Arial" w:cs="Arial" w:eastAsia="Arial" w:hAnsi="Arial"/>
          <w:b/>
          <w:bCs/>
          <w:color w:val="1C1C1C"/>
          <w:sz w:val="22"/>
          <w:szCs w:val="22"/>
        </w:rPr>
        <w:t xml:space="preserve">Una sola venta real vale más que todos los informes estratégicos juntos. Incluyendo este.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8F8F5" w:val="clear"/>
            <w:tcMar>
              <w:top w:type="dxa" w:w="120"/>
              <w:left w:type="dxa" w:w="200"/>
              <w:bottom w:type="dxa" w:w="120"/>
              <w:right w:type="dxa" w:w="200"/>
            </w:tcMar>
          </w:tcPr>
          <w:p>
            <w:pPr>
              <w:spacing w:before="0" w:after="40"/>
            </w:pPr>
            <w:r>
              <w:rPr>
                <w:rFonts w:ascii="Arial" w:cs="Arial" w:eastAsia="Arial" w:hAnsi="Arial"/>
                <w:b/>
                <w:bCs/>
                <w:color w:val="1A7A4A"/>
                <w:sz w:val="22"/>
                <w:szCs w:val="22"/>
              </w:rPr>
              <w:t xml:space="preserve">MENSAJE FINAL</w:t>
            </w:r>
          </w:p>
          <w:p>
            <w:pPr>
              <w:spacing w:before="0" w:after="0"/>
            </w:pPr>
            <w:r>
              <w:rPr>
                <w:rFonts w:ascii="Arial" w:cs="Arial" w:eastAsia="Arial" w:hAnsi="Arial"/>
                <w:color w:val="1C1C1C"/>
                <w:sz w:val="22"/>
                <w:szCs w:val="22"/>
              </w:rPr>
              <w:t xml:space="preserve">El proyecto tiene todo lo que necesita para funcionar: criterio, audiencia, posicionamiento y tiempo de dedicación. Lo que falta es una decisión: empezar esta semana, con lo que hay, al precio correcto. El ecosistema no se lanza cuando la app esté lista. Se lanza cuando el primer mensaje sale hoy.</w:t>
            </w:r>
          </w:p>
        </w:tc>
      </w:tr>
    </w:tbl>
    <w:p>
      <w:pPr>
        <w:spacing w:before="160" w:after="0"/>
      </w:pPr>
      <w:r>
        <w:t xml:space="preserve"/>
      </w:r>
    </w:p>
    <w:p>
      <w:pPr>
        <w:pBdr>
          <w:top w:val="single" w:color="D5D8DC" w:sz="2" w:space="8"/>
        </w:pBdr>
        <w:spacing w:before="120" w:after="40"/>
        <w:jc w:val="center"/>
      </w:pPr>
      <w:r>
        <w:rPr>
          <w:rFonts w:ascii="Arial" w:cs="Arial" w:eastAsia="Arial" w:hAnsi="Arial"/>
          <w:color w:val="888888"/>
          <w:sz w:val="18"/>
          <w:szCs w:val="18"/>
        </w:rPr>
        <w:t xml:space="preserve">Mejora Continua — Diagnóstico Estratégico Confidencial — Informe Final</w:t>
      </w:r>
    </w:p>
    <w:p>
      <w:pPr>
        <w:jc w:val="center"/>
      </w:pPr>
      <w:r>
        <w:rPr>
          <w:rFonts w:ascii="Arial" w:cs="Arial" w:eastAsia="Arial" w:hAnsi="Arial"/>
          <w:color w:val="AAAAAA"/>
          <w:sz w:val="18"/>
          <w:szCs w:val="18"/>
        </w:rPr>
        <w:t xml:space="preserve">Sesión de cierre — 27 de marzo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2026-03-27T21:16:25.227Z</dcterms:created>
  <dcterms:modified xsi:type="dcterms:W3CDTF">2026-03-27T21:16:25.228Z</dcterms:modified>
</cp:coreProperties>
</file>

<file path=docProps/custom.xml><?xml version="1.0" encoding="utf-8"?>
<Properties xmlns="http://schemas.openxmlformats.org/officeDocument/2006/custom-properties" xmlns:vt="http://schemas.openxmlformats.org/officeDocument/2006/docPropsVTypes"/>
</file>