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0"/>
      </w:pPr>
      <w:r>
        <w:t xml:space="preserve"/>
      </w:r>
    </w:p>
    <w:p>
      <w:pPr>
        <w:spacing w:before="0" w:after="60"/>
        <w:jc w:val="center"/>
      </w:pPr>
      <w:r>
        <w:rPr>
          <w:rFonts w:ascii="Arial" w:cs="Arial" w:eastAsia="Arial" w:hAnsi="Arial"/>
          <w:b/>
          <w:bCs/>
          <w:color w:val="1B3A5C"/>
          <w:sz w:val="52"/>
          <w:szCs w:val="52"/>
        </w:rPr>
        <w:t xml:space="preserve">MEJORA CONTINUA</w:t>
      </w:r>
    </w:p>
    <w:p>
      <w:pPr>
        <w:spacing w:before="0" w:after="40"/>
        <w:jc w:val="center"/>
      </w:pPr>
      <w:r>
        <w:rPr>
          <w:rFonts w:ascii="Arial" w:cs="Arial" w:eastAsia="Arial" w:hAnsi="Arial"/>
          <w:color w:val="555555"/>
          <w:sz w:val="32"/>
          <w:szCs w:val="32"/>
        </w:rPr>
        <w:t xml:space="preserve">Ecosistema Estratégico</w:t>
      </w:r>
    </w:p>
    <w:p>
      <w:pPr>
        <w:pBdr>
          <w:bottom w:val="single" w:color="C0392B" w:sz="6" w:space="8"/>
        </w:pBdr>
        <w:spacing w:before="0" w:after="120"/>
        <w:jc w:val="center"/>
      </w:pPr>
      <w:r>
        <w:t xml:space="preserve"/>
      </w:r>
    </w:p>
    <w:p>
      <w:pPr>
        <w:spacing w:before="60" w:after="0"/>
      </w:pPr>
      <w:r>
        <w:t xml:space="preserve"/>
      </w:r>
    </w:p>
    <w:p>
      <w:pPr>
        <w:spacing w:before="0" w:after="20"/>
        <w:jc w:val="center"/>
      </w:pPr>
      <w:r>
        <w:rPr>
          <w:rFonts w:ascii="Arial" w:cs="Arial" w:eastAsia="Arial" w:hAnsi="Arial"/>
          <w:b/>
          <w:bCs/>
          <w:color w:val="C0392B"/>
          <w:sz w:val="30"/>
          <w:szCs w:val="30"/>
        </w:rPr>
        <w:t xml:space="preserve">REVISIÓN RÁPIDA — BLOQUES 3 AL 7</w:t>
      </w:r>
    </w:p>
    <w:p>
      <w:pPr>
        <w:spacing w:before="0" w:after="20"/>
        <w:jc w:val="center"/>
      </w:pPr>
      <w:r>
        <w:rPr>
          <w:rFonts w:ascii="Arial" w:cs="Arial" w:eastAsia="Arial" w:hAnsi="Arial"/>
          <w:color w:val="555555"/>
          <w:sz w:val="24"/>
          <w:szCs w:val="24"/>
        </w:rPr>
        <w:t xml:space="preserve">Correcciones finales antes del Plan de Implementación Integrado</w:t>
      </w:r>
    </w:p>
    <w:p>
      <w:pPr>
        <w:spacing w:before="0" w:after="480"/>
        <w:jc w:val="center"/>
      </w:pPr>
      <w:r>
        <w:rPr>
          <w:rFonts w:ascii="Arial" w:cs="Arial" w:eastAsia="Arial" w:hAnsi="Arial"/>
          <w:color w:val="888888"/>
          <w:sz w:val="22"/>
          <w:szCs w:val="22"/>
        </w:rPr>
        <w:t xml:space="preserve">Cierre: 28 de marzo de 2026</w:t>
      </w:r>
    </w:p>
    <w:p>
      <w:pPr>
        <w:pStyle w:val="Heading1"/>
        <w:pBdr>
          <w:bottom w:val="single" w:color="1B3A5C" w:sz="4" w:space="6"/>
        </w:pBdr>
        <w:spacing w:before="360" w:after="120"/>
      </w:pPr>
      <w:r>
        <w:rPr>
          <w:rFonts w:ascii="Arial" w:cs="Arial" w:eastAsia="Arial" w:hAnsi="Arial"/>
          <w:b/>
          <w:bCs/>
          <w:color w:val="1B3A5C"/>
          <w:sz w:val="36"/>
          <w:szCs w:val="36"/>
        </w:rPr>
        <w:t xml:space="preserve">Estado de los Bloques — Resumen</w:t>
      </w:r>
    </w:p>
    <w:p>
      <w:pPr>
        <w:spacing w:before="60" w:after="80"/>
      </w:pPr>
      <w:r>
        <w:rPr>
          <w:rFonts w:ascii="Arial" w:cs="Arial" w:eastAsia="Arial" w:hAnsi="Arial"/>
          <w:color w:val="1C1C1C"/>
          <w:sz w:val="22"/>
          <w:szCs w:val="22"/>
        </w:rPr>
        <w:t xml:space="preserve">Antes de detallar cada bloque, este es el mapa de estado de todo el diagnóstico:</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A7A4A" w:sz="1"/>
              <w:left w:val="single" w:color="1A7A4A" w:sz="1"/>
              <w:bottom w:val="single" w:color="1A7A4A" w:sz="1"/>
              <w:right w:val="single" w:color="1A7A4A" w:sz="1"/>
            </w:tcBorders>
            <w:shd w:fill="1A7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CERRADO</w:t>
            </w:r>
          </w:p>
        </w:tc>
        <w:tc>
          <w:tcPr>
            <w:tcW w:type="dxa" w:w="8160"/>
            <w:tcBorders>
              <w:top w:val="single" w:color="1A7A4A" w:sz="1"/>
              <w:left w:val="single" w:color="1A7A4A" w:sz="1"/>
              <w:bottom w:val="single" w:color="1A7A4A" w:sz="1"/>
              <w:right w:val="single" w:color="1A7A4A" w:sz="1"/>
            </w:tcBorders>
            <w:shd w:fill="E8F8F5" w:val="clear"/>
            <w:tcMar>
              <w:top w:type="dxa" w:w="80"/>
              <w:left w:type="dxa" w:w="160"/>
              <w:bottom w:type="dxa" w:w="80"/>
              <w:right w:type="dxa" w:w="120"/>
            </w:tcMar>
          </w:tcPr>
          <w:p>
            <w:r>
              <w:rPr>
                <w:rFonts w:ascii="Arial" w:cs="Arial" w:eastAsia="Arial" w:hAnsi="Arial"/>
                <w:b/>
                <w:bCs/>
                <w:color w:val="1A7A4A"/>
                <w:sz w:val="22"/>
                <w:szCs w:val="22"/>
              </w:rPr>
              <w:t xml:space="preserve">Bloque 1 — Identidad y modelo de negocio</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A7A4A" w:sz="1"/>
              <w:left w:val="single" w:color="1A7A4A" w:sz="1"/>
              <w:bottom w:val="single" w:color="1A7A4A" w:sz="1"/>
              <w:right w:val="single" w:color="1A7A4A" w:sz="1"/>
            </w:tcBorders>
            <w:shd w:fill="1A7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CERRADO</w:t>
            </w:r>
          </w:p>
        </w:tc>
        <w:tc>
          <w:tcPr>
            <w:tcW w:type="dxa" w:w="8160"/>
            <w:tcBorders>
              <w:top w:val="single" w:color="1A7A4A" w:sz="1"/>
              <w:left w:val="single" w:color="1A7A4A" w:sz="1"/>
              <w:bottom w:val="single" w:color="1A7A4A" w:sz="1"/>
              <w:right w:val="single" w:color="1A7A4A" w:sz="1"/>
            </w:tcBorders>
            <w:shd w:fill="E8F8F5" w:val="clear"/>
            <w:tcMar>
              <w:top w:type="dxa" w:w="80"/>
              <w:left w:type="dxa" w:w="160"/>
              <w:bottom w:type="dxa" w:w="80"/>
              <w:right w:type="dxa" w:w="120"/>
            </w:tcMar>
          </w:tcPr>
          <w:p>
            <w:r>
              <w:rPr>
                <w:rFonts w:ascii="Arial" w:cs="Arial" w:eastAsia="Arial" w:hAnsi="Arial"/>
                <w:b/>
                <w:bCs/>
                <w:color w:val="1A7A4A"/>
                <w:sz w:val="22"/>
                <w:szCs w:val="22"/>
              </w:rPr>
              <w:t xml:space="preserve">Bloque 2 — Producto mínimo vendible y precio</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CONFIRMADO — sin correcciones</w:t>
            </w:r>
          </w:p>
        </w:tc>
        <w:tc>
          <w:tcPr>
            <w:tcW w:type="dxa" w:w="8160"/>
            <w:tcBorders>
              <w:top w:val="single" w:color="1B3A5C" w:sz="1"/>
              <w:left w:val="single" w:color="1B3A5C" w:sz="1"/>
              <w:bottom w:val="single" w:color="1B3A5C" w:sz="1"/>
              <w:right w:val="single" w:color="1B3A5C" w:sz="1"/>
            </w:tcBorders>
            <w:shd w:fill="F8F9FA" w:val="clear"/>
            <w:tcMar>
              <w:top w:type="dxa" w:w="80"/>
              <w:left w:type="dxa" w:w="160"/>
              <w:bottom w:type="dxa" w:w="80"/>
              <w:right w:type="dxa" w:w="120"/>
            </w:tcMar>
          </w:tcPr>
          <w:p>
            <w:r>
              <w:rPr>
                <w:rFonts w:ascii="Arial" w:cs="Arial" w:eastAsia="Arial" w:hAnsi="Arial"/>
                <w:b/>
                <w:bCs/>
                <w:color w:val="1B3A5C"/>
                <w:sz w:val="22"/>
                <w:szCs w:val="22"/>
              </w:rPr>
              <w:t xml:space="preserve">Bloque 3 — Conversión de audiencia</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CORREGIDO — lógica de precio en 3 capas geográficas</w:t>
            </w:r>
          </w:p>
        </w:tc>
        <w:tc>
          <w:tcPr>
            <w:tcW w:type="dxa" w:w="8160"/>
            <w:tcBorders>
              <w:top w:val="single" w:color="1B3A5C" w:sz="1"/>
              <w:left w:val="single" w:color="1B3A5C" w:sz="1"/>
              <w:bottom w:val="single" w:color="1B3A5C" w:sz="1"/>
              <w:right w:val="single" w:color="1B3A5C" w:sz="1"/>
            </w:tcBorders>
            <w:shd w:fill="F8F9FA" w:val="clear"/>
            <w:tcMar>
              <w:top w:type="dxa" w:w="80"/>
              <w:left w:type="dxa" w:w="160"/>
              <w:bottom w:type="dxa" w:w="80"/>
              <w:right w:type="dxa" w:w="120"/>
            </w:tcMar>
          </w:tcPr>
          <w:p>
            <w:r>
              <w:rPr>
                <w:rFonts w:ascii="Arial" w:cs="Arial" w:eastAsia="Arial" w:hAnsi="Arial"/>
                <w:b/>
                <w:bCs/>
                <w:color w:val="1B3A5C"/>
                <w:sz w:val="22"/>
                <w:szCs w:val="22"/>
              </w:rPr>
              <w:t xml:space="preserve">Bloque 4 — Membresías y precio por mercado</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CORREGIDO — socio con skin in the game 70/30</w:t>
            </w:r>
          </w:p>
        </w:tc>
        <w:tc>
          <w:tcPr>
            <w:tcW w:type="dxa" w:w="8160"/>
            <w:tcBorders>
              <w:top w:val="single" w:color="1B3A5C" w:sz="1"/>
              <w:left w:val="single" w:color="1B3A5C" w:sz="1"/>
              <w:bottom w:val="single" w:color="1B3A5C" w:sz="1"/>
              <w:right w:val="single" w:color="1B3A5C" w:sz="1"/>
            </w:tcBorders>
            <w:shd w:fill="F8F9FA" w:val="clear"/>
            <w:tcMar>
              <w:top w:type="dxa" w:w="80"/>
              <w:left w:type="dxa" w:w="160"/>
              <w:bottom w:type="dxa" w:w="80"/>
              <w:right w:type="dxa" w:w="120"/>
            </w:tcMar>
          </w:tcPr>
          <w:p>
            <w:r>
              <w:rPr>
                <w:rFonts w:ascii="Arial" w:cs="Arial" w:eastAsia="Arial" w:hAnsi="Arial"/>
                <w:b/>
                <w:bCs/>
                <w:color w:val="1B3A5C"/>
                <w:sz w:val="22"/>
                <w:szCs w:val="22"/>
              </w:rPr>
              <w:t xml:space="preserve">Bloque 5 — Tecnología y desarrollo</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REVISADO — modelo cero erogación confirma la estrategia</w:t>
            </w:r>
          </w:p>
        </w:tc>
        <w:tc>
          <w:tcPr>
            <w:tcW w:type="dxa" w:w="8160"/>
            <w:tcBorders>
              <w:top w:val="single" w:color="1B3A5C" w:sz="1"/>
              <w:left w:val="single" w:color="1B3A5C" w:sz="1"/>
              <w:bottom w:val="single" w:color="1B3A5C" w:sz="1"/>
              <w:right w:val="single" w:color="1B3A5C" w:sz="1"/>
            </w:tcBorders>
            <w:shd w:fill="F8F9FA" w:val="clear"/>
            <w:tcMar>
              <w:top w:type="dxa" w:w="80"/>
              <w:left w:type="dxa" w:w="160"/>
              <w:bottom w:type="dxa" w:w="80"/>
              <w:right w:type="dxa" w:w="120"/>
            </w:tcMar>
          </w:tcPr>
          <w:p>
            <w:r>
              <w:rPr>
                <w:rFonts w:ascii="Arial" w:cs="Arial" w:eastAsia="Arial" w:hAnsi="Arial"/>
                <w:b/>
                <w:bCs/>
                <w:color w:val="1B3A5C"/>
                <w:sz w:val="22"/>
                <w:szCs w:val="22"/>
              </w:rPr>
              <w:t xml:space="preserve">Bloques 6 y 7 — Finanzas y operaciones</w:t>
            </w:r>
          </w:p>
        </w:tc>
      </w:tr>
    </w:tbl>
    <w:p>
      <w:pPr>
        <w:spacing w:before="160" w:after="0"/>
      </w:pPr>
      <w:r>
        <w:t xml:space="preserve"/>
      </w:r>
    </w:p>
    <w:p>
      <w:pPr>
        <w:pStyle w:val="Heading1"/>
        <w:pBdr>
          <w:bottom w:val="single" w:color="1B3A5C" w:sz="4" w:space="6"/>
        </w:pBdr>
        <w:spacing w:before="360" w:after="120"/>
      </w:pPr>
      <w:r>
        <w:rPr>
          <w:rFonts w:ascii="Arial" w:cs="Arial" w:eastAsia="Arial" w:hAnsi="Arial"/>
          <w:b/>
          <w:bCs/>
          <w:color w:val="1B3A5C"/>
          <w:sz w:val="36"/>
          <w:szCs w:val="36"/>
        </w:rPr>
        <w:t xml:space="preserve">Bloque 3 — Conversión de Audiencia: Confirmado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A7A4A" w:sz="1"/>
              <w:left w:val="single" w:color="1A7A4A" w:sz="1"/>
              <w:bottom w:val="single" w:color="1A7A4A" w:sz="1"/>
              <w:right w:val="single" w:color="1A7A4A" w:sz="1"/>
            </w:tcBorders>
            <w:shd w:fill="1A7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CONFIRMADO</w:t>
            </w:r>
          </w:p>
        </w:tc>
        <w:tc>
          <w:tcPr>
            <w:tcW w:type="dxa" w:w="8160"/>
            <w:tcBorders>
              <w:top w:val="single" w:color="1A7A4A" w:sz="1"/>
              <w:left w:val="single" w:color="1A7A4A" w:sz="1"/>
              <w:bottom w:val="single" w:color="1A7A4A" w:sz="1"/>
              <w:right w:val="single" w:color="1A7A4A" w:sz="1"/>
            </w:tcBorders>
            <w:shd w:fill="E8F8F5" w:val="clear"/>
            <w:tcMar>
              <w:top w:type="dxa" w:w="80"/>
              <w:left w:type="dxa" w:w="160"/>
              <w:bottom w:type="dxa" w:w="80"/>
              <w:right w:type="dxa" w:w="120"/>
            </w:tcMar>
          </w:tcPr>
          <w:p>
            <w:r>
              <w:rPr>
                <w:rFonts w:ascii="Arial" w:cs="Arial" w:eastAsia="Arial" w:hAnsi="Arial"/>
                <w:b/>
                <w:bCs/>
                <w:color w:val="1A7A4A"/>
                <w:sz w:val="22"/>
                <w:szCs w:val="22"/>
              </w:rPr>
              <w:t xml:space="preserve">Sin correcciones. El diagnóstico revisado refleja la realidad.</w:t>
            </w:r>
          </w:p>
        </w:tc>
      </w:tr>
    </w:tbl>
    <w:p>
      <w:pPr>
        <w:spacing w:before="80" w:after="0"/>
      </w:pPr>
      <w:r>
        <w:t xml:space="preserve"/>
      </w:r>
    </w:p>
    <w:p>
      <w:pPr>
        <w:spacing w:before="60" w:after="80"/>
      </w:pPr>
      <w:r>
        <w:rPr>
          <w:rFonts w:ascii="Arial" w:cs="Arial" w:eastAsia="Arial" w:hAnsi="Arial"/>
          <w:color w:val="1C1C1C"/>
          <w:sz w:val="22"/>
          <w:szCs w:val="22"/>
        </w:rPr>
        <w:t xml:space="preserve">El diagnóstico del Bloque 3 revisado queda vigente en su totalidad:</w:t>
      </w:r>
    </w:p>
    <w:p>
      <w:pPr>
        <w:spacing w:before="40" w:after="0"/>
      </w:pPr>
      <w:r>
        <w:t xml:space="preserve"/>
      </w:r>
    </w:p>
    <w:p>
      <w:pPr>
        <w:pStyle w:val="ListParagraph"/>
        <w:numPr>
          <w:ilvl w:val="0"/>
          <w:numId w:val="2"/>
        </w:numPr>
        <w:spacing w:before="40" w:after="40"/>
      </w:pPr>
      <w:r>
        <w:rPr>
          <w:rFonts w:ascii="Arial" w:cs="Arial" w:eastAsia="Arial" w:hAnsi="Arial"/>
          <w:b/>
          <w:bCs/>
          <w:color w:val="1C1C1C"/>
          <w:sz w:val="22"/>
          <w:szCs w:val="22"/>
        </w:rPr>
        <w:t xml:space="preserve">10 founders identificados — contacto directo en semana 1, sin protocolo de calentamiento previo.</w:t>
      </w:r>
    </w:p>
    <w:p>
      <w:pPr>
        <w:pStyle w:val="ListParagraph"/>
        <w:numPr>
          <w:ilvl w:val="0"/>
          <w:numId w:val="2"/>
        </w:numPr>
        <w:spacing w:before="40" w:after="40"/>
      </w:pPr>
      <w:r>
        <w:rPr>
          <w:rFonts w:ascii="Arial" w:cs="Arial" w:eastAsia="Arial" w:hAnsi="Arial"/>
          <w:b/>
          <w:bCs/>
          <w:color w:val="1C1C1C"/>
          <w:sz w:val="22"/>
          <w:szCs w:val="22"/>
        </w:rPr>
        <w:t xml:space="preserve">50 ex-miembros como segundo anillo de activación inmediata — invitación directa a Nivel 1.</w:t>
      </w:r>
    </w:p>
    <w:p>
      <w:pPr>
        <w:pStyle w:val="ListParagraph"/>
        <w:numPr>
          <w:ilvl w:val="0"/>
          <w:numId w:val="2"/>
        </w:numPr>
        <w:spacing w:before="40" w:after="40"/>
      </w:pPr>
      <w:r>
        <w:rPr>
          <w:rFonts w:ascii="Arial" w:cs="Arial" w:eastAsia="Arial" w:hAnsi="Arial"/>
          <w:b/>
          <w:bCs/>
          <w:color w:val="1C1C1C"/>
          <w:sz w:val="22"/>
          <w:szCs w:val="22"/>
        </w:rPr>
        <w:t xml:space="preserve">After offices como tercer anillo — asistentes sin membresía digital invitados a Nivel 0 Free.</w:t>
      </w:r>
    </w:p>
    <w:p>
      <w:pPr>
        <w:pStyle w:val="ListParagraph"/>
        <w:numPr>
          <w:ilvl w:val="0"/>
          <w:numId w:val="2"/>
        </w:numPr>
        <w:spacing w:before="40" w:after="40"/>
      </w:pPr>
      <w:r>
        <w:rPr>
          <w:rFonts w:ascii="Arial" w:cs="Arial" w:eastAsia="Arial" w:hAnsi="Arial"/>
          <w:b/>
          <w:bCs/>
          <w:color w:val="1C1C1C"/>
          <w:sz w:val="22"/>
          <w:szCs w:val="22"/>
        </w:rPr>
        <w:t xml:space="preserve">Lista general de WhatsApp como cuarto anillo — anuncio del relanzamiento en semana 2.</w:t>
      </w:r>
    </w:p>
    <w:p>
      <w:pPr>
        <w:pStyle w:val="ListParagraph"/>
        <w:numPr>
          <w:ilvl w:val="0"/>
          <w:numId w:val="2"/>
        </w:numPr>
        <w:spacing w:before="40" w:after="40"/>
      </w:pPr>
      <w:r>
        <w:rPr>
          <w:rFonts w:ascii="Arial" w:cs="Arial" w:eastAsia="Arial" w:hAnsi="Arial"/>
          <w:b/>
          <w:bCs/>
          <w:color w:val="1C1C1C"/>
          <w:sz w:val="22"/>
          <w:szCs w:val="22"/>
        </w:rPr>
        <w:t xml:space="preserve">Protocolo comprimido de 2 semanas en lugar de 3 — el vínculo caliente lo permite.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7A4A" w:sz="1"/>
              <w:left w:val="single" w:color="1A7A4A" w:sz="12"/>
              <w:bottom w:val="single" w:color="1A7A4A" w:sz="1"/>
              <w:right w:val="single" w:color="1A7A4A" w:sz="1"/>
            </w:tcBorders>
            <w:shd w:fill="E8F8F5" w:val="clear"/>
            <w:tcMar>
              <w:top w:type="dxa" w:w="120"/>
              <w:left w:type="dxa" w:w="200"/>
              <w:bottom w:type="dxa" w:w="120"/>
              <w:right w:type="dxa" w:w="200"/>
            </w:tcMar>
          </w:tcPr>
          <w:p>
            <w:pPr>
              <w:spacing w:before="0" w:after="40"/>
            </w:pPr>
            <w:r>
              <w:rPr>
                <w:rFonts w:ascii="Arial" w:cs="Arial" w:eastAsia="Arial" w:hAnsi="Arial"/>
                <w:b/>
                <w:bCs/>
                <w:color w:val="1A7A4A"/>
                <w:sz w:val="22"/>
                <w:szCs w:val="22"/>
              </w:rPr>
              <w:t xml:space="preserve">✅  BLOQUE 3 CERRADO</w:t>
            </w:r>
          </w:p>
          <w:p>
            <w:pPr>
              <w:spacing w:before="0" w:after="0"/>
            </w:pPr>
            <w:r>
              <w:rPr>
                <w:rFonts w:ascii="Arial" w:cs="Arial" w:eastAsia="Arial" w:hAnsi="Arial"/>
                <w:color w:val="1C1C1C"/>
                <w:sz w:val="22"/>
                <w:szCs w:val="22"/>
              </w:rPr>
              <w:t xml:space="preserve">Este bloque no requiere ninguna modificación. La estrategia de activación en cuatro anillos con timing diferenciado es la correcta para el estado real de la audiencia.</w:t>
            </w:r>
          </w:p>
        </w:tc>
      </w:tr>
    </w:tbl>
    <w:p>
      <w:pPr>
        <w:spacing w:before="160" w:after="0"/>
      </w:pPr>
      <w:r>
        <w:t xml:space="preserve"/>
      </w:r>
    </w:p>
    <w:p>
      <w:pPr>
        <w:pStyle w:val="Heading1"/>
        <w:pBdr>
          <w:bottom w:val="single" w:color="1B3A5C" w:sz="4" w:space="6"/>
        </w:pBdr>
        <w:spacing w:before="360" w:after="120"/>
      </w:pPr>
      <w:r>
        <w:rPr>
          <w:rFonts w:ascii="Arial" w:cs="Arial" w:eastAsia="Arial" w:hAnsi="Arial"/>
          <w:b/>
          <w:bCs/>
          <w:color w:val="1B3A5C"/>
          <w:sz w:val="36"/>
          <w:szCs w:val="36"/>
        </w:rPr>
        <w:t xml:space="preserve">Bloque 4 — Membresías: La Lógica de Precio en 3 Capas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A7A4A" w:sz="1"/>
              <w:left w:val="single" w:color="1A7A4A" w:sz="1"/>
              <w:bottom w:val="single" w:color="1A7A4A" w:sz="1"/>
              <w:right w:val="single" w:color="1A7A4A" w:sz="1"/>
            </w:tcBorders>
            <w:shd w:fill="1A7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CORREGIDO</w:t>
            </w:r>
          </w:p>
        </w:tc>
        <w:tc>
          <w:tcPr>
            <w:tcW w:type="dxa" w:w="8160"/>
            <w:tcBorders>
              <w:top w:val="single" w:color="1A7A4A" w:sz="1"/>
              <w:left w:val="single" w:color="1A7A4A" w:sz="1"/>
              <w:bottom w:val="single" w:color="1A7A4A" w:sz="1"/>
              <w:right w:val="single" w:color="1A7A4A" w:sz="1"/>
            </w:tcBorders>
            <w:shd w:fill="EAFAF1" w:val="clear"/>
            <w:tcMar>
              <w:top w:type="dxa" w:w="80"/>
              <w:left w:type="dxa" w:w="160"/>
              <w:bottom w:type="dxa" w:w="80"/>
              <w:right w:type="dxa" w:w="120"/>
            </w:tcMar>
          </w:tcPr>
          <w:p>
            <w:r>
              <w:rPr>
                <w:rFonts w:ascii="Arial" w:cs="Arial" w:eastAsia="Arial" w:hAnsi="Arial"/>
                <w:b/>
                <w:bCs/>
                <w:color w:val="1A7A4A"/>
                <w:sz w:val="22"/>
                <w:szCs w:val="22"/>
              </w:rPr>
              <w:t xml:space="preserve">Corrección de fondo: la brecha ARS/USD no es inconsistencia — es arquitectura de mercado deliberada.</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0392B" w:sz="1"/>
              <w:left w:val="single" w:color="C0392B" w:sz="1"/>
              <w:bottom w:val="single" w:color="C0392B" w:sz="1"/>
              <w:right w:val="single" w:color="C0392B" w:sz="1"/>
            </w:tcBorders>
            <w:shd w:fill="FDEDEC" w:val="clear"/>
            <w:tcMar>
              <w:top w:type="dxa" w:w="80"/>
              <w:left w:type="dxa" w:w="160"/>
              <w:bottom w:type="dxa" w:w="80"/>
              <w:right w:type="dxa" w:w="120"/>
            </w:tcMar>
          </w:tcPr>
          <w:p>
            <w:pPr>
              <w:spacing w:before="0" w:after="40"/>
            </w:pPr>
            <w:r>
              <w:rPr>
                <w:rFonts w:ascii="Arial" w:cs="Arial" w:eastAsia="Arial" w:hAnsi="Arial"/>
                <w:b/>
                <w:bCs/>
                <w:color w:val="C0392B"/>
                <w:sz w:val="20"/>
                <w:szCs w:val="20"/>
              </w:rPr>
              <w:t xml:space="preserve">✗  Diagnóstico anterior</w:t>
            </w:r>
          </w:p>
          <w:p>
            <w:r>
              <w:rPr>
                <w:rFonts w:ascii="Arial" w:cs="Arial" w:eastAsia="Arial" w:hAnsi="Arial"/>
                <w:i/>
                <w:iCs/>
                <w:color w:val="666666"/>
                <w:sz w:val="20"/>
                <w:szCs w:val="20"/>
              </w:rPr>
              <w:t xml:space="preserve">La brecha entre el precio en ARS y el precio en USD genera inequidad percibida entre miembros de distintos mercados. Debe resolverse anclando en USD.</w:t>
            </w:r>
          </w:p>
        </w:tc>
        <w:tc>
          <w:tcPr>
            <w:tcW w:type="dxa" w:w="4680"/>
            <w:tcBorders>
              <w:top w:val="single" w:color="1A7A4A" w:sz="1"/>
              <w:left w:val="single" w:color="1A7A4A" w:sz="1"/>
              <w:bottom w:val="single" w:color="1A7A4A" w:sz="1"/>
              <w:right w:val="single" w:color="1A7A4A" w:sz="1"/>
            </w:tcBorders>
            <w:shd w:fill="EAFAF1" w:val="clear"/>
            <w:tcMar>
              <w:top w:type="dxa" w:w="80"/>
              <w:left w:type="dxa" w:w="160"/>
              <w:bottom w:type="dxa" w:w="80"/>
              <w:right w:type="dxa" w:w="120"/>
            </w:tcMar>
          </w:tcPr>
          <w:p>
            <w:pPr>
              <w:spacing w:before="0" w:after="40"/>
            </w:pPr>
            <w:r>
              <w:rPr>
                <w:rFonts w:ascii="Arial" w:cs="Arial" w:eastAsia="Arial" w:hAnsi="Arial"/>
                <w:b/>
                <w:bCs/>
                <w:color w:val="1A7A4A"/>
                <w:sz w:val="20"/>
                <w:szCs w:val="20"/>
              </w:rPr>
              <w:t xml:space="preserve">✓  Diagnóstico corregido</w:t>
            </w:r>
          </w:p>
          <w:p>
            <w:r>
              <w:rPr>
                <w:rFonts w:ascii="Arial" w:cs="Arial" w:eastAsia="Arial" w:hAnsi="Arial"/>
                <w:color w:val="1C1C1C"/>
                <w:sz w:val="20"/>
                <w:szCs w:val="20"/>
              </w:rPr>
              <w:t xml:space="preserve">La brecha es intencional y tiene una lógica geográfica en tres capas: Misiones como sandbox extremo → Argentina nacional como validación → Internacional en USD como precio real del producto consolidado.</w:t>
            </w:r>
          </w:p>
        </w:tc>
      </w:tr>
    </w:tbl>
    <w:p>
      <w:pPr>
        <w:spacing w:before="80" w:after="0"/>
      </w:pPr>
      <w:r>
        <w:t xml:space="preserve"/>
      </w:r>
    </w:p>
    <w:p>
      <w:pPr>
        <w:spacing w:before="60" w:after="80"/>
      </w:pPr>
      <w:r>
        <w:rPr>
          <w:rFonts w:ascii="Arial" w:cs="Arial" w:eastAsia="Arial" w:hAnsi="Arial"/>
          <w:color w:val="1C1C1C"/>
          <w:sz w:val="22"/>
          <w:szCs w:val="22"/>
        </w:rPr>
        <w:t xml:space="preserve">La estrategia de precio por mercado tiene una sofisticación que el diagnóstico original no capturó. No es un problema de inconsistencia — es una escalera de mercados con una función específica en cada peldaño:</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360"/>
        <w:gridCol w:w="2800"/>
      </w:tblGrid>
      <w:tr>
        <w:tc>
          <w:tcPr>
            <w:tcW w:type="dxa" w:w="20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80"/>
            </w:tcMar>
          </w:tcPr>
          <w:p>
            <w:r>
              <w:rPr>
                <w:rFonts w:ascii="Arial" w:cs="Arial" w:eastAsia="Arial" w:hAnsi="Arial"/>
                <w:b/>
                <w:bCs/>
                <w:color w:val="FFFFFF"/>
                <w:sz w:val="20"/>
                <w:szCs w:val="20"/>
              </w:rPr>
              <w:t xml:space="preserve">Mercado</w:t>
            </w:r>
          </w:p>
        </w:tc>
        <w:tc>
          <w:tcPr>
            <w:tcW w:type="dxa" w:w="2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80"/>
            </w:tcMar>
          </w:tcPr>
          <w:p>
            <w:r>
              <w:rPr>
                <w:rFonts w:ascii="Arial" w:cs="Arial" w:eastAsia="Arial" w:hAnsi="Arial"/>
                <w:b/>
                <w:bCs/>
                <w:color w:val="FFFFFF"/>
                <w:sz w:val="20"/>
                <w:szCs w:val="20"/>
              </w:rPr>
              <w:t xml:space="preserve">Estrategia de precio</w:t>
            </w:r>
          </w:p>
        </w:tc>
        <w:tc>
          <w:tcPr>
            <w:tcW w:type="dxa" w:w="23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80"/>
            </w:tcMar>
          </w:tcPr>
          <w:p>
            <w:r>
              <w:rPr>
                <w:rFonts w:ascii="Arial" w:cs="Arial" w:eastAsia="Arial" w:hAnsi="Arial"/>
                <w:b/>
                <w:bCs/>
                <w:color w:val="FFFFFF"/>
                <w:sz w:val="20"/>
                <w:szCs w:val="20"/>
              </w:rPr>
              <w:t xml:space="preserve">Función en el modelo</w:t>
            </w:r>
          </w:p>
        </w:tc>
        <w:tc>
          <w:tcPr>
            <w:tcW w:type="dxa" w:w="2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80"/>
            </w:tcMar>
          </w:tcPr>
          <w:p>
            <w:r>
              <w:rPr>
                <w:rFonts w:ascii="Arial" w:cs="Arial" w:eastAsia="Arial" w:hAnsi="Arial"/>
                <w:b/>
                <w:bCs/>
                <w:color w:val="FFFFFF"/>
                <w:sz w:val="20"/>
                <w:szCs w:val="20"/>
              </w:rPr>
              <w:t xml:space="preserve">Resultado esperado</w:t>
            </w:r>
          </w:p>
        </w:tc>
      </w:tr>
      <w:tr>
        <w:tc>
          <w:tcPr>
            <w:tcW w:type="dxa" w:w="2000"/>
            <w:tcBorders>
              <w:top w:val="single" w:color="D5D8DC" w:sz="1"/>
              <w:left w:val="single" w:color="D5D8DC" w:sz="1"/>
              <w:bottom w:val="single" w:color="D5D8DC" w:sz="1"/>
              <w:right w:val="single" w:color="D5D8DC" w:sz="1"/>
            </w:tcBorders>
            <w:shd w:fill="F2F4F6" w:val="clear"/>
            <w:tcMar>
              <w:top w:type="dxa" w:w="80"/>
              <w:left w:type="dxa" w:w="120"/>
              <w:bottom w:type="dxa" w:w="80"/>
              <w:right w:type="dxa" w:w="80"/>
            </w:tcMar>
          </w:tcPr>
          <w:p>
            <w:r>
              <w:rPr>
                <w:rFonts w:ascii="Arial" w:cs="Arial" w:eastAsia="Arial" w:hAnsi="Arial"/>
                <w:b/>
                <w:bCs/>
                <w:color w:val="1B3A5C"/>
                <w:sz w:val="20"/>
                <w:szCs w:val="20"/>
              </w:rPr>
              <w:t xml:space="preserve">Misiones (provincia)</w:t>
            </w:r>
          </w:p>
        </w:tc>
        <w:tc>
          <w:tcPr>
            <w:tcW w:type="dxa" w:w="2200"/>
            <w:tcBorders>
              <w:top w:val="single" w:color="D5D8DC" w:sz="1"/>
              <w:left w:val="single" w:color="D5D8DC" w:sz="1"/>
              <w:bottom w:val="single" w:color="D5D8DC" w:sz="1"/>
              <w:right w:val="single" w:color="D5D8DC" w:sz="1"/>
            </w:tcBorders>
            <w:shd w:fill="F2F4F6" w:val="clear"/>
            <w:tcMar>
              <w:top w:type="dxa" w:w="80"/>
              <w:left w:type="dxa" w:w="120"/>
              <w:bottom w:type="dxa" w:w="80"/>
              <w:right w:type="dxa" w:w="80"/>
            </w:tcMar>
          </w:tcPr>
          <w:p>
            <w:r>
              <w:rPr>
                <w:rFonts w:ascii="Arial" w:cs="Arial" w:eastAsia="Arial" w:hAnsi="Arial"/>
                <w:b w:val="false"/>
                <w:bCs w:val="false"/>
                <w:color w:val="1C1C1C"/>
                <w:sz w:val="20"/>
                <w:szCs w:val="20"/>
              </w:rPr>
              <w:t xml:space="preserve">Precio mínimo en ARS — accesible y diferencial local</w:t>
            </w:r>
          </w:p>
        </w:tc>
        <w:tc>
          <w:tcPr>
            <w:tcW w:type="dxa" w:w="2360"/>
            <w:tcBorders>
              <w:top w:val="single" w:color="D5D8DC" w:sz="1"/>
              <w:left w:val="single" w:color="D5D8DC" w:sz="1"/>
              <w:bottom w:val="single" w:color="D5D8DC" w:sz="1"/>
              <w:right w:val="single" w:color="D5D8DC" w:sz="1"/>
            </w:tcBorders>
            <w:shd w:fill="F2F4F6" w:val="clear"/>
            <w:tcMar>
              <w:top w:type="dxa" w:w="80"/>
              <w:left w:type="dxa" w:w="120"/>
              <w:bottom w:type="dxa" w:w="80"/>
              <w:right w:type="dxa" w:w="80"/>
            </w:tcMar>
          </w:tcPr>
          <w:p>
            <w:r>
              <w:rPr>
                <w:rFonts w:ascii="Arial" w:cs="Arial" w:eastAsia="Arial" w:hAnsi="Arial"/>
                <w:b w:val="false"/>
                <w:bCs w:val="false"/>
                <w:color w:val="1C1C1C"/>
                <w:sz w:val="20"/>
                <w:szCs w:val="20"/>
              </w:rPr>
              <w:t xml:space="preserve">Sandbox real. Testeo en el peor escenario económico. Prueba de resiliencia del modelo.</w:t>
            </w:r>
          </w:p>
        </w:tc>
        <w:tc>
          <w:tcPr>
            <w:tcW w:type="dxa" w:w="2800"/>
            <w:tcBorders>
              <w:top w:val="single" w:color="D5D8DC" w:sz="1"/>
              <w:left w:val="single" w:color="D5D8DC" w:sz="1"/>
              <w:bottom w:val="single" w:color="D5D8DC" w:sz="1"/>
              <w:right w:val="single" w:color="D5D8DC" w:sz="1"/>
            </w:tcBorders>
            <w:shd w:fill="F2F4F6" w:val="clear"/>
            <w:tcMar>
              <w:top w:type="dxa" w:w="80"/>
              <w:left w:type="dxa" w:w="120"/>
              <w:bottom w:type="dxa" w:w="80"/>
              <w:right w:type="dxa" w:w="80"/>
            </w:tcMar>
          </w:tcPr>
          <w:p>
            <w:r>
              <w:rPr>
                <w:rFonts w:ascii="Arial" w:cs="Arial" w:eastAsia="Arial" w:hAnsi="Arial"/>
                <w:b w:val="false"/>
                <w:bCs w:val="false"/>
                <w:color w:val="1C1C1C"/>
                <w:sz w:val="20"/>
                <w:szCs w:val="20"/>
              </w:rPr>
              <w:t xml:space="preserve">Producto validado en condición extrema. Orgullo de producto misionero.</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bCs/>
                <w:color w:val="1B3A5C"/>
                <w:sz w:val="20"/>
                <w:szCs w:val="20"/>
              </w:rPr>
              <w:t xml:space="preserve">Argentina nacional</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1C1C"/>
                <w:sz w:val="20"/>
                <w:szCs w:val="20"/>
              </w:rPr>
              <w:t xml:space="preserve">Precio ARS ajustado — menos sensible, mercado mayor</w:t>
            </w:r>
          </w:p>
        </w:tc>
        <w:tc>
          <w:tcPr>
            <w:tcW w:type="dxa" w:w="2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1C1C"/>
                <w:sz w:val="20"/>
                <w:szCs w:val="20"/>
              </w:rPr>
              <w:t xml:space="preserve">Validación a escala. Precio real nacional emergente. Base para el salto internacional.</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1C1C"/>
                <w:sz w:val="20"/>
                <w:szCs w:val="20"/>
              </w:rPr>
              <w:t xml:space="preserve">Precio percibido nacional definido. Masa crítica para internacionalización.</w:t>
            </w:r>
          </w:p>
        </w:tc>
      </w:tr>
      <w:tr>
        <w:tc>
          <w:tcPr>
            <w:tcW w:type="dxa" w:w="2000"/>
            <w:tcBorders>
              <w:top w:val="single" w:color="D5D8DC" w:sz="1"/>
              <w:left w:val="single" w:color="D5D8DC" w:sz="1"/>
              <w:bottom w:val="single" w:color="D5D8DC" w:sz="1"/>
              <w:right w:val="single" w:color="D5D8DC" w:sz="1"/>
            </w:tcBorders>
            <w:shd w:fill="F2F4F6" w:val="clear"/>
            <w:tcMar>
              <w:top w:type="dxa" w:w="80"/>
              <w:left w:type="dxa" w:w="120"/>
              <w:bottom w:type="dxa" w:w="80"/>
              <w:right w:type="dxa" w:w="80"/>
            </w:tcMar>
          </w:tcPr>
          <w:p>
            <w:r>
              <w:rPr>
                <w:rFonts w:ascii="Arial" w:cs="Arial" w:eastAsia="Arial" w:hAnsi="Arial"/>
                <w:b/>
                <w:bCs/>
                <w:color w:val="1B3A5C"/>
                <w:sz w:val="20"/>
                <w:szCs w:val="20"/>
              </w:rPr>
              <w:t xml:space="preserve">Internacional (USD)</w:t>
            </w:r>
          </w:p>
        </w:tc>
        <w:tc>
          <w:tcPr>
            <w:tcW w:type="dxa" w:w="2200"/>
            <w:tcBorders>
              <w:top w:val="single" w:color="D5D8DC" w:sz="1"/>
              <w:left w:val="single" w:color="D5D8DC" w:sz="1"/>
              <w:bottom w:val="single" w:color="D5D8DC" w:sz="1"/>
              <w:right w:val="single" w:color="D5D8DC" w:sz="1"/>
            </w:tcBorders>
            <w:shd w:fill="F2F4F6" w:val="clear"/>
            <w:tcMar>
              <w:top w:type="dxa" w:w="80"/>
              <w:left w:type="dxa" w:w="120"/>
              <w:bottom w:type="dxa" w:w="80"/>
              <w:right w:type="dxa" w:w="80"/>
            </w:tcMar>
          </w:tcPr>
          <w:p>
            <w:r>
              <w:rPr>
                <w:rFonts w:ascii="Arial" w:cs="Arial" w:eastAsia="Arial" w:hAnsi="Arial"/>
                <w:b w:val="false"/>
                <w:bCs w:val="false"/>
                <w:color w:val="1C1C1C"/>
                <w:sz w:val="20"/>
                <w:szCs w:val="20"/>
              </w:rPr>
              <w:t xml:space="preserve">Precio en USD con producto probado</w:t>
            </w:r>
          </w:p>
        </w:tc>
        <w:tc>
          <w:tcPr>
            <w:tcW w:type="dxa" w:w="2360"/>
            <w:tcBorders>
              <w:top w:val="single" w:color="D5D8DC" w:sz="1"/>
              <w:left w:val="single" w:color="D5D8DC" w:sz="1"/>
              <w:bottom w:val="single" w:color="D5D8DC" w:sz="1"/>
              <w:right w:val="single" w:color="D5D8DC" w:sz="1"/>
            </w:tcBorders>
            <w:shd w:fill="F2F4F6" w:val="clear"/>
            <w:tcMar>
              <w:top w:type="dxa" w:w="80"/>
              <w:left w:type="dxa" w:w="120"/>
              <w:bottom w:type="dxa" w:w="80"/>
              <w:right w:type="dxa" w:w="80"/>
            </w:tcMar>
          </w:tcPr>
          <w:p>
            <w:r>
              <w:rPr>
                <w:rFonts w:ascii="Arial" w:cs="Arial" w:eastAsia="Arial" w:hAnsi="Arial"/>
                <w:b w:val="false"/>
                <w:bCs w:val="false"/>
                <w:color w:val="1C1C1C"/>
                <w:sz w:val="20"/>
                <w:szCs w:val="20"/>
              </w:rPr>
              <w:t xml:space="preserve">Precio real del producto. Sin subsidio de contexto. Posicionamiento premium global.</w:t>
            </w:r>
          </w:p>
        </w:tc>
        <w:tc>
          <w:tcPr>
            <w:tcW w:type="dxa" w:w="2800"/>
            <w:tcBorders>
              <w:top w:val="single" w:color="D5D8DC" w:sz="1"/>
              <w:left w:val="single" w:color="D5D8DC" w:sz="1"/>
              <w:bottom w:val="single" w:color="D5D8DC" w:sz="1"/>
              <w:right w:val="single" w:color="D5D8DC" w:sz="1"/>
            </w:tcBorders>
            <w:shd w:fill="F2F4F6" w:val="clear"/>
            <w:tcMar>
              <w:top w:type="dxa" w:w="80"/>
              <w:left w:type="dxa" w:w="120"/>
              <w:bottom w:type="dxa" w:w="80"/>
              <w:right w:type="dxa" w:w="80"/>
            </w:tcMar>
          </w:tcPr>
          <w:p>
            <w:r>
              <w:rPr>
                <w:rFonts w:ascii="Arial" w:cs="Arial" w:eastAsia="Arial" w:hAnsi="Arial"/>
                <w:b w:val="false"/>
                <w:bCs w:val="false"/>
                <w:color w:val="1C1C1C"/>
                <w:sz w:val="20"/>
                <w:szCs w:val="20"/>
              </w:rPr>
              <w:t xml:space="preserve">Ingreso en divisa fuerte. Producto 'hecho y derecho' con tracción demostrada.</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bCs/>
                <w:color w:val="1B3A5C"/>
                <w:sz w:val="20"/>
                <w:szCs w:val="20"/>
              </w:rPr>
              <w:t xml:space="preserve">Residentes en Argentina</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1C1C"/>
                <w:sz w:val="20"/>
                <w:szCs w:val="20"/>
              </w:rPr>
              <w:t xml:space="preserve">Precio diferencial ARS vs. USD internacional</w:t>
            </w:r>
          </w:p>
        </w:tc>
        <w:tc>
          <w:tcPr>
            <w:tcW w:type="dxa" w:w="2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1C1C"/>
                <w:sz w:val="20"/>
                <w:szCs w:val="20"/>
              </w:rPr>
              <w:t xml:space="preserve">Identidad de marca local. Orgullo argentino. Barrera de entrada reducida para captar base amplia.</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1C1C"/>
                <w:sz w:val="20"/>
                <w:szCs w:val="20"/>
              </w:rPr>
              <w:t xml:space="preserve">Comunidad nacional sólida. Argumento de expansión internacional con raíz local.</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7A4A" w:sz="1"/>
              <w:left w:val="single" w:color="1A7A4A" w:sz="12"/>
              <w:bottom w:val="single" w:color="1A7A4A" w:sz="1"/>
              <w:right w:val="single" w:color="1A7A4A" w:sz="1"/>
            </w:tcBorders>
            <w:shd w:fill="E8F8F5" w:val="clear"/>
            <w:tcMar>
              <w:top w:type="dxa" w:w="120"/>
              <w:left w:type="dxa" w:w="200"/>
              <w:bottom w:type="dxa" w:w="120"/>
              <w:right w:type="dxa" w:w="200"/>
            </w:tcMar>
          </w:tcPr>
          <w:p>
            <w:pPr>
              <w:spacing w:before="0" w:after="40"/>
            </w:pPr>
            <w:r>
              <w:rPr>
                <w:rFonts w:ascii="Arial" w:cs="Arial" w:eastAsia="Arial" w:hAnsi="Arial"/>
                <w:b/>
                <w:bCs/>
                <w:color w:val="1A7A4A"/>
                <w:sz w:val="22"/>
                <w:szCs w:val="22"/>
              </w:rPr>
              <w:t xml:space="preserve">HALLAZGO ESTRATÉGICO</w:t>
            </w:r>
          </w:p>
          <w:p>
            <w:pPr>
              <w:spacing w:before="0" w:after="0"/>
            </w:pPr>
            <w:r>
              <w:rPr>
                <w:rFonts w:ascii="Arial" w:cs="Arial" w:eastAsia="Arial" w:hAnsi="Arial"/>
                <w:color w:val="1C1C1C"/>
                <w:sz w:val="22"/>
                <w:szCs w:val="22"/>
              </w:rPr>
              <w:t xml:space="preserve">Testear en Misiones — el mercado más complejo económicamente — es una decisión de inteligencia competitiva. Si el modelo funciona donde las condiciones son más adversas, funciona en cualquier lado. El peor escenario como banco de pruebas es exactamente el criterio correcto para validar resiliencia del modelo antes de escalar.</w:t>
            </w:r>
          </w:p>
        </w:tc>
      </w:tr>
    </w:tbl>
    <w:p>
      <w:pPr>
        <w:spacing w:before="80" w:after="0"/>
      </w:pPr>
      <w:r>
        <w:t xml:space="preserve"/>
      </w:r>
    </w:p>
    <w:p>
      <w:pPr>
        <w:spacing w:before="60" w:after="80"/>
      </w:pPr>
      <w:r>
        <w:rPr>
          <w:rFonts w:ascii="Arial" w:cs="Arial" w:eastAsia="Arial" w:hAnsi="Arial"/>
          <w:color w:val="1C1C1C"/>
          <w:sz w:val="22"/>
          <w:szCs w:val="22"/>
        </w:rPr>
        <w:t xml:space="preserve">La identidad de marca tiene dos capas adicionales que el diagnóstico no había visto:</w:t>
      </w:r>
    </w:p>
    <w:p>
      <w:pPr>
        <w:spacing w:before="40" w:after="0"/>
      </w:pPr>
      <w:r>
        <w:t xml:space="preserve"/>
      </w:r>
    </w:p>
    <w:p>
      <w:pPr>
        <w:pStyle w:val="ListParagraph"/>
        <w:numPr>
          <w:ilvl w:val="0"/>
          <w:numId w:val="2"/>
        </w:numPr>
        <w:spacing w:before="40" w:after="40"/>
      </w:pPr>
      <w:r>
        <w:rPr>
          <w:rFonts w:ascii="Arial" w:cs="Arial" w:eastAsia="Arial" w:hAnsi="Arial"/>
          <w:b/>
          <w:bCs/>
          <w:color w:val="1C1C1C"/>
          <w:sz w:val="22"/>
          <w:szCs w:val="22"/>
        </w:rPr>
        <w:t xml:space="preserve">Orgullo de producto argentino — precio diferencial para residentes en Argentina respecto al precio internacional en USD.</w:t>
      </w:r>
    </w:p>
    <w:p>
      <w:pPr>
        <w:pStyle w:val="ListParagraph"/>
        <w:numPr>
          <w:ilvl w:val="0"/>
          <w:numId w:val="2"/>
        </w:numPr>
        <w:spacing w:before="40" w:after="40"/>
      </w:pPr>
      <w:r>
        <w:rPr>
          <w:rFonts w:ascii="Arial" w:cs="Arial" w:eastAsia="Arial" w:hAnsi="Arial"/>
          <w:b/>
          <w:bCs/>
          <w:color w:val="1C1C1C"/>
          <w:sz w:val="22"/>
          <w:szCs w:val="22"/>
        </w:rPr>
        <w:t xml:space="preserve">Orgullo misionero — precio diferencial para residentes en Misiones dentro de Argentina. La provincia de origen como activo de identidad, no como limitante.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980B9" w:sz="1"/>
              <w:left w:val="single" w:color="2980B9" w:sz="12"/>
              <w:bottom w:val="single" w:color="2980B9" w:sz="1"/>
              <w:right w:val="single" w:color="2980B9" w:sz="1"/>
            </w:tcBorders>
            <w:shd w:fill="EBF5FB" w:val="clear"/>
            <w:tcMar>
              <w:top w:type="dxa" w:w="120"/>
              <w:left w:type="dxa" w:w="200"/>
              <w:bottom w:type="dxa" w:w="120"/>
              <w:right w:type="dxa" w:w="200"/>
            </w:tcMar>
          </w:tcPr>
          <w:p>
            <w:pPr>
              <w:spacing w:before="0" w:after="40"/>
            </w:pPr>
            <w:r>
              <w:rPr>
                <w:rFonts w:ascii="Arial" w:cs="Arial" w:eastAsia="Arial" w:hAnsi="Arial"/>
                <w:b/>
                <w:bCs/>
                <w:color w:val="2980B9"/>
                <w:sz w:val="22"/>
                <w:szCs w:val="22"/>
              </w:rPr>
              <w:t xml:space="preserve">CORRECCIÓN AL DIAGNÓSTICO DE RIESGO</w:t>
            </w:r>
          </w:p>
          <w:p>
            <w:pPr>
              <w:spacing w:before="0" w:after="0"/>
            </w:pPr>
            <w:r>
              <w:rPr>
                <w:rFonts w:ascii="Arial" w:cs="Arial" w:eastAsia="Arial" w:hAnsi="Arial"/>
                <w:color w:val="1C1C1C"/>
                <w:sz w:val="22"/>
                <w:szCs w:val="22"/>
              </w:rPr>
              <w:t xml:space="preserve">El riesgo de inequidad percibida entre miembros de distintos mercados se neutraliza con transparencia en la comunicación: el precio diferencial por mercado no es secreto — es parte del posicionamiento. 'Si estás en Misiones, pagás menos porque somos de acá y queremos que seas parte.' Eso no genera conflicto — genera identidad.</w:t>
            </w:r>
          </w:p>
        </w:tc>
      </w:tr>
    </w:tbl>
    <w:p>
      <w:pPr>
        <w:spacing w:before="160" w:after="0"/>
      </w:pPr>
      <w:r>
        <w:t xml:space="preserve"/>
      </w:r>
    </w:p>
    <w:p>
      <w:pPr>
        <w:pStyle w:val="Heading1"/>
        <w:pBdr>
          <w:bottom w:val="single" w:color="1B3A5C" w:sz="4" w:space="6"/>
        </w:pBdr>
        <w:spacing w:before="360" w:after="120"/>
      </w:pPr>
      <w:r>
        <w:rPr>
          <w:rFonts w:ascii="Arial" w:cs="Arial" w:eastAsia="Arial" w:hAnsi="Arial"/>
          <w:b/>
          <w:bCs/>
          <w:color w:val="1B3A5C"/>
          <w:sz w:val="36"/>
          <w:szCs w:val="36"/>
        </w:rPr>
        <w:t xml:space="preserve">Bloque 5 — Tecnología: El Riesgo Más Grande Desapareció</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A7A4A" w:sz="1"/>
              <w:left w:val="single" w:color="1A7A4A" w:sz="1"/>
              <w:bottom w:val="single" w:color="1A7A4A" w:sz="1"/>
              <w:right w:val="single" w:color="1A7A4A" w:sz="1"/>
            </w:tcBorders>
            <w:shd w:fill="1A7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CORREGIDO</w:t>
            </w:r>
          </w:p>
        </w:tc>
        <w:tc>
          <w:tcPr>
            <w:tcW w:type="dxa" w:w="8160"/>
            <w:tcBorders>
              <w:top w:val="single" w:color="1A7A4A" w:sz="1"/>
              <w:left w:val="single" w:color="1A7A4A" w:sz="1"/>
              <w:bottom w:val="single" w:color="1A7A4A" w:sz="1"/>
              <w:right w:val="single" w:color="1A7A4A" w:sz="1"/>
            </w:tcBorders>
            <w:shd w:fill="EAFAF1" w:val="clear"/>
            <w:tcMar>
              <w:top w:type="dxa" w:w="80"/>
              <w:left w:type="dxa" w:w="160"/>
              <w:bottom w:type="dxa" w:w="80"/>
              <w:right w:type="dxa" w:w="120"/>
            </w:tcMar>
          </w:tcPr>
          <w:p>
            <w:r>
              <w:rPr>
                <w:rFonts w:ascii="Arial" w:cs="Arial" w:eastAsia="Arial" w:hAnsi="Arial"/>
                <w:b/>
                <w:bCs/>
                <w:color w:val="1A7A4A"/>
                <w:sz w:val="22"/>
                <w:szCs w:val="22"/>
              </w:rPr>
              <w:t xml:space="preserve">Corrección de fondo: el desarrollador es el mismo del CRM, con modelo 70/30 ya probado y funcionando.</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0392B" w:sz="1"/>
              <w:left w:val="single" w:color="C0392B" w:sz="1"/>
              <w:bottom w:val="single" w:color="C0392B" w:sz="1"/>
              <w:right w:val="single" w:color="C0392B" w:sz="1"/>
            </w:tcBorders>
            <w:shd w:fill="FDEDEC" w:val="clear"/>
            <w:tcMar>
              <w:top w:type="dxa" w:w="80"/>
              <w:left w:type="dxa" w:w="160"/>
              <w:bottom w:type="dxa" w:w="80"/>
              <w:right w:type="dxa" w:w="120"/>
            </w:tcMar>
          </w:tcPr>
          <w:p>
            <w:pPr>
              <w:spacing w:before="0" w:after="40"/>
            </w:pPr>
            <w:r>
              <w:rPr>
                <w:rFonts w:ascii="Arial" w:cs="Arial" w:eastAsia="Arial" w:hAnsi="Arial"/>
                <w:b/>
                <w:bCs/>
                <w:color w:val="C0392B"/>
                <w:sz w:val="20"/>
                <w:szCs w:val="20"/>
              </w:rPr>
              <w:t xml:space="preserve">✗  Diagnóstico anterior</w:t>
            </w:r>
          </w:p>
          <w:p>
            <w:r>
              <w:rPr>
                <w:rFonts w:ascii="Arial" w:cs="Arial" w:eastAsia="Arial" w:hAnsi="Arial"/>
                <w:i/>
                <w:iCs/>
                <w:color w:val="666666"/>
                <w:sz w:val="20"/>
                <w:szCs w:val="20"/>
              </w:rPr>
              <w:t xml:space="preserve">Desarrollador colaborativo sin compensación económica. Sin contrato. Riesgo de abandono. Plazo estimado no garantizado. El proyecto no tiene palanca de negociación ante retrasos.</w:t>
            </w:r>
          </w:p>
        </w:tc>
        <w:tc>
          <w:tcPr>
            <w:tcW w:type="dxa" w:w="4680"/>
            <w:tcBorders>
              <w:top w:val="single" w:color="1A7A4A" w:sz="1"/>
              <w:left w:val="single" w:color="1A7A4A" w:sz="1"/>
              <w:bottom w:val="single" w:color="1A7A4A" w:sz="1"/>
              <w:right w:val="single" w:color="1A7A4A" w:sz="1"/>
            </w:tcBorders>
            <w:shd w:fill="EAFAF1" w:val="clear"/>
            <w:tcMar>
              <w:top w:type="dxa" w:w="80"/>
              <w:left w:type="dxa" w:w="160"/>
              <w:bottom w:type="dxa" w:w="80"/>
              <w:right w:type="dxa" w:w="120"/>
            </w:tcMar>
          </w:tcPr>
          <w:p>
            <w:pPr>
              <w:spacing w:before="0" w:after="40"/>
            </w:pPr>
            <w:r>
              <w:rPr>
                <w:rFonts w:ascii="Arial" w:cs="Arial" w:eastAsia="Arial" w:hAnsi="Arial"/>
                <w:b/>
                <w:bCs/>
                <w:color w:val="1A7A4A"/>
                <w:sz w:val="20"/>
                <w:szCs w:val="20"/>
              </w:rPr>
              <w:t xml:space="preserve">✓  Diagnóstico corregido</w:t>
            </w:r>
          </w:p>
          <w:p>
            <w:r>
              <w:rPr>
                <w:rFonts w:ascii="Arial" w:cs="Arial" w:eastAsia="Arial" w:hAnsi="Arial"/>
                <w:color w:val="1C1C1C"/>
                <w:sz w:val="20"/>
                <w:szCs w:val="20"/>
              </w:rPr>
              <w:t xml:space="preserve">El desarrollador es el mismo socio tecnológico que construyó el CRM propio. Modelo 70/30 ya probado: él desarrolla y mantiene con el 30%, el equipo se ocupa del negocio con el 70%. Gana si funciona, no gana si no funciona. Alineación de intereses completa.</w:t>
            </w:r>
          </w:p>
        </w:tc>
      </w:tr>
    </w:tbl>
    <w:p>
      <w:pPr>
        <w:spacing w:before="80" w:after="0"/>
      </w:pPr>
      <w:r>
        <w:t xml:space="preserve"/>
      </w:r>
    </w:p>
    <w:p>
      <w:pPr>
        <w:pStyle w:val="Heading2"/>
        <w:spacing w:before="280" w:after="80"/>
      </w:pPr>
      <w:r>
        <w:rPr>
          <w:rFonts w:ascii="Arial" w:cs="Arial" w:eastAsia="Arial" w:hAnsi="Arial"/>
          <w:b/>
          <w:bCs/>
          <w:color w:val="1B3A5C"/>
          <w:sz w:val="28"/>
          <w:szCs w:val="28"/>
        </w:rPr>
        <w:t xml:space="preserve">Por qué el modelo 70/30 elimina los riesgos identificados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1B3A5C" w:sz="1"/>
              <w:left w:val="single" w:color="1B3A5C" w:sz="1"/>
              <w:bottom w:val="single" w:color="1B3A5C" w:sz="1"/>
              <w:right w:val="single" w:color="1B3A5C" w:sz="1"/>
            </w:tcBorders>
            <w:shd w:fill="1B3A5C" w:val="clear"/>
            <w:tcMar>
              <w:top w:type="dxa" w:w="90"/>
              <w:left w:type="dxa" w:w="140"/>
              <w:bottom w:type="dxa" w:w="90"/>
              <w:right w:type="dxa" w:w="80"/>
            </w:tcMar>
          </w:tcPr>
          <w:p>
            <w:r>
              <w:rPr>
                <w:rFonts w:ascii="Arial" w:cs="Arial" w:eastAsia="Arial" w:hAnsi="Arial"/>
                <w:b/>
                <w:bCs/>
                <w:color w:val="FFFFFF"/>
                <w:sz w:val="21"/>
                <w:szCs w:val="21"/>
              </w:rPr>
              <w:t xml:space="preserve">Riesgo original</w:t>
            </w:r>
          </w:p>
        </w:tc>
        <w:tc>
          <w:tcPr>
            <w:tcW w:type="dxa" w:w="5160"/>
            <w:tcBorders>
              <w:top w:val="single" w:color="1B3A5C" w:sz="1"/>
              <w:left w:val="single" w:color="1B3A5C" w:sz="1"/>
              <w:bottom w:val="single" w:color="1B3A5C" w:sz="1"/>
              <w:right w:val="single" w:color="1B3A5C" w:sz="1"/>
            </w:tcBorders>
            <w:shd w:fill="1B3A5C" w:val="clear"/>
            <w:tcMar>
              <w:top w:type="dxa" w:w="90"/>
              <w:left w:type="dxa" w:w="140"/>
              <w:bottom w:type="dxa" w:w="90"/>
              <w:right w:type="dxa" w:w="80"/>
            </w:tcMar>
          </w:tcPr>
          <w:p>
            <w:r>
              <w:rPr>
                <w:rFonts w:ascii="Arial" w:cs="Arial" w:eastAsia="Arial" w:hAnsi="Arial"/>
                <w:b/>
                <w:bCs/>
                <w:color w:val="FFFFFF"/>
                <w:sz w:val="21"/>
                <w:szCs w:val="21"/>
              </w:rPr>
              <w:t xml:space="preserve">Estado con el modelo 70/30</w:t>
            </w:r>
          </w:p>
        </w:tc>
      </w:tr>
      <w:tr>
        <w:tc>
          <w:tcPr>
            <w:tcW w:type="dxa" w:w="42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vAlign w:val="center"/>
          </w:tcPr>
          <w:p>
            <w:r>
              <w:rPr>
                <w:rFonts w:ascii="Arial" w:cs="Arial" w:eastAsia="Arial" w:hAnsi="Arial"/>
                <w:b/>
                <w:bCs/>
                <w:color w:val="1B3A5C"/>
                <w:sz w:val="21"/>
                <w:szCs w:val="21"/>
              </w:rPr>
              <w:t xml:space="preserve">Sin compensación → puede abandonar el proyecto</w:t>
            </w:r>
          </w:p>
        </w:tc>
        <w:tc>
          <w:tcPr>
            <w:tcW w:type="dxa" w:w="516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vAlign w:val="center"/>
          </w:tcPr>
          <w:p>
            <w:r>
              <w:rPr>
                <w:rFonts w:ascii="Arial" w:cs="Arial" w:eastAsia="Arial" w:hAnsi="Arial"/>
                <w:b/>
                <w:bCs/>
                <w:color w:val="1A7A4A"/>
                <w:sz w:val="21"/>
                <w:szCs w:val="21"/>
              </w:rPr>
              <w:t xml:space="preserve">ELIMINADO — su participación accionaria lo alinea con el éxito</w:t>
            </w:r>
          </w:p>
        </w:tc>
      </w:tr>
      <w:tr>
        <w:tc>
          <w:tcPr>
            <w:tcW w:type="dxa" w:w="4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vAlign w:val="center"/>
          </w:tcPr>
          <w:p>
            <w:r>
              <w:rPr>
                <w:rFonts w:ascii="Arial" w:cs="Arial" w:eastAsia="Arial" w:hAnsi="Arial"/>
                <w:b/>
                <w:bCs/>
                <w:color w:val="1B3A5C"/>
                <w:sz w:val="21"/>
                <w:szCs w:val="21"/>
              </w:rPr>
              <w:t xml:space="preserve">Sin contrato → sin palanca de negociación</w:t>
            </w:r>
          </w:p>
        </w:tc>
        <w:tc>
          <w:tcPr>
            <w:tcW w:type="dxa" w:w="5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vAlign w:val="center"/>
          </w:tcPr>
          <w:p>
            <w:r>
              <w:rPr>
                <w:rFonts w:ascii="Arial" w:cs="Arial" w:eastAsia="Arial" w:hAnsi="Arial"/>
                <w:b/>
                <w:bCs/>
                <w:color w:val="1A7A4A"/>
                <w:sz w:val="21"/>
                <w:szCs w:val="21"/>
              </w:rPr>
              <w:t xml:space="preserve">ELIMINADO — el acuerdo 70/30 es el contrato real</w:t>
            </w:r>
          </w:p>
        </w:tc>
      </w:tr>
      <w:tr>
        <w:tc>
          <w:tcPr>
            <w:tcW w:type="dxa" w:w="42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vAlign w:val="center"/>
          </w:tcPr>
          <w:p>
            <w:r>
              <w:rPr>
                <w:rFonts w:ascii="Arial" w:cs="Arial" w:eastAsia="Arial" w:hAnsi="Arial"/>
                <w:b/>
                <w:bCs/>
                <w:color w:val="1B3A5C"/>
                <w:sz w:val="21"/>
                <w:szCs w:val="21"/>
              </w:rPr>
              <w:t xml:space="preserve">Plazo estimado no garantizado</w:t>
            </w:r>
          </w:p>
        </w:tc>
        <w:tc>
          <w:tcPr>
            <w:tcW w:type="dxa" w:w="516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vAlign w:val="center"/>
          </w:tcPr>
          <w:p>
            <w:r>
              <w:rPr>
                <w:rFonts w:ascii="Arial" w:cs="Arial" w:eastAsia="Arial" w:hAnsi="Arial"/>
                <w:b/>
                <w:bCs/>
                <w:color w:val="D35400"/>
                <w:sz w:val="21"/>
                <w:szCs w:val="21"/>
              </w:rPr>
              <w:t xml:space="preserve">REDUCIDO — tiene incentivo económico real en cumplir</w:t>
            </w:r>
          </w:p>
        </w:tc>
      </w:tr>
      <w:tr>
        <w:tc>
          <w:tcPr>
            <w:tcW w:type="dxa" w:w="4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vAlign w:val="center"/>
          </w:tcPr>
          <w:p>
            <w:r>
              <w:rPr>
                <w:rFonts w:ascii="Arial" w:cs="Arial" w:eastAsia="Arial" w:hAnsi="Arial"/>
                <w:b/>
                <w:bCs/>
                <w:color w:val="1B3A5C"/>
                <w:sz w:val="21"/>
                <w:szCs w:val="21"/>
              </w:rPr>
              <w:t xml:space="preserve">Primer proyecto juntos → relación no probada</w:t>
            </w:r>
          </w:p>
        </w:tc>
        <w:tc>
          <w:tcPr>
            <w:tcW w:type="dxa" w:w="5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vAlign w:val="center"/>
          </w:tcPr>
          <w:p>
            <w:r>
              <w:rPr>
                <w:rFonts w:ascii="Arial" w:cs="Arial" w:eastAsia="Arial" w:hAnsi="Arial"/>
                <w:b/>
                <w:bCs/>
                <w:color w:val="1A7A4A"/>
                <w:sz w:val="21"/>
                <w:szCs w:val="21"/>
              </w:rPr>
              <w:t xml:space="preserve">ELIMINADO — el CRM ya demostró compromiso y capacidad</w:t>
            </w:r>
          </w:p>
        </w:tc>
      </w:tr>
      <w:tr>
        <w:tc>
          <w:tcPr>
            <w:tcW w:type="dxa" w:w="42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vAlign w:val="center"/>
          </w:tcPr>
          <w:p>
            <w:r>
              <w:rPr>
                <w:rFonts w:ascii="Arial" w:cs="Arial" w:eastAsia="Arial" w:hAnsi="Arial"/>
                <w:b/>
                <w:bCs/>
                <w:color w:val="1B3A5C"/>
                <w:sz w:val="21"/>
                <w:szCs w:val="21"/>
              </w:rPr>
              <w:t xml:space="preserve">Sin presupuesto tecnológico</w:t>
            </w:r>
          </w:p>
        </w:tc>
        <w:tc>
          <w:tcPr>
            <w:tcW w:type="dxa" w:w="516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vAlign w:val="center"/>
          </w:tcPr>
          <w:p>
            <w:r>
              <w:rPr>
                <w:rFonts w:ascii="Arial" w:cs="Arial" w:eastAsia="Arial" w:hAnsi="Arial"/>
                <w:b/>
                <w:bCs/>
                <w:color w:val="1A7A4A"/>
                <w:sz w:val="21"/>
                <w:szCs w:val="21"/>
              </w:rPr>
              <w:t xml:space="preserve">RESUELTO — el modelo 70/30 no requiere inversión inicial</w:t>
            </w:r>
          </w:p>
        </w:tc>
      </w:tr>
      <w:tr>
        <w:tc>
          <w:tcPr>
            <w:tcW w:type="dxa" w:w="4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vAlign w:val="center"/>
          </w:tcPr>
          <w:p>
            <w:r>
              <w:rPr>
                <w:rFonts w:ascii="Arial" w:cs="Arial" w:eastAsia="Arial" w:hAnsi="Arial"/>
                <w:b/>
                <w:bCs/>
                <w:color w:val="1B3A5C"/>
                <w:sz w:val="21"/>
                <w:szCs w:val="21"/>
              </w:rPr>
              <w:t xml:space="preserve">App considerada indispensable desde día 1</w:t>
            </w:r>
          </w:p>
        </w:tc>
        <w:tc>
          <w:tcPr>
            <w:tcW w:type="dxa" w:w="5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vAlign w:val="center"/>
          </w:tcPr>
          <w:p>
            <w:r>
              <w:rPr>
                <w:rFonts w:ascii="Arial" w:cs="Arial" w:eastAsia="Arial" w:hAnsi="Arial"/>
                <w:b/>
                <w:bCs/>
                <w:color w:val="D35400"/>
                <w:sz w:val="21"/>
                <w:szCs w:val="21"/>
              </w:rPr>
              <w:t xml:space="preserve">PERSISTE — pero con desarrollador alineado es riesgo manejable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7A4A" w:sz="1"/>
              <w:left w:val="single" w:color="1A7A4A" w:sz="12"/>
              <w:bottom w:val="single" w:color="1A7A4A" w:sz="1"/>
              <w:right w:val="single" w:color="1A7A4A" w:sz="1"/>
            </w:tcBorders>
            <w:shd w:fill="E8F8F5" w:val="clear"/>
            <w:tcMar>
              <w:top w:type="dxa" w:w="120"/>
              <w:left w:type="dxa" w:w="200"/>
              <w:bottom w:type="dxa" w:w="120"/>
              <w:right w:type="dxa" w:w="200"/>
            </w:tcMar>
          </w:tcPr>
          <w:p>
            <w:pPr>
              <w:spacing w:before="0" w:after="40"/>
            </w:pPr>
            <w:r>
              <w:rPr>
                <w:rFonts w:ascii="Arial" w:cs="Arial" w:eastAsia="Arial" w:hAnsi="Arial"/>
                <w:b/>
                <w:bCs/>
                <w:color w:val="1A7A4A"/>
                <w:sz w:val="22"/>
                <w:szCs w:val="22"/>
              </w:rPr>
              <w:t xml:space="preserve">IMPLICANCIA PARA EL PLAN DE IMPLEMENTACIÓN</w:t>
            </w:r>
          </w:p>
          <w:p>
            <w:pPr>
              <w:spacing w:before="0" w:after="0"/>
            </w:pPr>
            <w:r>
              <w:rPr>
                <w:rFonts w:ascii="Arial" w:cs="Arial" w:eastAsia="Arial" w:hAnsi="Arial"/>
                <w:color w:val="1C1C1C"/>
                <w:sz w:val="22"/>
                <w:szCs w:val="22"/>
              </w:rPr>
              <w:t xml:space="preserve">El modelo 70/30 con un socio tecnológico ya probado cambia completamente el perfil de riesgo del proyecto. No es un freelancer externo sin incentivo — es un co-fundador tecnológico con participación en el resultado. Eso significa que la app puede tratarse como un activo compartido, no como un servicio contratado. La recomendación de usar un stack de contingencia mientras se desarrolla la app sigue siendo válida como táctica de velocidad, no como gestión de riesgo.</w:t>
            </w:r>
          </w:p>
        </w:tc>
      </w:tr>
    </w:tbl>
    <w:p>
      <w:pPr>
        <w:spacing w:before="80" w:after="0"/>
      </w:pPr>
      <w:r>
        <w:t xml:space="preserve"/>
      </w:r>
    </w:p>
    <w:p>
      <w:pPr>
        <w:pStyle w:val="Heading2"/>
        <w:spacing w:before="280" w:after="80"/>
      </w:pPr>
      <w:r>
        <w:rPr>
          <w:rFonts w:ascii="Arial" w:cs="Arial" w:eastAsia="Arial" w:hAnsi="Arial"/>
          <w:b/>
          <w:bCs/>
          <w:color w:val="1B3A5C"/>
          <w:sz w:val="28"/>
          <w:szCs w:val="28"/>
        </w:rPr>
        <w:t xml:space="preserve">Lo que sigue siendo válido del Bloque 5 original</w:t>
      </w:r>
    </w:p>
    <w:p>
      <w:pPr>
        <w:spacing w:before="60" w:after="80"/>
      </w:pPr>
      <w:r>
        <w:rPr>
          <w:rFonts w:ascii="Arial" w:cs="Arial" w:eastAsia="Arial" w:hAnsi="Arial"/>
          <w:color w:val="1C1C1C"/>
          <w:sz w:val="22"/>
          <w:szCs w:val="22"/>
        </w:rPr>
        <w:t xml:space="preserve">La priorización de funcionalidades del MVP mantiene su vigencia. Las funcionalidades críticas para los primeros 20 miembros siguen siendo las mismas:</w:t>
      </w:r>
    </w:p>
    <w:p>
      <w:pPr>
        <w:spacing w:before="40" w:after="0"/>
      </w:pPr>
      <w:r>
        <w:t xml:space="preserve"/>
      </w:r>
    </w:p>
    <w:p>
      <w:pPr>
        <w:pStyle w:val="ListParagraph"/>
        <w:numPr>
          <w:ilvl w:val="0"/>
          <w:numId w:val="2"/>
        </w:numPr>
        <w:spacing w:before="40" w:after="40"/>
      </w:pPr>
      <w:r>
        <w:rPr>
          <w:rFonts w:ascii="Arial" w:cs="Arial" w:eastAsia="Arial" w:hAnsi="Arial"/>
          <w:b/>
          <w:bCs/>
          <w:color w:val="1C1C1C"/>
          <w:sz w:val="22"/>
          <w:szCs w:val="22"/>
        </w:rPr>
        <w:t xml:space="preserve">Sistema de login con control real de acceso por niveles — crítico.</w:t>
      </w:r>
    </w:p>
    <w:p>
      <w:pPr>
        <w:pStyle w:val="ListParagraph"/>
        <w:numPr>
          <w:ilvl w:val="0"/>
          <w:numId w:val="2"/>
        </w:numPr>
        <w:spacing w:before="40" w:after="40"/>
      </w:pPr>
      <w:r>
        <w:rPr>
          <w:rFonts w:ascii="Arial" w:cs="Arial" w:eastAsia="Arial" w:hAnsi="Arial"/>
          <w:b/>
          <w:bCs/>
          <w:color w:val="1C1C1C"/>
          <w:sz w:val="22"/>
          <w:szCs w:val="22"/>
        </w:rPr>
        <w:t xml:space="preserve">El Muro — Ask &amp; Offer — crítico.</w:t>
      </w:r>
    </w:p>
    <w:p>
      <w:pPr>
        <w:pStyle w:val="ListParagraph"/>
        <w:numPr>
          <w:ilvl w:val="0"/>
          <w:numId w:val="2"/>
        </w:numPr>
        <w:spacing w:before="40" w:after="40"/>
      </w:pPr>
      <w:r>
        <w:rPr>
          <w:rFonts w:ascii="Arial" w:cs="Arial" w:eastAsia="Arial" w:hAnsi="Arial"/>
          <w:b/>
          <w:bCs/>
          <w:color w:val="1C1C1C"/>
          <w:sz w:val="22"/>
          <w:szCs w:val="22"/>
        </w:rPr>
        <w:t xml:space="preserve">Directorio de miembros — alta prioridad.</w:t>
      </w:r>
    </w:p>
    <w:p>
      <w:pPr>
        <w:pStyle w:val="ListParagraph"/>
        <w:numPr>
          <w:ilvl w:val="0"/>
          <w:numId w:val="2"/>
        </w:numPr>
        <w:spacing w:before="40" w:after="40"/>
      </w:pPr>
      <w:r>
        <w:rPr>
          <w:rFonts w:ascii="Arial" w:cs="Arial" w:eastAsia="Arial" w:hAnsi="Arial"/>
          <w:b/>
          <w:bCs/>
          <w:color w:val="1C1C1C"/>
          <w:sz w:val="22"/>
          <w:szCs w:val="22"/>
        </w:rPr>
        <w:t xml:space="preserve">Calendario de eventos con integración Tiendup — alta prioridad.</w:t>
      </w:r>
    </w:p>
    <w:p>
      <w:pPr>
        <w:pStyle w:val="ListParagraph"/>
        <w:numPr>
          <w:ilvl w:val="0"/>
          <w:numId w:val="2"/>
        </w:numPr>
        <w:spacing w:before="40" w:after="40"/>
      </w:pPr>
      <w:r>
        <w:rPr>
          <w:rFonts w:ascii="Arial" w:cs="Arial" w:eastAsia="Arial" w:hAnsi="Arial"/>
          <w:b/>
          <w:bCs/>
          <w:color w:val="1C1C1C"/>
          <w:sz w:val="22"/>
          <w:szCs w:val="22"/>
        </w:rPr>
        <w:t xml:space="preserve">Pantalla VIP / Círculo Interno — alta prioridad.</w:t>
      </w:r>
    </w:p>
    <w:p>
      <w:pPr>
        <w:spacing w:before="80" w:after="0"/>
      </w:pPr>
      <w:r>
        <w:t xml:space="preserve"/>
      </w:r>
    </w:p>
    <w:p>
      <w:pPr>
        <w:spacing w:before="60" w:after="80"/>
      </w:pPr>
      <w:r>
        <w:rPr>
          <w:rFonts w:ascii="Arial" w:cs="Arial" w:eastAsia="Arial" w:hAnsi="Arial"/>
          <w:color w:val="1C1C1C"/>
          <w:sz w:val="22"/>
          <w:szCs w:val="22"/>
        </w:rPr>
        <w:t xml:space="preserve">La diferencia es que ahora estos entregables están en manos de un socio con incentivo real, no de un colaborador sin compensación. El timeline de 1 a 3 meses es más creíble con este modelo.</w:t>
      </w:r>
    </w:p>
    <w:p>
      <w:pPr>
        <w:spacing w:before="160" w:after="0"/>
      </w:pPr>
      <w:r>
        <w:t xml:space="preserve"/>
      </w:r>
    </w:p>
    <w:p>
      <w:pPr>
        <w:pStyle w:val="Heading1"/>
        <w:pBdr>
          <w:bottom w:val="single" w:color="1B3A5C" w:sz="4" w:space="6"/>
        </w:pBdr>
        <w:spacing w:before="360" w:after="120"/>
      </w:pPr>
      <w:r>
        <w:rPr>
          <w:rFonts w:ascii="Arial" w:cs="Arial" w:eastAsia="Arial" w:hAnsi="Arial"/>
          <w:b/>
          <w:bCs/>
          <w:color w:val="1B3A5C"/>
          <w:sz w:val="36"/>
          <w:szCs w:val="36"/>
        </w:rPr>
        <w:t xml:space="preserve">Bloques 6 y 7 — Finanzas y Operaciones: Modelo Cero Erogación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980B9" w:sz="1"/>
              <w:left w:val="single" w:color="2980B9" w:sz="1"/>
              <w:bottom w:val="single" w:color="2980B9" w:sz="1"/>
              <w:right w:val="single" w:color="2980B9" w:sz="1"/>
            </w:tcBorders>
            <w:shd w:fill="2980B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REVISADO</w:t>
            </w:r>
          </w:p>
        </w:tc>
        <w:tc>
          <w:tcPr>
            <w:tcW w:type="dxa" w:w="8160"/>
            <w:tcBorders>
              <w:top w:val="single" w:color="2980B9" w:sz="1"/>
              <w:left w:val="single" w:color="2980B9" w:sz="1"/>
              <w:bottom w:val="single" w:color="2980B9" w:sz="1"/>
              <w:right w:val="single" w:color="2980B9" w:sz="1"/>
            </w:tcBorders>
            <w:shd w:fill="EBF5FB" w:val="clear"/>
            <w:tcMar>
              <w:top w:type="dxa" w:w="80"/>
              <w:left w:type="dxa" w:w="160"/>
              <w:bottom w:type="dxa" w:w="80"/>
              <w:right w:type="dxa" w:w="120"/>
            </w:tcMar>
          </w:tcPr>
          <w:p>
            <w:r>
              <w:rPr>
                <w:rFonts w:ascii="Arial" w:cs="Arial" w:eastAsia="Arial" w:hAnsi="Arial"/>
                <w:b/>
                <w:bCs/>
                <w:color w:val="2980B9"/>
                <w:sz w:val="22"/>
                <w:szCs w:val="22"/>
              </w:rPr>
              <w:t xml:space="preserve">Revisado: el objetivo de cero erogación confirma y refuerza la estrategia del ecosistema integrado.</w:t>
            </w:r>
          </w:p>
        </w:tc>
      </w:tr>
    </w:tbl>
    <w:p>
      <w:pPr>
        <w:spacing w:before="80" w:after="0"/>
      </w:pPr>
      <w:r>
        <w:t xml:space="preserve"/>
      </w:r>
    </w:p>
    <w:p>
      <w:pPr>
        <w:spacing w:before="60" w:after="80"/>
      </w:pPr>
      <w:r>
        <w:rPr>
          <w:rFonts w:ascii="Arial" w:cs="Arial" w:eastAsia="Arial" w:hAnsi="Arial"/>
          <w:color w:val="1C1C1C"/>
          <w:sz w:val="22"/>
          <w:szCs w:val="22"/>
        </w:rPr>
        <w:t xml:space="preserve">La declaración del fundador es precisa: el objetivo es crear algo de cero erogación. Eso no es una limitante presupuestaria — es un principio de diseño. Y es coherente con todo lo que el diagnóstico reveló del modelo:</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B3A5C" w:sz="1"/>
              <w:left w:val="single" w:color="1B3A5C" w:sz="1"/>
              <w:bottom w:val="single" w:color="1B3A5C" w:sz="1"/>
              <w:right w:val="single" w:color="1B3A5C" w:sz="1"/>
            </w:tcBorders>
            <w:shd w:fill="1B3A5C" w:val="clear"/>
            <w:tcMar>
              <w:top w:type="dxa" w:w="90"/>
              <w:left w:type="dxa" w:w="140"/>
              <w:bottom w:type="dxa" w:w="90"/>
              <w:right w:type="dxa" w:w="80"/>
            </w:tcMar>
          </w:tcPr>
          <w:p>
            <w:r>
              <w:rPr>
                <w:rFonts w:ascii="Arial" w:cs="Arial" w:eastAsia="Arial" w:hAnsi="Arial"/>
                <w:b/>
                <w:bCs/>
                <w:color w:val="FFFFFF"/>
                <w:sz w:val="21"/>
                <w:szCs w:val="21"/>
              </w:rPr>
              <w:t xml:space="preserve">Componente</w:t>
            </w:r>
          </w:p>
        </w:tc>
        <w:tc>
          <w:tcPr>
            <w:tcW w:type="dxa" w:w="6160"/>
            <w:tcBorders>
              <w:top w:val="single" w:color="1B3A5C" w:sz="1"/>
              <w:left w:val="single" w:color="1B3A5C" w:sz="1"/>
              <w:bottom w:val="single" w:color="1B3A5C" w:sz="1"/>
              <w:right w:val="single" w:color="1B3A5C" w:sz="1"/>
            </w:tcBorders>
            <w:shd w:fill="1B3A5C" w:val="clear"/>
            <w:tcMar>
              <w:top w:type="dxa" w:w="90"/>
              <w:left w:type="dxa" w:w="140"/>
              <w:bottom w:type="dxa" w:w="90"/>
              <w:right w:type="dxa" w:w="80"/>
            </w:tcMar>
          </w:tcPr>
          <w:p>
            <w:r>
              <w:rPr>
                <w:rFonts w:ascii="Arial" w:cs="Arial" w:eastAsia="Arial" w:hAnsi="Arial"/>
                <w:b/>
                <w:bCs/>
                <w:color w:val="FFFFFF"/>
                <w:sz w:val="21"/>
                <w:szCs w:val="21"/>
              </w:rPr>
              <w:t xml:space="preserve">Cómo opera sin erogación</w:t>
            </w:r>
          </w:p>
        </w:tc>
      </w:tr>
      <w:tr>
        <w:tc>
          <w:tcPr>
            <w:tcW w:type="dxa" w:w="32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vAlign w:val="center"/>
          </w:tcPr>
          <w:p>
            <w:r>
              <w:rPr>
                <w:rFonts w:ascii="Arial" w:cs="Arial" w:eastAsia="Arial" w:hAnsi="Arial"/>
                <w:b/>
                <w:bCs/>
                <w:color w:val="1B3A5C"/>
                <w:sz w:val="21"/>
                <w:szCs w:val="21"/>
              </w:rPr>
              <w:t xml:space="preserve">Desarrollo de la app</w:t>
            </w:r>
          </w:p>
        </w:tc>
        <w:tc>
          <w:tcPr>
            <w:tcW w:type="dxa" w:w="616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vAlign w:val="center"/>
          </w:tcPr>
          <w:p>
            <w:r>
              <w:rPr>
                <w:rFonts w:ascii="Arial" w:cs="Arial" w:eastAsia="Arial" w:hAnsi="Arial"/>
                <w:b w:val="false"/>
                <w:bCs w:val="false"/>
                <w:color w:val="1C1C1C"/>
                <w:sz w:val="21"/>
                <w:szCs w:val="21"/>
              </w:rPr>
              <w:t xml:space="preserve">Modelo 70/30 con socio tecnológico — sin costo inicial, participación en el resultado</w:t>
            </w:r>
          </w:p>
        </w:tc>
      </w:tr>
      <w:tr>
        <w:tc>
          <w:tcPr>
            <w:tcW w:type="dxa" w:w="3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vAlign w:val="center"/>
          </w:tcPr>
          <w:p>
            <w:r>
              <w:rPr>
                <w:rFonts w:ascii="Arial" w:cs="Arial" w:eastAsia="Arial" w:hAnsi="Arial"/>
                <w:b/>
                <w:bCs/>
                <w:color w:val="1B3A5C"/>
                <w:sz w:val="21"/>
                <w:szCs w:val="21"/>
              </w:rPr>
              <w:t xml:space="preserve">Infraestructura tecnológica</w:t>
            </w:r>
          </w:p>
        </w:tc>
        <w:tc>
          <w:tcPr>
            <w:tcW w:type="dxa" w:w="6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vAlign w:val="center"/>
          </w:tcPr>
          <w:p>
            <w:r>
              <w:rPr>
                <w:rFonts w:ascii="Arial" w:cs="Arial" w:eastAsia="Arial" w:hAnsi="Arial"/>
                <w:b w:val="false"/>
                <w:bCs w:val="false"/>
                <w:color w:val="1C1C1C"/>
                <w:sz w:val="21"/>
                <w:szCs w:val="21"/>
              </w:rPr>
              <w:t xml:space="preserve">Base44 para el MVP — costo mínimo o gratuito en etapa inicial</w:t>
            </w:r>
          </w:p>
        </w:tc>
      </w:tr>
      <w:tr>
        <w:tc>
          <w:tcPr>
            <w:tcW w:type="dxa" w:w="32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vAlign w:val="center"/>
          </w:tcPr>
          <w:p>
            <w:r>
              <w:rPr>
                <w:rFonts w:ascii="Arial" w:cs="Arial" w:eastAsia="Arial" w:hAnsi="Arial"/>
                <w:b/>
                <w:bCs/>
                <w:color w:val="1B3A5C"/>
                <w:sz w:val="21"/>
                <w:szCs w:val="21"/>
              </w:rPr>
              <w:t xml:space="preserve">Contenido de la comunidad</w:t>
            </w:r>
          </w:p>
        </w:tc>
        <w:tc>
          <w:tcPr>
            <w:tcW w:type="dxa" w:w="616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vAlign w:val="center"/>
          </w:tcPr>
          <w:p>
            <w:r>
              <w:rPr>
                <w:rFonts w:ascii="Arial" w:cs="Arial" w:eastAsia="Arial" w:hAnsi="Arial"/>
                <w:b w:val="false"/>
                <w:bCs w:val="false"/>
                <w:color w:val="1C1C1C"/>
                <w:sz w:val="21"/>
                <w:szCs w:val="21"/>
              </w:rPr>
              <w:t xml:space="preserve">Generado por los propios miembros (Muro) y los asesores asociados (webinarios, cápsulas)</w:t>
            </w:r>
          </w:p>
        </w:tc>
      </w:tr>
      <w:tr>
        <w:tc>
          <w:tcPr>
            <w:tcW w:type="dxa" w:w="3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vAlign w:val="center"/>
          </w:tcPr>
          <w:p>
            <w:r>
              <w:rPr>
                <w:rFonts w:ascii="Arial" w:cs="Arial" w:eastAsia="Arial" w:hAnsi="Arial"/>
                <w:b/>
                <w:bCs/>
                <w:color w:val="1B3A5C"/>
                <w:sz w:val="21"/>
                <w:szCs w:val="21"/>
              </w:rPr>
              <w:t xml:space="preserve">Eventos y after offices</w:t>
            </w:r>
          </w:p>
        </w:tc>
        <w:tc>
          <w:tcPr>
            <w:tcW w:type="dxa" w:w="6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vAlign w:val="center"/>
          </w:tcPr>
          <w:p>
            <w:r>
              <w:rPr>
                <w:rFonts w:ascii="Arial" w:cs="Arial" w:eastAsia="Arial" w:hAnsi="Arial"/>
                <w:b w:val="false"/>
                <w:bCs w:val="false"/>
                <w:color w:val="1C1C1C"/>
                <w:sz w:val="21"/>
                <w:szCs w:val="21"/>
              </w:rPr>
              <w:t xml:space="preserve">Ya operativos con sello propio — sin costo adicional de estructura</w:t>
            </w:r>
          </w:p>
        </w:tc>
      </w:tr>
      <w:tr>
        <w:tc>
          <w:tcPr>
            <w:tcW w:type="dxa" w:w="32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vAlign w:val="center"/>
          </w:tcPr>
          <w:p>
            <w:r>
              <w:rPr>
                <w:rFonts w:ascii="Arial" w:cs="Arial" w:eastAsia="Arial" w:hAnsi="Arial"/>
                <w:b/>
                <w:bCs/>
                <w:color w:val="1B3A5C"/>
                <w:sz w:val="21"/>
                <w:szCs w:val="21"/>
              </w:rPr>
              <w:t xml:space="preserve">Adquisición de los primeros miembros</w:t>
            </w:r>
          </w:p>
        </w:tc>
        <w:tc>
          <w:tcPr>
            <w:tcW w:type="dxa" w:w="616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vAlign w:val="center"/>
          </w:tcPr>
          <w:p>
            <w:r>
              <w:rPr>
                <w:rFonts w:ascii="Arial" w:cs="Arial" w:eastAsia="Arial" w:hAnsi="Arial"/>
                <w:b w:val="false"/>
                <w:bCs w:val="false"/>
                <w:color w:val="1C1C1C"/>
                <w:sz w:val="21"/>
                <w:szCs w:val="21"/>
              </w:rPr>
              <w:t xml:space="preserve">Audiencia activa existente — sin publicidad paga requerida</w:t>
            </w:r>
          </w:p>
        </w:tc>
      </w:tr>
      <w:tr>
        <w:tc>
          <w:tcPr>
            <w:tcW w:type="dxa" w:w="3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vAlign w:val="center"/>
          </w:tcPr>
          <w:p>
            <w:r>
              <w:rPr>
                <w:rFonts w:ascii="Arial" w:cs="Arial" w:eastAsia="Arial" w:hAnsi="Arial"/>
                <w:b/>
                <w:bCs/>
                <w:color w:val="1B3A5C"/>
                <w:sz w:val="21"/>
                <w:szCs w:val="21"/>
              </w:rPr>
              <w:t xml:space="preserve">Soporte y moderación</w:t>
            </w:r>
          </w:p>
        </w:tc>
        <w:tc>
          <w:tcPr>
            <w:tcW w:type="dxa" w:w="6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vAlign w:val="center"/>
          </w:tcPr>
          <w:p>
            <w:r>
              <w:rPr>
                <w:rFonts w:ascii="Arial" w:cs="Arial" w:eastAsia="Arial" w:hAnsi="Arial"/>
                <w:b w:val="false"/>
                <w:bCs w:val="false"/>
                <w:color w:val="1C1C1C"/>
                <w:sz w:val="21"/>
                <w:szCs w:val="21"/>
              </w:rPr>
              <w:t xml:space="preserve">El equipo fundador + asesores — capacidad disponible sin contratación</w:t>
            </w:r>
          </w:p>
        </w:tc>
      </w:tr>
      <w:tr>
        <w:tc>
          <w:tcPr>
            <w:tcW w:type="dxa" w:w="32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vAlign w:val="center"/>
          </w:tcPr>
          <w:p>
            <w:r>
              <w:rPr>
                <w:rFonts w:ascii="Arial" w:cs="Arial" w:eastAsia="Arial" w:hAnsi="Arial"/>
                <w:b/>
                <w:bCs/>
                <w:color w:val="1B3A5C"/>
                <w:sz w:val="21"/>
                <w:szCs w:val="21"/>
              </w:rPr>
              <w:t xml:space="preserve">CRM y gestión</w:t>
            </w:r>
          </w:p>
        </w:tc>
        <w:tc>
          <w:tcPr>
            <w:tcW w:type="dxa" w:w="616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vAlign w:val="center"/>
          </w:tcPr>
          <w:p>
            <w:r>
              <w:rPr>
                <w:rFonts w:ascii="Arial" w:cs="Arial" w:eastAsia="Arial" w:hAnsi="Arial"/>
                <w:b w:val="false"/>
                <w:bCs w:val="false"/>
                <w:color w:val="1C1C1C"/>
                <w:sz w:val="21"/>
                <w:szCs w:val="21"/>
              </w:rPr>
              <w:t xml:space="preserve">Herramienta propia — sin costo de licencia externa</w:t>
            </w:r>
          </w:p>
        </w:tc>
      </w:tr>
      <w:tr>
        <w:tc>
          <w:tcPr>
            <w:tcW w:type="dxa" w:w="3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vAlign w:val="center"/>
          </w:tcPr>
          <w:p>
            <w:r>
              <w:rPr>
                <w:rFonts w:ascii="Arial" w:cs="Arial" w:eastAsia="Arial" w:hAnsi="Arial"/>
                <w:b/>
                <w:bCs/>
                <w:color w:val="1B3A5C"/>
                <w:sz w:val="21"/>
                <w:szCs w:val="21"/>
              </w:rPr>
              <w:t xml:space="preserve">Stack de contingencia (pre-app)</w:t>
            </w:r>
          </w:p>
        </w:tc>
        <w:tc>
          <w:tcPr>
            <w:tcW w:type="dxa" w:w="6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vAlign w:val="center"/>
          </w:tcPr>
          <w:p>
            <w:r>
              <w:rPr>
                <w:rFonts w:ascii="Arial" w:cs="Arial" w:eastAsia="Arial" w:hAnsi="Arial"/>
                <w:b w:val="false"/>
                <w:bCs w:val="false"/>
                <w:color w:val="1C1C1C"/>
                <w:sz w:val="21"/>
                <w:szCs w:val="21"/>
              </w:rPr>
              <w:t xml:space="preserve">WhatsApp + Google Drive + Mercado Pago — costo cero o mínimo</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7A4A" w:sz="1"/>
              <w:left w:val="single" w:color="1A7A4A" w:sz="12"/>
              <w:bottom w:val="single" w:color="1A7A4A" w:sz="1"/>
              <w:right w:val="single" w:color="1A7A4A" w:sz="1"/>
            </w:tcBorders>
            <w:shd w:fill="E8F8F5" w:val="clear"/>
            <w:tcMar>
              <w:top w:type="dxa" w:w="120"/>
              <w:left w:type="dxa" w:w="200"/>
              <w:bottom w:type="dxa" w:w="120"/>
              <w:right w:type="dxa" w:w="200"/>
            </w:tcMar>
          </w:tcPr>
          <w:p>
            <w:pPr>
              <w:spacing w:before="0" w:after="40"/>
            </w:pPr>
            <w:r>
              <w:rPr>
                <w:rFonts w:ascii="Arial" w:cs="Arial" w:eastAsia="Arial" w:hAnsi="Arial"/>
                <w:b/>
                <w:bCs/>
                <w:color w:val="1A7A4A"/>
                <w:sz w:val="22"/>
                <w:szCs w:val="22"/>
              </w:rPr>
              <w:t xml:space="preserve">✅  EL MODELO CERO EROGACIÓN ES VIABLE</w:t>
            </w:r>
          </w:p>
          <w:p>
            <w:pPr>
              <w:spacing w:before="0" w:after="0"/>
            </w:pPr>
            <w:r>
              <w:rPr>
                <w:rFonts w:ascii="Arial" w:cs="Arial" w:eastAsia="Arial" w:hAnsi="Arial"/>
                <w:color w:val="1C1C1C"/>
                <w:sz w:val="22"/>
                <w:szCs w:val="22"/>
              </w:rPr>
              <w:t xml:space="preserve">No es un deseo — es una arquitectura real. Cada componente del ecosistema tiene una versión de costo cero o costo mínimo que permite operar desde el día 1 sin inversión de capital. El único costo real es el tiempo del equipo, que ya está disponible. Esto convierte el riesgo financiero del proyecto de 'alto' a 'muy bajo'.</w:t>
            </w:r>
          </w:p>
        </w:tc>
      </w:tr>
    </w:tbl>
    <w:p>
      <w:pPr>
        <w:spacing w:before="80" w:after="0"/>
      </w:pPr>
      <w:r>
        <w:t xml:space="preserve"/>
      </w:r>
    </w:p>
    <w:p>
      <w:pPr>
        <w:pStyle w:val="Heading2"/>
        <w:spacing w:before="280" w:after="80"/>
      </w:pPr>
      <w:r>
        <w:rPr>
          <w:rFonts w:ascii="Arial" w:cs="Arial" w:eastAsia="Arial" w:hAnsi="Arial"/>
          <w:b/>
          <w:bCs/>
          <w:color w:val="1B3A5C"/>
          <w:sz w:val="28"/>
          <w:szCs w:val="28"/>
        </w:rPr>
        <w:t xml:space="preserve">La proyección financiera corregida</w:t>
      </w:r>
    </w:p>
    <w:p>
      <w:pPr>
        <w:spacing w:before="60" w:after="80"/>
      </w:pPr>
      <w:r>
        <w:rPr>
          <w:rFonts w:ascii="Arial" w:cs="Arial" w:eastAsia="Arial" w:hAnsi="Arial"/>
          <w:color w:val="1C1C1C"/>
          <w:sz w:val="22"/>
          <w:szCs w:val="22"/>
        </w:rPr>
        <w:t xml:space="preserve">El diagnóstico financiero original partió de un supuesto incorrecto: que los ingresos del ecosistema eran principalmente de consultoría individual a menos de $500 USD/mes. La realidad es un ecosistema con cinco líneas de producto activas donde la app/comunidad se agrega como ingreso incremental sobre una base ya operativa.</w:t>
      </w:r>
    </w:p>
    <w:p>
      <w:pPr>
        <w:spacing w:before="60" w:after="80"/>
      </w:pPr>
      <w:r>
        <w:rPr>
          <w:rFonts w:ascii="Arial" w:cs="Arial" w:eastAsia="Arial" w:hAnsi="Arial"/>
          <w:color w:val="1C1C1C"/>
          <w:sz w:val="22"/>
          <w:szCs w:val="22"/>
        </w:rPr>
        <w:t xml:space="preserve">La proyección correcta no es 'cuánto necesita la app para sobrevivir' — es 'cuánto agrega la app a un ecosistema que ya funciona'. Eso cambia la presión sobre el sandbox: no necesita autofinanciarse, necesita demostrar valor incremental y traccionar las otras líneas de producto.</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35400" w:sz="1"/>
              <w:left w:val="single" w:color="D35400" w:sz="12"/>
              <w:bottom w:val="single" w:color="D35400" w:sz="1"/>
              <w:right w:val="single" w:color="D35400" w:sz="1"/>
            </w:tcBorders>
            <w:shd w:fill="FEF9E7" w:val="clear"/>
            <w:tcMar>
              <w:top w:type="dxa" w:w="120"/>
              <w:left w:type="dxa" w:w="200"/>
              <w:bottom w:type="dxa" w:w="120"/>
              <w:right w:type="dxa" w:w="200"/>
            </w:tcMar>
          </w:tcPr>
          <w:p>
            <w:pPr>
              <w:spacing w:before="0" w:after="40"/>
            </w:pPr>
            <w:r>
              <w:rPr>
                <w:rFonts w:ascii="Arial" w:cs="Arial" w:eastAsia="Arial" w:hAnsi="Arial"/>
                <w:b/>
                <w:bCs/>
                <w:color w:val="D35400"/>
                <w:sz w:val="22"/>
                <w:szCs w:val="22"/>
              </w:rPr>
              <w:t xml:space="preserve">CRITERIO FINANCIERO CLAVE</w:t>
            </w:r>
          </w:p>
          <w:p>
            <w:pPr>
              <w:spacing w:before="0" w:after="0"/>
            </w:pPr>
            <w:r>
              <w:rPr>
                <w:rFonts w:ascii="Arial" w:cs="Arial" w:eastAsia="Arial" w:hAnsi="Arial"/>
                <w:color w:val="1C1C1C"/>
                <w:sz w:val="22"/>
                <w:szCs w:val="22"/>
              </w:rPr>
              <w:t xml:space="preserve">El éxito financiero del sandbox no se mide por los ingresos de la membresía en sí — se mide por el aumento en los ingresos totales de Mejora Continua atribuible a la app. Si los miembros del sandbox generan aunque sea una consultoría adicional o una capacitación in company que no hubiera ocurrido sin la app, el sandbox ya es rentable.</w:t>
            </w:r>
          </w:p>
        </w:tc>
      </w:tr>
    </w:tbl>
    <w:p>
      <w:pPr>
        <w:spacing w:before="160" w:after="0"/>
      </w:pPr>
      <w:r>
        <w:t xml:space="preserve"/>
      </w:r>
    </w:p>
    <w:p>
      <w:pPr>
        <w:pStyle w:val="Heading1"/>
        <w:pBdr>
          <w:bottom w:val="single" w:color="1B3A5C" w:sz="4" w:space="6"/>
        </w:pBdr>
        <w:spacing w:before="360" w:after="120"/>
      </w:pPr>
      <w:r>
        <w:rPr>
          <w:rFonts w:ascii="Arial" w:cs="Arial" w:eastAsia="Arial" w:hAnsi="Arial"/>
          <w:b/>
          <w:bCs/>
          <w:color w:val="1B3A5C"/>
          <w:sz w:val="36"/>
          <w:szCs w:val="36"/>
        </w:rPr>
        <w:t xml:space="preserve">Estado Final: Todo el Diagnóstico Revisado y Listo</w:t>
      </w:r>
    </w:p>
    <w:p>
      <w:pPr>
        <w:spacing w:before="60" w:after="80"/>
      </w:pPr>
      <w:r>
        <w:rPr>
          <w:rFonts w:ascii="Arial" w:cs="Arial" w:eastAsia="Arial" w:hAnsi="Arial"/>
          <w:color w:val="1C1C1C"/>
          <w:sz w:val="22"/>
          <w:szCs w:val="22"/>
        </w:rPr>
        <w:t xml:space="preserve">Con la revisión rápida de los cuatro bloques restantes, el diagnóstico completo del ecosistema Mejora Continua está cerrado. Este es el mapa final:</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c>
          <w:tcPr>
            <w:tcW w:type="dxa" w:w="1800"/>
            <w:tcBorders>
              <w:top w:val="single" w:color="1B3A5C" w:sz="1"/>
              <w:left w:val="single" w:color="1B3A5C" w:sz="1"/>
              <w:bottom w:val="single" w:color="1B3A5C" w:sz="1"/>
              <w:right w:val="single" w:color="1B3A5C" w:sz="1"/>
            </w:tcBorders>
            <w:shd w:fill="1B3A5C" w:val="clear"/>
            <w:tcMar>
              <w:top w:type="dxa" w:w="90"/>
              <w:left w:type="dxa" w:w="140"/>
              <w:bottom w:type="dxa" w:w="90"/>
              <w:right w:type="dxa" w:w="80"/>
            </w:tcMar>
          </w:tcPr>
          <w:p>
            <w:r>
              <w:rPr>
                <w:rFonts w:ascii="Arial" w:cs="Arial" w:eastAsia="Arial" w:hAnsi="Arial"/>
                <w:b/>
                <w:bCs/>
                <w:color w:val="FFFFFF"/>
                <w:sz w:val="21"/>
                <w:szCs w:val="21"/>
              </w:rPr>
              <w:t xml:space="preserve">Bloque</w:t>
            </w:r>
          </w:p>
        </w:tc>
        <w:tc>
          <w:tcPr>
            <w:tcW w:type="dxa" w:w="1400"/>
            <w:tcBorders>
              <w:top w:val="single" w:color="1B3A5C" w:sz="1"/>
              <w:left w:val="single" w:color="1B3A5C" w:sz="1"/>
              <w:bottom w:val="single" w:color="1B3A5C" w:sz="1"/>
              <w:right w:val="single" w:color="1B3A5C" w:sz="1"/>
            </w:tcBorders>
            <w:shd w:fill="1B3A5C" w:val="clear"/>
            <w:tcMar>
              <w:top w:type="dxa" w:w="90"/>
              <w:left w:type="dxa" w:w="140"/>
              <w:bottom w:type="dxa" w:w="90"/>
              <w:right w:type="dxa" w:w="80"/>
            </w:tcMar>
          </w:tcPr>
          <w:p>
            <w:r>
              <w:rPr>
                <w:rFonts w:ascii="Arial" w:cs="Arial" w:eastAsia="Arial" w:hAnsi="Arial"/>
                <w:b/>
                <w:bCs/>
                <w:color w:val="FFFFFF"/>
                <w:sz w:val="21"/>
                <w:szCs w:val="21"/>
              </w:rPr>
              <w:t xml:space="preserve">Estado</w:t>
            </w:r>
          </w:p>
        </w:tc>
        <w:tc>
          <w:tcPr>
            <w:tcW w:type="dxa" w:w="6160"/>
            <w:tcBorders>
              <w:top w:val="single" w:color="1B3A5C" w:sz="1"/>
              <w:left w:val="single" w:color="1B3A5C" w:sz="1"/>
              <w:bottom w:val="single" w:color="1B3A5C" w:sz="1"/>
              <w:right w:val="single" w:color="1B3A5C" w:sz="1"/>
            </w:tcBorders>
            <w:shd w:fill="1B3A5C" w:val="clear"/>
            <w:tcMar>
              <w:top w:type="dxa" w:w="90"/>
              <w:left w:type="dxa" w:w="140"/>
              <w:bottom w:type="dxa" w:w="90"/>
              <w:right w:type="dxa" w:w="80"/>
            </w:tcMar>
          </w:tcPr>
          <w:p>
            <w:r>
              <w:rPr>
                <w:rFonts w:ascii="Arial" w:cs="Arial" w:eastAsia="Arial" w:hAnsi="Arial"/>
                <w:b/>
                <w:bCs/>
                <w:color w:val="FFFFFF"/>
                <w:sz w:val="21"/>
                <w:szCs w:val="21"/>
              </w:rPr>
              <w:t xml:space="preserve">Corrección principal incorporada</w:t>
            </w:r>
          </w:p>
        </w:tc>
      </w:tr>
      <w:tr>
        <w:tc>
          <w:tcPr>
            <w:tcW w:type="dxa" w:w="18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vAlign w:val="center"/>
          </w:tcPr>
          <w:p>
            <w:r>
              <w:rPr>
                <w:rFonts w:ascii="Arial" w:cs="Arial" w:eastAsia="Arial" w:hAnsi="Arial"/>
                <w:b/>
                <w:bCs/>
                <w:color w:val="1B3A5C"/>
                <w:sz w:val="21"/>
                <w:szCs w:val="21"/>
              </w:rPr>
              <w:t xml:space="preserve">Bloque 1 — Identidad</w:t>
            </w:r>
          </w:p>
        </w:tc>
        <w:tc>
          <w:tcPr>
            <w:tcW w:type="dxa" w:w="14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vAlign w:val="center"/>
          </w:tcPr>
          <w:p>
            <w:r>
              <w:rPr>
                <w:rFonts w:ascii="Arial" w:cs="Arial" w:eastAsia="Arial" w:hAnsi="Arial"/>
                <w:b/>
                <w:bCs/>
                <w:color w:val="1A7A4A"/>
                <w:sz w:val="21"/>
                <w:szCs w:val="21"/>
              </w:rPr>
              <w:t xml:space="preserve">CERRADO</w:t>
            </w:r>
          </w:p>
        </w:tc>
        <w:tc>
          <w:tcPr>
            <w:tcW w:type="dxa" w:w="616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vAlign w:val="center"/>
          </w:tcPr>
          <w:p>
            <w:r>
              <w:rPr>
                <w:rFonts w:ascii="Arial" w:cs="Arial" w:eastAsia="Arial" w:hAnsi="Arial"/>
                <w:b w:val="false"/>
                <w:bCs w:val="false"/>
                <w:color w:val="1C1C1C"/>
                <w:sz w:val="21"/>
                <w:szCs w:val="21"/>
              </w:rPr>
              <w:t xml:space="preserve">Sociedad de dos + 3 años de validación real + ecosistema integrado</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vAlign w:val="center"/>
          </w:tcPr>
          <w:p>
            <w:r>
              <w:rPr>
                <w:rFonts w:ascii="Arial" w:cs="Arial" w:eastAsia="Arial" w:hAnsi="Arial"/>
                <w:b/>
                <w:bCs/>
                <w:color w:val="1B3A5C"/>
                <w:sz w:val="21"/>
                <w:szCs w:val="21"/>
              </w:rPr>
              <w:t xml:space="preserve">Bloque 2 — Modelo y precio</w:t>
            </w:r>
          </w:p>
        </w:tc>
        <w:tc>
          <w:tcPr>
            <w:tcW w:type="dxa" w:w="1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vAlign w:val="center"/>
          </w:tcPr>
          <w:p>
            <w:r>
              <w:rPr>
                <w:rFonts w:ascii="Arial" w:cs="Arial" w:eastAsia="Arial" w:hAnsi="Arial"/>
                <w:b/>
                <w:bCs/>
                <w:color w:val="1A7A4A"/>
                <w:sz w:val="21"/>
                <w:szCs w:val="21"/>
              </w:rPr>
              <w:t xml:space="preserve">CERRADO</w:t>
            </w:r>
          </w:p>
        </w:tc>
        <w:tc>
          <w:tcPr>
            <w:tcW w:type="dxa" w:w="6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vAlign w:val="center"/>
          </w:tcPr>
          <w:p>
            <w:r>
              <w:rPr>
                <w:rFonts w:ascii="Arial" w:cs="Arial" w:eastAsia="Arial" w:hAnsi="Arial"/>
                <w:b w:val="false"/>
                <w:bCs w:val="false"/>
                <w:color w:val="1C1C1C"/>
                <w:sz w:val="21"/>
                <w:szCs w:val="21"/>
              </w:rPr>
              <w:t xml:space="preserve">5 productos + criterios de escalado + CRM como activo diferencial</w:t>
            </w:r>
          </w:p>
        </w:tc>
      </w:tr>
      <w:tr>
        <w:tc>
          <w:tcPr>
            <w:tcW w:type="dxa" w:w="18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vAlign w:val="center"/>
          </w:tcPr>
          <w:p>
            <w:r>
              <w:rPr>
                <w:rFonts w:ascii="Arial" w:cs="Arial" w:eastAsia="Arial" w:hAnsi="Arial"/>
                <w:b/>
                <w:bCs/>
                <w:color w:val="1B3A5C"/>
                <w:sz w:val="21"/>
                <w:szCs w:val="21"/>
              </w:rPr>
              <w:t xml:space="preserve">Bloque 3 — Audiencia</w:t>
            </w:r>
          </w:p>
        </w:tc>
        <w:tc>
          <w:tcPr>
            <w:tcW w:type="dxa" w:w="14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vAlign w:val="center"/>
          </w:tcPr>
          <w:p>
            <w:r>
              <w:rPr>
                <w:rFonts w:ascii="Arial" w:cs="Arial" w:eastAsia="Arial" w:hAnsi="Arial"/>
                <w:b/>
                <w:bCs/>
                <w:color w:val="1A7A4A"/>
                <w:sz w:val="21"/>
                <w:szCs w:val="21"/>
              </w:rPr>
              <w:t xml:space="preserve">CERRADO</w:t>
            </w:r>
          </w:p>
        </w:tc>
        <w:tc>
          <w:tcPr>
            <w:tcW w:type="dxa" w:w="616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vAlign w:val="center"/>
          </w:tcPr>
          <w:p>
            <w:r>
              <w:rPr>
                <w:rFonts w:ascii="Arial" w:cs="Arial" w:eastAsia="Arial" w:hAnsi="Arial"/>
                <w:b w:val="false"/>
                <w:bCs w:val="false"/>
                <w:color w:val="1C1C1C"/>
                <w:sz w:val="21"/>
                <w:szCs w:val="21"/>
              </w:rPr>
              <w:t xml:space="preserve">Sin correcciones — activación en 4 anillos confirmada</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vAlign w:val="center"/>
          </w:tcPr>
          <w:p>
            <w:r>
              <w:rPr>
                <w:rFonts w:ascii="Arial" w:cs="Arial" w:eastAsia="Arial" w:hAnsi="Arial"/>
                <w:b/>
                <w:bCs/>
                <w:color w:val="1B3A5C"/>
                <w:sz w:val="21"/>
                <w:szCs w:val="21"/>
              </w:rPr>
              <w:t xml:space="preserve">Bloque 4 — Membresías</w:t>
            </w:r>
          </w:p>
        </w:tc>
        <w:tc>
          <w:tcPr>
            <w:tcW w:type="dxa" w:w="1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vAlign w:val="center"/>
          </w:tcPr>
          <w:p>
            <w:r>
              <w:rPr>
                <w:rFonts w:ascii="Arial" w:cs="Arial" w:eastAsia="Arial" w:hAnsi="Arial"/>
                <w:b/>
                <w:bCs/>
                <w:color w:val="1A7A4A"/>
                <w:sz w:val="21"/>
                <w:szCs w:val="21"/>
              </w:rPr>
              <w:t xml:space="preserve">CERRADO</w:t>
            </w:r>
          </w:p>
        </w:tc>
        <w:tc>
          <w:tcPr>
            <w:tcW w:type="dxa" w:w="6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vAlign w:val="center"/>
          </w:tcPr>
          <w:p>
            <w:r>
              <w:rPr>
                <w:rFonts w:ascii="Arial" w:cs="Arial" w:eastAsia="Arial" w:hAnsi="Arial"/>
                <w:b w:val="false"/>
                <w:bCs w:val="false"/>
                <w:color w:val="1C1C1C"/>
                <w:sz w:val="21"/>
                <w:szCs w:val="21"/>
              </w:rPr>
              <w:t xml:space="preserve">Precio en 3 capas geográficas + orgullo de marca local</w:t>
            </w:r>
          </w:p>
        </w:tc>
      </w:tr>
      <w:tr>
        <w:tc>
          <w:tcPr>
            <w:tcW w:type="dxa" w:w="18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vAlign w:val="center"/>
          </w:tcPr>
          <w:p>
            <w:r>
              <w:rPr>
                <w:rFonts w:ascii="Arial" w:cs="Arial" w:eastAsia="Arial" w:hAnsi="Arial"/>
                <w:b/>
                <w:bCs/>
                <w:color w:val="1B3A5C"/>
                <w:sz w:val="21"/>
                <w:szCs w:val="21"/>
              </w:rPr>
              <w:t xml:space="preserve">Bloque 5 — Tecnología</w:t>
            </w:r>
          </w:p>
        </w:tc>
        <w:tc>
          <w:tcPr>
            <w:tcW w:type="dxa" w:w="14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vAlign w:val="center"/>
          </w:tcPr>
          <w:p>
            <w:r>
              <w:rPr>
                <w:rFonts w:ascii="Arial" w:cs="Arial" w:eastAsia="Arial" w:hAnsi="Arial"/>
                <w:b/>
                <w:bCs/>
                <w:color w:val="1A7A4A"/>
                <w:sz w:val="21"/>
                <w:szCs w:val="21"/>
              </w:rPr>
              <w:t xml:space="preserve">CERRADO</w:t>
            </w:r>
          </w:p>
        </w:tc>
        <w:tc>
          <w:tcPr>
            <w:tcW w:type="dxa" w:w="616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vAlign w:val="center"/>
          </w:tcPr>
          <w:p>
            <w:r>
              <w:rPr>
                <w:rFonts w:ascii="Arial" w:cs="Arial" w:eastAsia="Arial" w:hAnsi="Arial"/>
                <w:b w:val="false"/>
                <w:bCs w:val="false"/>
                <w:color w:val="1C1C1C"/>
                <w:sz w:val="21"/>
                <w:szCs w:val="21"/>
              </w:rPr>
              <w:t xml:space="preserve">Modelo 70/30 con socio probado elimina riesgo tecnológico principal</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vAlign w:val="center"/>
          </w:tcPr>
          <w:p>
            <w:r>
              <w:rPr>
                <w:rFonts w:ascii="Arial" w:cs="Arial" w:eastAsia="Arial" w:hAnsi="Arial"/>
                <w:b/>
                <w:bCs/>
                <w:color w:val="1B3A5C"/>
                <w:sz w:val="21"/>
                <w:szCs w:val="21"/>
              </w:rPr>
              <w:t xml:space="preserve">Bloque 6 — Finanzas</w:t>
            </w:r>
          </w:p>
        </w:tc>
        <w:tc>
          <w:tcPr>
            <w:tcW w:type="dxa" w:w="1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vAlign w:val="center"/>
          </w:tcPr>
          <w:p>
            <w:r>
              <w:rPr>
                <w:rFonts w:ascii="Arial" w:cs="Arial" w:eastAsia="Arial" w:hAnsi="Arial"/>
                <w:b/>
                <w:bCs/>
                <w:color w:val="1A7A4A"/>
                <w:sz w:val="21"/>
                <w:szCs w:val="21"/>
              </w:rPr>
              <w:t xml:space="preserve">CERRADO</w:t>
            </w:r>
          </w:p>
        </w:tc>
        <w:tc>
          <w:tcPr>
            <w:tcW w:type="dxa" w:w="6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vAlign w:val="center"/>
          </w:tcPr>
          <w:p>
            <w:r>
              <w:rPr>
                <w:rFonts w:ascii="Arial" w:cs="Arial" w:eastAsia="Arial" w:hAnsi="Arial"/>
                <w:b w:val="false"/>
                <w:bCs w:val="false"/>
                <w:color w:val="1C1C1C"/>
                <w:sz w:val="21"/>
                <w:szCs w:val="21"/>
              </w:rPr>
              <w:t xml:space="preserve">Modelo cero erogación viable + métrica de éxito incremental</w:t>
            </w:r>
          </w:p>
        </w:tc>
      </w:tr>
      <w:tr>
        <w:tc>
          <w:tcPr>
            <w:tcW w:type="dxa" w:w="18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vAlign w:val="center"/>
          </w:tcPr>
          <w:p>
            <w:r>
              <w:rPr>
                <w:rFonts w:ascii="Arial" w:cs="Arial" w:eastAsia="Arial" w:hAnsi="Arial"/>
                <w:b/>
                <w:bCs/>
                <w:color w:val="1B3A5C"/>
                <w:sz w:val="21"/>
                <w:szCs w:val="21"/>
              </w:rPr>
              <w:t xml:space="preserve">Bloque 7 — Operaciones</w:t>
            </w:r>
          </w:p>
        </w:tc>
        <w:tc>
          <w:tcPr>
            <w:tcW w:type="dxa" w:w="14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vAlign w:val="center"/>
          </w:tcPr>
          <w:p>
            <w:r>
              <w:rPr>
                <w:rFonts w:ascii="Arial" w:cs="Arial" w:eastAsia="Arial" w:hAnsi="Arial"/>
                <w:b/>
                <w:bCs/>
                <w:color w:val="1A7A4A"/>
                <w:sz w:val="21"/>
                <w:szCs w:val="21"/>
              </w:rPr>
              <w:t xml:space="preserve">CERRADO</w:t>
            </w:r>
          </w:p>
        </w:tc>
        <w:tc>
          <w:tcPr>
            <w:tcW w:type="dxa" w:w="616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vAlign w:val="center"/>
          </w:tcPr>
          <w:p>
            <w:r>
              <w:rPr>
                <w:rFonts w:ascii="Arial" w:cs="Arial" w:eastAsia="Arial" w:hAnsi="Arial"/>
                <w:b w:val="false"/>
                <w:bCs w:val="false"/>
                <w:color w:val="1C1C1C"/>
                <w:sz w:val="21"/>
                <w:szCs w:val="21"/>
              </w:rPr>
              <w:t xml:space="preserve">Asesores integrados a la app + procesos a documentar en paralelo</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980B9" w:sz="1"/>
              <w:left w:val="single" w:color="2980B9" w:sz="12"/>
              <w:bottom w:val="single" w:color="2980B9" w:sz="1"/>
              <w:right w:val="single" w:color="2980B9" w:sz="1"/>
            </w:tcBorders>
            <w:shd w:fill="EBF5FB" w:val="clear"/>
            <w:tcMar>
              <w:top w:type="dxa" w:w="120"/>
              <w:left w:type="dxa" w:w="200"/>
              <w:bottom w:type="dxa" w:w="120"/>
              <w:right w:type="dxa" w:w="200"/>
            </w:tcMar>
          </w:tcPr>
          <w:p>
            <w:pPr>
              <w:spacing w:before="0" w:after="40"/>
            </w:pPr>
            <w:r>
              <w:rPr>
                <w:rFonts w:ascii="Arial" w:cs="Arial" w:eastAsia="Arial" w:hAnsi="Arial"/>
                <w:b/>
                <w:bCs/>
                <w:color w:val="2980B9"/>
                <w:sz w:val="22"/>
                <w:szCs w:val="22"/>
              </w:rPr>
              <w:t xml:space="preserve">PRÓXIMO PASO: PLAN DE IMPLEMENTACIÓN INTEGRADO</w:t>
            </w:r>
          </w:p>
          <w:p>
            <w:pPr>
              <w:spacing w:before="0" w:after="0"/>
            </w:pPr>
            <w:r>
              <w:rPr>
                <w:rFonts w:ascii="Arial" w:cs="Arial" w:eastAsia="Arial" w:hAnsi="Arial"/>
                <w:color w:val="1C1C1C"/>
                <w:sz w:val="22"/>
                <w:szCs w:val="22"/>
              </w:rPr>
              <w:t xml:space="preserve">Con todos los bloques cerrados, el siguiente documento es el Plan de Implementación Integrado: una hoja de ruta ejecutable que consolida todo el diagnóstico en acciones concretas, con responsables, timings y criterios de éxito. Es el documento que convierte el análisis en movimiento.</w:t>
            </w:r>
          </w:p>
        </w:tc>
      </w:tr>
    </w:tbl>
    <w:p>
      <w:pPr>
        <w:spacing w:before="160" w:after="0"/>
      </w:pPr>
      <w:r>
        <w:t xml:space="preserve"/>
      </w:r>
    </w:p>
    <w:p>
      <w:pPr>
        <w:pBdr>
          <w:top w:val="single" w:color="D5D8DC" w:sz="2" w:space="8"/>
        </w:pBdr>
        <w:spacing w:before="120" w:after="40"/>
        <w:jc w:val="center"/>
      </w:pPr>
      <w:r>
        <w:rPr>
          <w:rFonts w:ascii="Arial" w:cs="Arial" w:eastAsia="Arial" w:hAnsi="Arial"/>
          <w:color w:val="888888"/>
          <w:sz w:val="18"/>
          <w:szCs w:val="18"/>
        </w:rPr>
        <w:t xml:space="preserve">Mejora Continua — Diagnóstico Estratégico Confidencial — Revisión Final de Bloques</w:t>
      </w:r>
    </w:p>
    <w:p>
      <w:pPr>
        <w:jc w:val="center"/>
      </w:pPr>
      <w:r>
        <w:rPr>
          <w:rFonts w:ascii="Arial" w:cs="Arial" w:eastAsia="Arial" w:hAnsi="Arial"/>
          <w:color w:val="AAAAAA"/>
          <w:sz w:val="18"/>
          <w:szCs w:val="18"/>
        </w:rPr>
        <w:t xml:space="preserve">Cierre del diagnóstico: 28 de marzo de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C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80"/>
      <w:outlineLvl w:val="1"/>
    </w:pPr>
    <w:rPr>
      <w:rFonts w:ascii="Arial" w:cs="Arial" w:eastAsia="Arial" w:hAnsi="Arial"/>
      <w:b/>
      <w:bCs/>
      <w:color w:val="1B3A5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2026-03-28T14:12:45.020Z</dcterms:created>
  <dcterms:modified xsi:type="dcterms:W3CDTF">2026-03-28T14:12:45.020Z</dcterms:modified>
</cp:coreProperties>
</file>

<file path=docProps/custom.xml><?xml version="1.0" encoding="utf-8"?>
<Properties xmlns="http://schemas.openxmlformats.org/officeDocument/2006/custom-properties" xmlns:vt="http://schemas.openxmlformats.org/officeDocument/2006/docPropsVTypes"/>
</file>