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60"/>
        <w:jc w:val="center"/>
      </w:pPr>
      <w:r>
        <w:rPr>
          <w:rFonts w:ascii="Arial" w:cs="Arial" w:eastAsia="Arial" w:hAnsi="Arial"/>
          <w:b/>
          <w:bCs/>
          <w:color w:val="1B3A5C"/>
          <w:sz w:val="52"/>
          <w:szCs w:val="52"/>
        </w:rPr>
        <w:t xml:space="preserve">MEJORA CONTINUA</w:t>
      </w:r>
    </w:p>
    <w:p>
      <w:pPr>
        <w:spacing w:before="0" w:after="40"/>
        <w:jc w:val="center"/>
      </w:pPr>
      <w:r>
        <w:rPr>
          <w:rFonts w:ascii="Arial" w:cs="Arial" w:eastAsia="Arial" w:hAnsi="Arial"/>
          <w:color w:val="555555"/>
          <w:sz w:val="32"/>
          <w:szCs w:val="32"/>
        </w:rPr>
        <w:t xml:space="preserve">Ecosistema Estratégico</w:t>
      </w:r>
    </w:p>
    <w:p>
      <w:pPr>
        <w:pBdr>
          <w:bottom w:val="single" w:color="C0392B" w:sz="6" w:space="8"/>
        </w:pBdr>
        <w:spacing w:before="0" w:after="120"/>
        <w:jc w:val="center"/>
      </w:pPr>
      <w:r>
        <w:t xml:space="preserve"/>
      </w:r>
    </w:p>
    <w:p>
      <w:pPr>
        <w:spacing w:before="60" w:after="0"/>
      </w:pPr>
      <w:r>
        <w:t xml:space="preserve"/>
      </w:r>
    </w:p>
    <w:p>
      <w:pPr>
        <w:spacing w:before="0" w:after="20"/>
        <w:jc w:val="center"/>
      </w:pPr>
      <w:r>
        <w:rPr>
          <w:rFonts w:ascii="Arial" w:cs="Arial" w:eastAsia="Arial" w:hAnsi="Arial"/>
          <w:b/>
          <w:bCs/>
          <w:color w:val="C0392B"/>
          <w:sz w:val="30"/>
          <w:szCs w:val="30"/>
        </w:rPr>
        <w:t xml:space="preserve">INFORME CORRECTIVO — ESTRATEGIA DE LANZAMIENTO</w:t>
      </w:r>
    </w:p>
    <w:p>
      <w:pPr>
        <w:spacing w:before="0" w:after="20"/>
        <w:jc w:val="center"/>
      </w:pPr>
      <w:r>
        <w:rPr>
          <w:rFonts w:ascii="Arial" w:cs="Arial" w:eastAsia="Arial" w:hAnsi="Arial"/>
          <w:color w:val="555555"/>
          <w:sz w:val="24"/>
          <w:szCs w:val="24"/>
        </w:rPr>
        <w:t xml:space="preserve">Correcciones a Bloques 3 y Complemento de Bloque 1: Activación, Beta y Diferencial Competitivo</w:t>
      </w:r>
    </w:p>
    <w:p>
      <w:pPr>
        <w:spacing w:before="0" w:after="480"/>
        <w:jc w:val="center"/>
      </w:pPr>
      <w:r>
        <w:rPr>
          <w:rFonts w:ascii="Arial" w:cs="Arial" w:eastAsia="Arial" w:hAnsi="Arial"/>
          <w:color w:val="888888"/>
          <w:sz w:val="22"/>
          <w:szCs w:val="22"/>
        </w:rPr>
        <w:t xml:space="preserve">Revisión: 27 de marzo de 2026</w:t>
      </w:r>
    </w:p>
    <w:p>
      <w:pPr>
        <w:pStyle w:val="Heading1"/>
        <w:pBdr>
          <w:bottom w:val="single" w:color="1B3A5C" w:sz="4" w:space="6"/>
        </w:pBdr>
        <w:spacing w:before="360" w:after="120"/>
      </w:pPr>
      <w:r>
        <w:rPr>
          <w:rFonts w:ascii="Arial" w:cs="Arial" w:eastAsia="Arial" w:hAnsi="Arial"/>
          <w:b/>
          <w:bCs/>
          <w:color w:val="1B3A5C"/>
          <w:sz w:val="36"/>
          <w:szCs w:val="36"/>
        </w:rPr>
        <w:t xml:space="preserve">1. El Dato que Cambia Todo</w:t>
      </w:r>
    </w:p>
    <w:p>
      <w:pPr>
        <w:spacing w:before="60" w:after="80"/>
      </w:pPr>
      <w:r>
        <w:rPr>
          <w:rFonts w:ascii="Arial" w:cs="Arial" w:eastAsia="Arial" w:hAnsi="Arial"/>
          <w:color w:val="1C1C1C"/>
          <w:sz w:val="22"/>
          <w:szCs w:val="22"/>
        </w:rPr>
        <w:t xml:space="preserve">El diagnóstico del Bloque 3 asumía que la audiencia llevaba más de 3 meses inactiva y requería un protocolo de reactivación de 3 semanas antes de poder hacer cualquier oferta. Esa lectura era incorrecta.</w:t>
      </w:r>
    </w:p>
    <w:p>
      <w:pPr>
        <w:spacing w:before="60" w:after="80"/>
      </w:pPr>
      <w:r>
        <w:rPr>
          <w:rFonts w:ascii="Arial" w:cs="Arial" w:eastAsia="Arial" w:hAnsi="Arial"/>
          <w:color w:val="1C1C1C"/>
          <w:sz w:val="22"/>
          <w:szCs w:val="22"/>
        </w:rPr>
        <w:t xml:space="preserve">Lo que realmente existe es una comunidad que nunca se cerró del todo: 2 años de after offices con sello propio recorriendo la provincia, un último evento hace menos de 3 meses, y 10 personas concretas e identificadas que son simultáneamente los asistentes habituales y los candidatos beta del relanzamiento.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2"/>
              <w:bottom w:val="single" w:color="1A7A4A" w:sz="1"/>
              <w:right w:val="single" w:color="1A7A4A" w:sz="1"/>
            </w:tcBorders>
            <w:shd w:fill="E8F8F5" w:val="clear"/>
            <w:tcMar>
              <w:top w:type="dxa" w:w="120"/>
              <w:left w:type="dxa" w:w="200"/>
              <w:bottom w:type="dxa" w:w="120"/>
              <w:right w:type="dxa" w:w="200"/>
            </w:tcMar>
          </w:tcPr>
          <w:p>
            <w:pPr>
              <w:spacing w:before="0" w:after="40"/>
            </w:pPr>
            <w:r>
              <w:rPr>
                <w:rFonts w:ascii="Arial" w:cs="Arial" w:eastAsia="Arial" w:hAnsi="Arial"/>
                <w:b/>
                <w:bCs/>
                <w:color w:val="1A7A4A"/>
                <w:sz w:val="22"/>
                <w:szCs w:val="22"/>
              </w:rPr>
              <w:t xml:space="preserve">✅  CAMBIO DE DIAGNÓSTICO CENTRAL</w:t>
            </w:r>
          </w:p>
          <w:p>
            <w:pPr>
              <w:spacing w:before="0" w:after="0"/>
            </w:pPr>
            <w:r>
              <w:rPr>
                <w:rFonts w:ascii="Arial" w:cs="Arial" w:eastAsia="Arial" w:hAnsi="Arial"/>
                <w:color w:val="1C1C1C"/>
                <w:sz w:val="22"/>
                <w:szCs w:val="22"/>
              </w:rPr>
              <w:t xml:space="preserve">Esto no es un lanzamiento. Es una activación. La diferencia es crítica: un lanzamiento construye desde cero, una activación enciende lo que ya existe. El vínculo está caliente, las personas están elegidas, el contexto es compartido. No se necesitan 3 semanas de calentamiento — se puede ir directo a la propuesta en el primer contacto.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2. Correcciones al Bloque 3: Conversión de Audiencia</w:t>
      </w:r>
    </w:p>
    <w:p>
      <w:pPr>
        <w:pStyle w:val="Heading2"/>
        <w:spacing w:before="280" w:after="80"/>
      </w:pPr>
      <w:r>
        <w:rPr>
          <w:rFonts w:ascii="Arial" w:cs="Arial" w:eastAsia="Arial" w:hAnsi="Arial"/>
          <w:b/>
          <w:bCs/>
          <w:color w:val="1B3A5C"/>
          <w:sz w:val="28"/>
          <w:szCs w:val="28"/>
        </w:rPr>
        <w:t xml:space="preserve">2.1 — El estado real de la audiencia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392B" w:sz="1"/>
              <w:left w:val="single" w:color="C0392B" w:sz="1"/>
              <w:bottom w:val="single" w:color="C0392B" w:sz="1"/>
              <w:right w:val="single" w:color="C0392B" w:sz="1"/>
            </w:tcBorders>
            <w:shd w:fill="FDEDEC" w:val="clear"/>
            <w:tcMar>
              <w:top w:type="dxa" w:w="80"/>
              <w:left w:type="dxa" w:w="160"/>
              <w:bottom w:type="dxa" w:w="80"/>
              <w:right w:type="dxa" w:w="120"/>
            </w:tcMar>
          </w:tcPr>
          <w:p>
            <w:pPr>
              <w:spacing w:before="0" w:after="40"/>
            </w:pPr>
            <w:r>
              <w:rPr>
                <w:rFonts w:ascii="Arial" w:cs="Arial" w:eastAsia="Arial" w:hAnsi="Arial"/>
                <w:b/>
                <w:bCs/>
                <w:color w:val="C0392B"/>
                <w:sz w:val="20"/>
                <w:szCs w:val="20"/>
              </w:rPr>
              <w:t xml:space="preserve">✗  Diagnóstico anterior (incorrecto)</w:t>
            </w:r>
          </w:p>
          <w:p>
            <w:r>
              <w:rPr>
                <w:rFonts w:ascii="Arial" w:cs="Arial" w:eastAsia="Arial" w:hAnsi="Arial"/>
                <w:i/>
                <w:iCs/>
                <w:color w:val="666666"/>
                <w:sz w:val="20"/>
                <w:szCs w:val="20"/>
              </w:rPr>
              <w:t xml:space="preserve">Lista de 500–2.000 contactos dormida hace más de 3 meses. Comunicación espontánea sin estrategia. Requiere reactivación gradual de 3 semanas antes de cualquier oferta.</w:t>
            </w:r>
          </w:p>
        </w:tc>
        <w:tc>
          <w:tcPr>
            <w:tcW w:type="dxa" w:w="4680"/>
            <w:tcBorders>
              <w:top w:val="single" w:color="1A7A4A" w:sz="1"/>
              <w:left w:val="single" w:color="1A7A4A" w:sz="1"/>
              <w:bottom w:val="single" w:color="1A7A4A" w:sz="1"/>
              <w:right w:val="single" w:color="1A7A4A" w:sz="1"/>
            </w:tcBorders>
            <w:shd w:fill="EAFAF1" w:val="clear"/>
            <w:tcMar>
              <w:top w:type="dxa" w:w="80"/>
              <w:left w:type="dxa" w:w="160"/>
              <w:bottom w:type="dxa" w:w="80"/>
              <w:right w:type="dxa" w:w="120"/>
            </w:tcMar>
          </w:tcPr>
          <w:p>
            <w:pPr>
              <w:spacing w:before="0" w:after="40"/>
            </w:pPr>
            <w:r>
              <w:rPr>
                <w:rFonts w:ascii="Arial" w:cs="Arial" w:eastAsia="Arial" w:hAnsi="Arial"/>
                <w:b/>
                <w:bCs/>
                <w:color w:val="1A7A4A"/>
                <w:sz w:val="20"/>
                <w:szCs w:val="20"/>
              </w:rPr>
              <w:t xml:space="preserve">✓  Diagnóstico corregido</w:t>
            </w:r>
          </w:p>
          <w:p>
            <w:r>
              <w:rPr>
                <w:rFonts w:ascii="Arial" w:cs="Arial" w:eastAsia="Arial" w:hAnsi="Arial"/>
                <w:color w:val="1C1C1C"/>
                <w:sz w:val="20"/>
                <w:szCs w:val="20"/>
              </w:rPr>
              <w:t xml:space="preserve">Comunidad activa en formato reducido (after offices) durante 2 años. Último evento hace menos de 3 meses. 10 beta members identificados con vínculo caliente y expectativa de relanzamiento.</w:t>
            </w:r>
          </w:p>
        </w:tc>
      </w:tr>
    </w:tbl>
    <w:p>
      <w:pPr>
        <w:spacing w:before="80" w:after="0"/>
      </w:pPr>
      <w:r>
        <w:t xml:space="preserve"/>
      </w:r>
    </w:p>
    <w:p>
      <w:pPr>
        <w:spacing w:before="60" w:after="80"/>
      </w:pPr>
      <w:r>
        <w:rPr>
          <w:rFonts w:ascii="Arial" w:cs="Arial" w:eastAsia="Arial" w:hAnsi="Arial"/>
          <w:color w:val="1C1C1C"/>
          <w:sz w:val="22"/>
          <w:szCs w:val="22"/>
        </w:rPr>
        <w:t xml:space="preserve">La audiencia tiene tres capas diferenciadas que requieren estrategias distintas: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Segmento</w:t>
            </w:r>
          </w:p>
        </w:tc>
        <w:tc>
          <w:tcPr>
            <w:tcW w:type="dxa" w:w="65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Estado y estrategia</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10 beta members identificados</w:t>
            </w:r>
          </w:p>
        </w:tc>
        <w:tc>
          <w:tcPr>
            <w:tcW w:type="dxa" w:w="65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Vínculo activo. Asistentes a los after offices. Conocen el modelo. Ir directo a la invitación beta en la primera semana — sin calentamiento previo.</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50 ex-miembros de la comunidad original</w:t>
            </w:r>
          </w:p>
        </w:tc>
        <w:tc>
          <w:tcPr>
            <w:tcW w:type="dxa" w:w="6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Vínculo histórico sólido. Muchos ya manifestaron querer volver. Invitación directa como Nivel 1 Miembro en semana 2.</w:t>
            </w:r>
          </w:p>
        </w:tc>
      </w:tr>
      <w:tr>
        <w:tc>
          <w:tcPr>
            <w:tcW w:type="dxa" w:w="28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Nuevos interesados que asistieron a after offices</w:t>
            </w:r>
          </w:p>
        </w:tc>
        <w:tc>
          <w:tcPr>
            <w:tcW w:type="dxa" w:w="65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Conocen el formato y el equipo. No conocen la comunidad formal. Invitación a Nivel 0 Free con posibilidad de upgrade.</w:t>
            </w:r>
          </w:p>
        </w:tc>
      </w:tr>
      <w:tr>
        <w:tc>
          <w:tcPr>
            <w:tcW w:type="dxa" w:w="28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Lista general de WhatsApp (500–2.000)</w:t>
            </w:r>
          </w:p>
        </w:tc>
        <w:tc>
          <w:tcPr>
            <w:tcW w:type="dxa" w:w="65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Canal de comunicación amplia. Contenido de valor + anuncio del relanzamiento. Protocolo de conversión estándar.</w:t>
            </w:r>
          </w:p>
        </w:tc>
      </w:tr>
    </w:tbl>
    <w:p>
      <w:pPr>
        <w:spacing w:before="160" w:after="0"/>
      </w:pPr>
      <w:r>
        <w:t xml:space="preserve"/>
      </w:r>
    </w:p>
    <w:p>
      <w:pPr>
        <w:pStyle w:val="Heading2"/>
        <w:spacing w:before="280" w:after="80"/>
      </w:pPr>
      <w:r>
        <w:rPr>
          <w:rFonts w:ascii="Arial" w:cs="Arial" w:eastAsia="Arial" w:hAnsi="Arial"/>
          <w:b/>
          <w:bCs/>
          <w:color w:val="1B3A5C"/>
          <w:sz w:val="28"/>
          <w:szCs w:val="28"/>
        </w:rPr>
        <w:t xml:space="preserve">2.2 — El protocolo de activación revisado</w:t>
      </w:r>
    </w:p>
    <w:p>
      <w:pPr>
        <w:spacing w:before="60" w:after="80"/>
      </w:pPr>
      <w:r>
        <w:rPr>
          <w:rFonts w:ascii="Arial" w:cs="Arial" w:eastAsia="Arial" w:hAnsi="Arial"/>
          <w:color w:val="1C1C1C"/>
          <w:sz w:val="22"/>
          <w:szCs w:val="22"/>
        </w:rPr>
        <w:t xml:space="preserve">Con el vínculo caliente, el protocolo no necesita 3 semanas de calentamiento. Puede comprimirse en 2 semanas con mayor impacto: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60"/>
        <w:gridCol w:w="2600"/>
      </w:tblGrid>
      <w:tr>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Semana</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Foco</w:t>
            </w:r>
          </w:p>
        </w:tc>
        <w:tc>
          <w:tcPr>
            <w:tcW w:type="dxa" w:w="3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Acciones concretas</w:t>
            </w:r>
          </w:p>
        </w:tc>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20"/>
                <w:szCs w:val="20"/>
              </w:rPr>
              <w:t xml:space="preserve">Resultado esperado</w:t>
            </w:r>
          </w:p>
        </w:tc>
      </w:tr>
      <w:tr>
        <w:tc>
          <w:tcPr>
            <w:tcW w:type="dxa" w:w="1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S1</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Invitación beta directa</w:t>
            </w:r>
          </w:p>
        </w:tc>
        <w:tc>
          <w:tcPr>
            <w:tcW w:type="dxa" w:w="35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Contacto personal 1 a 1 con cada uno de los 10 beta members. No es un mensaje masivo — es una conversación. Explicar el relanzamiento, el acceso premium gratuito por 6 meses y el rol de influencer interno.</w:t>
            </w:r>
          </w:p>
        </w:tc>
        <w:tc>
          <w:tcPr>
            <w:tcW w:type="dxa" w:w="26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10 confirmaciones de beta. Fecha del primer encuentro presencial acordada.</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S1</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Anuncio a ex-miembros</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Mensaje directo a los 50 ex-miembros con el anuncio del relanzamiento digital. Invitación a Nivel 1 Miembro. Precio especial de reingreso si corresponde.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20–30 expresiones de interés. 5–10 conversiones a Miembro.</w:t>
            </w:r>
          </w:p>
        </w:tc>
      </w:tr>
      <w:tr>
        <w:tc>
          <w:tcPr>
            <w:tcW w:type="dxa" w:w="1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S2</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Primer encuentro beta presencial</w:t>
            </w:r>
          </w:p>
        </w:tc>
        <w:tc>
          <w:tcPr>
            <w:tcW w:type="dxa" w:w="35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Reunión con los 10 beta members. Mostrar la app en su estado actual (o el stack de contingencia). Definir cómo van a ser los influencers. Recoger feedback del primer uso.</w:t>
            </w:r>
          </w:p>
        </w:tc>
        <w:tc>
          <w:tcPr>
            <w:tcW w:type="dxa" w:w="26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Beta activo. Primeros contenidos generados por el grupo. Primeras referencias a sus contactos.</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S2</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bCs/>
                <w:color w:val="1B3A5C"/>
                <w:sz w:val="20"/>
                <w:szCs w:val="20"/>
              </w:rPr>
              <w:t xml:space="preserve">Apertura a la lista general</w:t>
            </w:r>
          </w:p>
        </w:tc>
        <w:tc>
          <w:tcPr>
            <w:tcW w:type="dxa" w:w="35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Anuncio del relanzamiento a la lista de WhatsApp completa. Invitación a Nivel 0 Free. CTA claro a Nivel 1 para quien quiera más.</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80"/>
            </w:tcMar>
          </w:tcPr>
          <w:p>
            <w:r>
              <w:rPr>
                <w:rFonts w:ascii="Arial" w:cs="Arial" w:eastAsia="Arial" w:hAnsi="Arial"/>
                <w:b w:val="false"/>
                <w:bCs w:val="false"/>
                <w:color w:val="1C1C1C"/>
                <w:sz w:val="20"/>
                <w:szCs w:val="20"/>
              </w:rPr>
              <w:t xml:space="preserve">Primeros 30–50 registros Free. 5–15 upgrades a Miembro.</w:t>
            </w:r>
          </w:p>
        </w:tc>
      </w:tr>
      <w:tr>
        <w:tc>
          <w:tcPr>
            <w:tcW w:type="dxa" w:w="10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S3–S6</w:t>
            </w:r>
          </w:p>
        </w:tc>
        <w:tc>
          <w:tcPr>
            <w:tcW w:type="dxa" w:w="22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bCs/>
                <w:color w:val="1B3A5C"/>
                <w:sz w:val="20"/>
                <w:szCs w:val="20"/>
              </w:rPr>
              <w:t xml:space="preserve">Beta en operación + evento presencial mayor</w:t>
            </w:r>
          </w:p>
        </w:tc>
        <w:tc>
          <w:tcPr>
            <w:tcW w:type="dxa" w:w="356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Los 10 beta members operando como comunidad piloto. Preparación del primer evento abierto (Jornada de Claridad) con los learnings del beta.</w:t>
            </w:r>
          </w:p>
        </w:tc>
        <w:tc>
          <w:tcPr>
            <w:tcW w:type="dxa" w:w="2600"/>
            <w:tcBorders>
              <w:top w:val="single" w:color="D5D8DC" w:sz="1"/>
              <w:left w:val="single" w:color="D5D8DC" w:sz="1"/>
              <w:bottom w:val="single" w:color="D5D8DC" w:sz="1"/>
              <w:right w:val="single" w:color="D5D8DC" w:sz="1"/>
            </w:tcBorders>
            <w:shd w:fill="F2F4F6" w:val="clear"/>
            <w:tcMar>
              <w:top w:type="dxa" w:w="80"/>
              <w:left w:type="dxa" w:w="120"/>
              <w:bottom w:type="dxa" w:w="80"/>
              <w:right w:type="dxa" w:w="80"/>
            </w:tcMar>
          </w:tcPr>
          <w:p>
            <w:r>
              <w:rPr>
                <w:rFonts w:ascii="Arial" w:cs="Arial" w:eastAsia="Arial" w:hAnsi="Arial"/>
                <w:b w:val="false"/>
                <w:bCs w:val="false"/>
                <w:color w:val="1C1C1C"/>
                <w:sz w:val="20"/>
                <w:szCs w:val="20"/>
              </w:rPr>
              <w:t xml:space="preserve">Validación del modelo. Base para el evento presencial con precio correcto.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3. El Beta Revisado: 10 Personas, 90 Días, Un Encuentro Presencial</w:t>
      </w:r>
    </w:p>
    <w:p>
      <w:pPr>
        <w:spacing w:before="60" w:after="80"/>
      </w:pPr>
      <w:r>
        <w:rPr>
          <w:rFonts w:ascii="Arial" w:cs="Arial" w:eastAsia="Arial" w:hAnsi="Arial"/>
          <w:color w:val="1C1C1C"/>
          <w:sz w:val="22"/>
          <w:szCs w:val="22"/>
        </w:rPr>
        <w:t xml:space="preserve">Con 10 personas concretas ya identificadas, el beta tiene parámetros claros que permiten planificarlo con precisión: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Parámetro</w:t>
            </w:r>
          </w:p>
        </w:tc>
        <w:tc>
          <w:tcPr>
            <w:tcW w:type="dxa" w:w="63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Definición</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Cantidad</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10 personas — número que permite un encuentro presencial cómodo y gestión personalizada</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Perfil</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Asistentes habituales a los after offices. Vínculo activo con el equipo. Perfiles curados.</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Acceso</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Premium gratuito por 6 meses — acceso a todo el Nivel 2 incluyendo contenido VIP</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Duración</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90 días de beta activo con evaluación al mes 3. Al mes 6 definen continuidad.</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Rol esperado</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Influencers internos: generar contenido en el Muro, traer referidos, dar feedback real del producto.</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Referidos de los beta</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Ingresan como Nivel 1 Miembro con pago on demand — no acceden al premium gratuito.</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Primer encuentro</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Presencial en la ciudad del fundador. Dentro de los primeros 14 días del lanzamiento.</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Costo para el equipo</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default">Cero en tecnología. Tiempo de moderación y contenido estimado: 3–4 hs semanales.</w:t>
            </w:r>
          </w:p>
        </w:tc>
      </w:tr>
      <w:tr>
        <w:tc>
          <w:tcPr>
            <w:tcW w:type="dxa" w:w="30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Beneficio esperado</w:t>
            </w:r>
          </w:p>
        </w:tc>
        <w:tc>
          <w:tcPr>
            <w:tcW w:type="dxa" w:w="63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Validación del producto, primeras referencias, feedback real para mejorar antes del lanzamiento masivo.</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Conversión proyectada al mes 6</w:t>
            </w:r>
          </w:p>
        </w:tc>
        <w:tc>
          <w:tcPr>
            <w:tcW w:type="dxa" w:w="63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7 de los 10 beta members pasan a pago (70% conversión esperada dado el vínculo previo).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35400" w:sz="1"/>
              <w:left w:val="single" w:color="D35400" w:sz="12"/>
              <w:bottom w:val="single" w:color="D35400" w:sz="1"/>
              <w:right w:val="single" w:color="D35400" w:sz="1"/>
            </w:tcBorders>
            <w:shd w:fill="FEF9E7" w:val="clear"/>
            <w:tcMar>
              <w:top w:type="dxa" w:w="120"/>
              <w:left w:type="dxa" w:w="200"/>
              <w:bottom w:type="dxa" w:w="120"/>
              <w:right w:type="dxa" w:w="200"/>
            </w:tcMar>
          </w:tcPr>
          <w:p>
            <w:pPr>
              <w:spacing w:before="0" w:after="40"/>
            </w:pPr>
            <w:r>
              <w:rPr>
                <w:rFonts w:ascii="Arial" w:cs="Arial" w:eastAsia="Arial" w:hAnsi="Arial"/>
                <w:b/>
                <w:bCs/>
                <w:color w:val="D35400"/>
                <w:sz w:val="22"/>
                <w:szCs w:val="22"/>
              </w:rPr>
              <w:t xml:space="preserve">PUNTO CRÍTICO DEL BETA</w:t>
            </w:r>
          </w:p>
          <w:p>
            <w:pPr>
              <w:spacing w:before="0" w:after="0"/>
            </w:pPr>
            <w:r>
              <w:rPr>
                <w:rFonts w:ascii="Arial" w:cs="Arial" w:eastAsia="Arial" w:hAnsi="Arial"/>
                <w:color w:val="1C1C1C"/>
                <w:sz w:val="22"/>
                <w:szCs w:val="22"/>
              </w:rPr>
              <w:t xml:space="preserve">El beta no es un favor que le hacés a 10 personas — es un contrato implícito. Ellos dan su tiempo, feedback y red de contactos. Vos les dás acceso premium gratuito por 6 meses. Si el equipo no puede sostener una experiencia premium real durante ese período (contenido, encuentros, respuesta al Botón de Emergencia), el beta hace más daño que beneficio. La capacidad de los asesores asociados es el respaldo que hace viable este compromiso.</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4. El Diferencial Competitivo: Construir el Speech que Falta</w:t>
      </w:r>
    </w:p>
    <w:p>
      <w:pPr>
        <w:spacing w:before="60" w:after="80"/>
      </w:pPr>
      <w:r>
        <w:rPr>
          <w:rFonts w:ascii="Arial" w:cs="Arial" w:eastAsia="Arial" w:hAnsi="Arial"/>
          <w:color w:val="1C1C1C"/>
          <w:sz w:val="22"/>
          <w:szCs w:val="22"/>
        </w:rPr>
        <w:t xml:space="preserve">El diferencial frente a REF existe con claridad en la mente del equipo pero todavía no tiene un mensaje construido. Eso es lo que hay que resolver antes del primer contacto con los beta members — porque el speech del relanzamiento es lo que convierte una reunión de after office en una invitación a algo nuevo y mayor.</w:t>
      </w:r>
    </w:p>
    <w:p>
      <w:pPr>
        <w:spacing w:before="60" w:after="0"/>
      </w:pPr>
      <w:r>
        <w:t xml:space="preserve"/>
      </w:r>
    </w:p>
    <w:p>
      <w:pPr>
        <w:spacing w:before="60" w:after="80"/>
      </w:pPr>
      <w:r>
        <w:rPr>
          <w:rFonts w:ascii="Arial" w:cs="Arial" w:eastAsia="Arial" w:hAnsi="Arial"/>
          <w:color w:val="1C1C1C"/>
          <w:sz w:val="22"/>
          <w:szCs w:val="22"/>
        </w:rPr>
        <w:t xml:space="preserve">Los tres ejes del diferencial declarado son: más por menos precio, no elitistas, cercanía. Eso es el núcleo correcto. Pero en la comunicación de lanzamiento esos tres ejes necesitan traducirse a beneficios concretos que el prospecto pueda sentir, no solo entender.</w:t>
      </w:r>
    </w:p>
    <w:p>
      <w:pPr>
        <w:spacing w:before="80" w:after="0"/>
      </w:pPr>
      <w:r>
        <w:t xml:space="preserve"/>
      </w:r>
    </w:p>
    <w:p>
      <w:pPr>
        <w:pStyle w:val="Heading2"/>
        <w:spacing w:before="280" w:after="80"/>
      </w:pPr>
      <w:r>
        <w:rPr>
          <w:rFonts w:ascii="Arial" w:cs="Arial" w:eastAsia="Arial" w:hAnsi="Arial"/>
          <w:b/>
          <w:bCs/>
          <w:color w:val="1B3A5C"/>
          <w:sz w:val="28"/>
          <w:szCs w:val="28"/>
        </w:rPr>
        <w:t xml:space="preserve">4.1 — Comparativa de posicionamiento frente a referentes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404"/>
        <w:gridCol w:w="1404"/>
        <w:gridCol w:w="1404"/>
        <w:gridCol w:w="1404"/>
        <w:gridCol w:w="1404"/>
      </w:tblGrid>
      <w:tr>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Atributo</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TAB</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Vistage</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YPO</w:t>
            </w:r>
          </w:p>
        </w:tc>
        <w:tc>
          <w:tcPr>
            <w:tcBorders>
              <w:top w:val="single" w:color="1B3A5C" w:sz="1"/>
              <w:left w:val="single" w:color="1B3A5C" w:sz="1"/>
              <w:bottom w:val="single" w:color="1B3A5C" w:sz="1"/>
              <w:right w:val="single" w:color="1B3A5C" w:sz="1"/>
            </w:tcBorders>
            <w:shd w:fill="1B3A5C"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REF</w:t>
            </w:r>
          </w:p>
        </w:tc>
        <w:tc>
          <w:tcPr>
            <w:tcBorders>
              <w:top w:val="single" w:color="1B3A5C" w:sz="1"/>
              <w:left w:val="single" w:color="1B3A5C" w:sz="1"/>
              <w:bottom w:val="single" w:color="1B3A5C" w:sz="1"/>
              <w:right w:val="single" w:color="1B3A5C" w:sz="1"/>
            </w:tcBorders>
            <w:shd w:fill="1A7A4A" w:val="clear"/>
            <w:tcMar>
              <w:top w:type="dxa" w:w="80"/>
              <w:left w:type="dxa" w:w="100"/>
              <w:bottom w:type="dxa" w:w="80"/>
              <w:right w:type="dxa" w:w="80"/>
            </w:tcMar>
          </w:tcPr>
          <w:p>
            <w:pPr>
              <w:jc w:val="center"/>
            </w:pPr>
            <w:r>
              <w:rPr>
                <w:rFonts w:ascii="Arial" w:cs="Arial" w:eastAsia="Arial" w:hAnsi="Arial"/>
                <w:b/>
                <w:bCs/>
                <w:color w:val="FFFFFF"/>
                <w:sz w:val="19"/>
                <w:szCs w:val="19"/>
              </w:rPr>
              <w:t xml:space="preserve">Mejora Continua</w:t>
            </w:r>
          </w:p>
        </w:tc>
      </w:tr>
      <w:tr>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left"/>
            </w:pPr>
            <w:r>
              <w:rPr>
                <w:rFonts w:ascii="Arial" w:cs="Arial" w:eastAsia="Arial" w:hAnsi="Arial"/>
                <w:b/>
                <w:bCs/>
                <w:color w:val="1B3A5C"/>
                <w:sz w:val="19"/>
                <w:szCs w:val="19"/>
              </w:rPr>
              <w:t xml:space="preserve">Precio mensual aprox.</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$800–1.500 USD</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$1.500–3.000 USD</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$2.000–4.000 USD</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$1.000–2.500 USD</w:t>
            </w:r>
          </w:p>
        </w:tc>
        <w:tc>
          <w:tcPr>
            <w:tcBorders>
              <w:top w:val="single" w:color="D5D8DC" w:sz="1"/>
              <w:left w:val="single" w:color="D5D8DC" w:sz="1"/>
              <w:bottom w:val="single" w:color="D5D8DC" w:sz="1"/>
              <w:right w:val="single" w:color="D5D8DC" w:sz="1"/>
            </w:tcBorders>
            <w:shd w:fill="EAFAF1" w:val="clear"/>
            <w:tcMar>
              <w:top w:type="dxa" w:w="70"/>
              <w:left w:type="dxa" w:w="100"/>
              <w:bottom w:type="dxa" w:w="70"/>
              <w:right w:type="dxa" w:w="80"/>
            </w:tcMar>
          </w:tcPr>
          <w:p>
            <w:pPr>
              <w:jc w:val="center"/>
            </w:pPr>
            <w:r>
              <w:rPr>
                <w:rFonts w:ascii="Arial" w:cs="Arial" w:eastAsia="Arial" w:hAnsi="Arial"/>
                <w:b/>
                <w:bCs/>
                <w:color w:val="1A7A4A"/>
                <w:sz w:val="19"/>
                <w:szCs w:val="19"/>
              </w:rPr>
              <w:t xml:space="preserve">$18–120 USD</w:t>
            </w:r>
          </w:p>
        </w:tc>
      </w:tr>
      <w:tr>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left"/>
            </w:pPr>
            <w:r>
              <w:rPr>
                <w:rFonts w:ascii="Arial" w:cs="Arial" w:eastAsia="Arial" w:hAnsi="Arial"/>
                <w:b/>
                <w:bCs/>
                <w:color w:val="1B3A5C"/>
                <w:sz w:val="19"/>
                <w:szCs w:val="19"/>
              </w:rPr>
              <w:t xml:space="preserve">Acceso a consultoría 1:1</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Limitado</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Puntual</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No incluido</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No incluido</w:t>
            </w:r>
          </w:p>
        </w:tc>
        <w:tc>
          <w:tcPr>
            <w:tcBorders>
              <w:top w:val="single" w:color="D5D8DC" w:sz="1"/>
              <w:left w:val="single" w:color="D5D8DC" w:sz="1"/>
              <w:bottom w:val="single" w:color="D5D8DC" w:sz="1"/>
              <w:right w:val="single" w:color="D5D8DC" w:sz="1"/>
            </w:tcBorders>
            <w:shd w:fill="EAFAF1" w:val="clear"/>
            <w:tcMar>
              <w:top w:type="dxa" w:w="70"/>
              <w:left w:type="dxa" w:w="100"/>
              <w:bottom w:type="dxa" w:w="70"/>
              <w:right w:type="dxa" w:w="80"/>
            </w:tcMar>
          </w:tcPr>
          <w:p>
            <w:pPr>
              <w:jc w:val="center"/>
            </w:pPr>
            <w:r>
              <w:rPr>
                <w:rFonts w:ascii="Arial" w:cs="Arial" w:eastAsia="Arial" w:hAnsi="Arial"/>
                <w:b/>
                <w:bCs/>
                <w:color w:val="1A7A4A"/>
                <w:sz w:val="19"/>
                <w:szCs w:val="19"/>
              </w:rPr>
              <w:t xml:space="preserve">Incluido en Premium</w:t>
            </w:r>
          </w:p>
        </w:tc>
      </w:tr>
      <w:tr>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left"/>
            </w:pPr>
            <w:r>
              <w:rPr>
                <w:rFonts w:ascii="Arial" w:cs="Arial" w:eastAsia="Arial" w:hAnsi="Arial"/>
                <w:b/>
                <w:bCs/>
                <w:color w:val="1B3A5C"/>
                <w:sz w:val="19"/>
                <w:szCs w:val="19"/>
              </w:rPr>
              <w:t xml:space="preserve">Integración app + comunidad</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No</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Parcial</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No</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No</w:t>
            </w:r>
          </w:p>
        </w:tc>
        <w:tc>
          <w:tcPr>
            <w:tcBorders>
              <w:top w:val="single" w:color="D5D8DC" w:sz="1"/>
              <w:left w:val="single" w:color="D5D8DC" w:sz="1"/>
              <w:bottom w:val="single" w:color="D5D8DC" w:sz="1"/>
              <w:right w:val="single" w:color="D5D8DC" w:sz="1"/>
            </w:tcBorders>
            <w:shd w:fill="EAFAF1" w:val="clear"/>
            <w:tcMar>
              <w:top w:type="dxa" w:w="70"/>
              <w:left w:type="dxa" w:w="100"/>
              <w:bottom w:type="dxa" w:w="70"/>
              <w:right w:type="dxa" w:w="80"/>
            </w:tcMar>
          </w:tcPr>
          <w:p>
            <w:pPr>
              <w:jc w:val="center"/>
            </w:pPr>
            <w:r>
              <w:rPr>
                <w:rFonts w:ascii="Arial" w:cs="Arial" w:eastAsia="Arial" w:hAnsi="Arial"/>
                <w:b/>
                <w:bCs/>
                <w:color w:val="1A7A4A"/>
                <w:sz w:val="19"/>
                <w:szCs w:val="19"/>
              </w:rPr>
              <w:t xml:space="preserve">Sí — nativo</w:t>
            </w:r>
          </w:p>
        </w:tc>
      </w:tr>
      <w:tr>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left"/>
            </w:pPr>
            <w:r>
              <w:rPr>
                <w:rFonts w:ascii="Arial" w:cs="Arial" w:eastAsia="Arial" w:hAnsi="Arial"/>
                <w:b/>
                <w:bCs/>
                <w:color w:val="1B3A5C"/>
                <w:sz w:val="19"/>
                <w:szCs w:val="19"/>
              </w:rPr>
              <w:t xml:space="preserve">Cercanía con el facilitador</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Media</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Baja</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Baja</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Baja</w:t>
            </w:r>
          </w:p>
        </w:tc>
        <w:tc>
          <w:tcPr>
            <w:tcBorders>
              <w:top w:val="single" w:color="D5D8DC" w:sz="1"/>
              <w:left w:val="single" w:color="D5D8DC" w:sz="1"/>
              <w:bottom w:val="single" w:color="D5D8DC" w:sz="1"/>
              <w:right w:val="single" w:color="D5D8DC" w:sz="1"/>
            </w:tcBorders>
            <w:shd w:fill="EAFAF1" w:val="clear"/>
            <w:tcMar>
              <w:top w:type="dxa" w:w="70"/>
              <w:left w:type="dxa" w:w="100"/>
              <w:bottom w:type="dxa" w:w="70"/>
              <w:right w:type="dxa" w:w="80"/>
            </w:tcMar>
          </w:tcPr>
          <w:p>
            <w:pPr>
              <w:jc w:val="center"/>
            </w:pPr>
            <w:r>
              <w:rPr>
                <w:rFonts w:ascii="Arial" w:cs="Arial" w:eastAsia="Arial" w:hAnsi="Arial"/>
                <w:b/>
                <w:bCs/>
                <w:color w:val="1A7A4A"/>
                <w:sz w:val="19"/>
                <w:szCs w:val="19"/>
              </w:rPr>
              <w:t xml:space="preserve">Alta — equipo local</w:t>
            </w:r>
          </w:p>
        </w:tc>
      </w:tr>
      <w:tr>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left"/>
            </w:pPr>
            <w:r>
              <w:rPr>
                <w:rFonts w:ascii="Arial" w:cs="Arial" w:eastAsia="Arial" w:hAnsi="Arial"/>
                <w:b/>
                <w:bCs/>
                <w:color w:val="1B3A5C"/>
                <w:sz w:val="19"/>
                <w:szCs w:val="19"/>
              </w:rPr>
              <w:t xml:space="preserve">Barrera de entrada</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Alta</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Muy alta</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Muy alta</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Muy alta</w:t>
            </w:r>
          </w:p>
        </w:tc>
        <w:tc>
          <w:tcPr>
            <w:tcBorders>
              <w:top w:val="single" w:color="D5D8DC" w:sz="1"/>
              <w:left w:val="single" w:color="D5D8DC" w:sz="1"/>
              <w:bottom w:val="single" w:color="D5D8DC" w:sz="1"/>
              <w:right w:val="single" w:color="D5D8DC" w:sz="1"/>
            </w:tcBorders>
            <w:shd w:fill="EAFAF1" w:val="clear"/>
            <w:tcMar>
              <w:top w:type="dxa" w:w="70"/>
              <w:left w:type="dxa" w:w="100"/>
              <w:bottom w:type="dxa" w:w="70"/>
              <w:right w:type="dxa" w:w="80"/>
            </w:tcMar>
          </w:tcPr>
          <w:p>
            <w:pPr>
              <w:jc w:val="center"/>
            </w:pPr>
            <w:r>
              <w:rPr>
                <w:rFonts w:ascii="Arial" w:cs="Arial" w:eastAsia="Arial" w:hAnsi="Arial"/>
                <w:b/>
                <w:bCs/>
                <w:color w:val="1A7A4A"/>
                <w:sz w:val="19"/>
                <w:szCs w:val="19"/>
              </w:rPr>
              <w:t xml:space="preserve">Baja — acceso escalonado</w:t>
            </w:r>
          </w:p>
        </w:tc>
      </w:tr>
      <w:tr>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left"/>
            </w:pPr>
            <w:r>
              <w:rPr>
                <w:rFonts w:ascii="Arial" w:cs="Arial" w:eastAsia="Arial" w:hAnsi="Arial"/>
                <w:b/>
                <w:bCs/>
                <w:color w:val="1B3A5C"/>
                <w:sz w:val="19"/>
                <w:szCs w:val="19"/>
              </w:rPr>
              <w:t xml:space="preserve">Foco en Latinoamérica</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No</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Parcial</w:t>
            </w:r>
          </w:p>
        </w:tc>
        <w:tc>
          <w:tcPr>
            <w:tcBorders>
              <w:top w:val="single" w:color="D5D8DC" w:sz="1"/>
              <w:left w:val="single" w:color="D5D8DC" w:sz="1"/>
              <w:bottom w:val="single" w:color="D5D8DC" w:sz="1"/>
              <w:right w:val="single" w:color="D5D8DC" w:sz="1"/>
            </w:tcBorders>
            <w:shd w:fill="FFFFFF"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Sí</w:t>
            </w:r>
          </w:p>
        </w:tc>
        <w:tc>
          <w:tcPr>
            <w:tcBorders>
              <w:top w:val="single" w:color="D5D8DC" w:sz="1"/>
              <w:left w:val="single" w:color="D5D8DC" w:sz="1"/>
              <w:bottom w:val="single" w:color="D5D8DC" w:sz="1"/>
              <w:right w:val="single" w:color="D5D8DC" w:sz="1"/>
            </w:tcBorders>
            <w:shd w:fill="EAFAF1" w:val="clear"/>
            <w:tcMar>
              <w:top w:type="dxa" w:w="70"/>
              <w:left w:type="dxa" w:w="100"/>
              <w:bottom w:type="dxa" w:w="70"/>
              <w:right w:type="dxa" w:w="80"/>
            </w:tcMar>
          </w:tcPr>
          <w:p>
            <w:pPr>
              <w:jc w:val="center"/>
            </w:pPr>
            <w:r>
              <w:rPr>
                <w:rFonts w:ascii="Arial" w:cs="Arial" w:eastAsia="Arial" w:hAnsi="Arial"/>
                <w:b/>
                <w:bCs/>
                <w:color w:val="1A7A4A"/>
                <w:sz w:val="19"/>
                <w:szCs w:val="19"/>
              </w:rPr>
              <w:t xml:space="preserve">Sí — origen regional</w:t>
            </w:r>
          </w:p>
        </w:tc>
      </w:tr>
      <w:tr>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left"/>
            </w:pPr>
            <w:r>
              <w:rPr>
                <w:rFonts w:ascii="Arial" w:cs="Arial" w:eastAsia="Arial" w:hAnsi="Arial"/>
                <w:b/>
                <w:bCs/>
                <w:color w:val="1B3A5C"/>
                <w:sz w:val="19"/>
                <w:szCs w:val="19"/>
              </w:rPr>
              <w:t xml:space="preserve">Consultoría integrada al modelo</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No</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No</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No</w:t>
            </w:r>
          </w:p>
        </w:tc>
        <w:tc>
          <w:tcPr>
            <w:tcBorders>
              <w:top w:val="single" w:color="D5D8DC" w:sz="1"/>
              <w:left w:val="single" w:color="D5D8DC" w:sz="1"/>
              <w:bottom w:val="single" w:color="D5D8DC" w:sz="1"/>
              <w:right w:val="single" w:color="D5D8DC" w:sz="1"/>
            </w:tcBorders>
            <w:shd w:fill="F2F4F6" w:val="clear"/>
            <w:tcMar>
              <w:top w:type="dxa" w:w="70"/>
              <w:left w:type="dxa" w:w="100"/>
              <w:bottom w:type="dxa" w:w="70"/>
              <w:right w:type="dxa" w:w="80"/>
            </w:tcMar>
          </w:tcPr>
          <w:p>
            <w:pPr>
              <w:jc w:val="center"/>
            </w:pPr>
            <w:r>
              <w:rPr>
                <w:rFonts w:ascii="Arial" w:cs="Arial" w:eastAsia="Arial" w:hAnsi="Arial"/>
                <w:b w:val="false"/>
                <w:bCs w:val="false"/>
                <w:color w:val="1C1C1C"/>
                <w:sz w:val="19"/>
                <w:szCs w:val="19"/>
              </w:rPr>
              <w:t xml:space="preserve">No</w:t>
            </w:r>
          </w:p>
        </w:tc>
        <w:tc>
          <w:tcPr>
            <w:tcBorders>
              <w:top w:val="single" w:color="D5D8DC" w:sz="1"/>
              <w:left w:val="single" w:color="D5D8DC" w:sz="1"/>
              <w:bottom w:val="single" w:color="D5D8DC" w:sz="1"/>
              <w:right w:val="single" w:color="D5D8DC" w:sz="1"/>
            </w:tcBorders>
            <w:shd w:fill="EAFAF1" w:val="clear"/>
            <w:tcMar>
              <w:top w:type="dxa" w:w="70"/>
              <w:left w:type="dxa" w:w="100"/>
              <w:bottom w:type="dxa" w:w="70"/>
              <w:right w:type="dxa" w:w="80"/>
            </w:tcMar>
          </w:tcPr>
          <w:p>
            <w:pPr>
              <w:jc w:val="center"/>
            </w:pPr>
            <w:r>
              <w:rPr>
                <w:rFonts w:ascii="Arial" w:cs="Arial" w:eastAsia="Arial" w:hAnsi="Arial"/>
                <w:b/>
                <w:bCs/>
                <w:color w:val="1A7A4A"/>
                <w:sz w:val="19"/>
                <w:szCs w:val="19"/>
              </w:rPr>
              <w:t xml:space="preserve">Sí — único prestador</w:t>
            </w:r>
          </w:p>
        </w:tc>
      </w:tr>
    </w:tbl>
    <w:p>
      <w:pPr>
        <w:spacing w:before="160" w:after="0"/>
      </w:pPr>
      <w:r>
        <w:t xml:space="preserve"/>
      </w:r>
    </w:p>
    <w:p>
      <w:pPr>
        <w:pStyle w:val="Heading2"/>
        <w:spacing w:before="280" w:after="80"/>
      </w:pPr>
      <w:r>
        <w:rPr>
          <w:rFonts w:ascii="Arial" w:cs="Arial" w:eastAsia="Arial" w:hAnsi="Arial"/>
          <w:b/>
          <w:bCs/>
          <w:color w:val="1B3A5C"/>
          <w:sz w:val="28"/>
          <w:szCs w:val="28"/>
        </w:rPr>
        <w:t xml:space="preserve">4.2 — El speech del relanzamiento: tres versiones según contexto</w:t>
      </w:r>
    </w:p>
    <w:p>
      <w:pPr>
        <w:spacing w:before="60" w:after="80"/>
      </w:pPr>
      <w:r>
        <w:rPr>
          <w:rFonts w:ascii="Arial" w:cs="Arial" w:eastAsia="Arial" w:hAnsi="Arial"/>
          <w:color w:val="1C1C1C"/>
          <w:sz w:val="22"/>
          <w:szCs w:val="22"/>
        </w:rPr>
        <w:t xml:space="preserve">El mensaje debe poder decirse en 30 segundos, en 2 minutos y en 10 minutos. Estas son las tres versiones base que el equipo debe adaptar con su voz propia:</w:t>
      </w:r>
    </w:p>
    <w:p>
      <w:pPr>
        <w:spacing w:before="80" w:after="0"/>
      </w:pPr>
      <w:r>
        <w:t xml:space="preserve"/>
      </w:r>
    </w:p>
    <w:p>
      <w:pPr>
        <w:spacing w:before="200" w:after="60"/>
      </w:pPr>
      <w:r>
        <w:rPr>
          <w:rFonts w:ascii="Arial" w:cs="Arial" w:eastAsia="Arial" w:hAnsi="Arial"/>
          <w:b/>
          <w:bCs/>
          <w:color w:val="D35400"/>
          <w:sz w:val="24"/>
          <w:szCs w:val="24"/>
        </w:rPr>
        <w:t xml:space="preserve">Versión 30 segundos — para el primer contacto con un beta member: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8F9FA" w:val="clear"/>
            <w:tcMar>
              <w:top w:type="dxa" w:w="160"/>
              <w:left w:type="dxa" w:w="240"/>
              <w:bottom w:type="dxa" w:w="160"/>
              <w:right w:type="dxa" w:w="240"/>
            </w:tcMar>
          </w:tcPr>
          <w:p>
            <w:pPr>
              <w:spacing w:before="0" w:after="60"/>
            </w:pPr>
            <w:r>
              <w:rPr>
                <w:rFonts w:ascii="Arial" w:cs="Arial" w:eastAsia="Arial" w:hAnsi="Arial"/>
                <w:b/>
                <w:bCs/>
                <w:color w:val="555555"/>
                <w:sz w:val="20"/>
                <w:szCs w:val="20"/>
              </w:rPr>
              <w:t xml:space="preserve">Speech de 30 segundos (invitación beta):</w:t>
            </w:r>
          </w:p>
          <w:p>
            <w:pPr>
              <w:spacing w:before="0" w:after="0"/>
            </w:pPr>
            <w:r>
              <w:rPr>
                <w:rFonts w:ascii="Arial" w:cs="Arial" w:eastAsia="Arial" w:hAnsi="Arial"/>
                <w:i/>
                <w:iCs/>
                <w:color w:val="1C1C1C"/>
                <w:sz w:val="22"/>
                <w:szCs w:val="22"/>
              </w:rPr>
              <w:t xml:space="preserve">Volvimos. Mejora Continua vuelve con todo lo que funcionó antes y con lo que no teníamos: una app, IA, y un modelo que no te pide que seas millonario para pertenecer. Necesito que seas parte del grupo que la estrena. Six meses de acceso premium gratis, a cambio de tu feedback y de que lo cuentes si te sirve. ¿Estás?</w:t>
            </w:r>
          </w:p>
        </w:tc>
      </w:tr>
    </w:tbl>
    <w:p>
      <w:pPr>
        <w:spacing w:before="80" w:after="0"/>
      </w:pPr>
      <w:r>
        <w:t xml:space="preserve"/>
      </w:r>
    </w:p>
    <w:p>
      <w:pPr>
        <w:spacing w:before="200" w:after="60"/>
      </w:pPr>
      <w:r>
        <w:rPr>
          <w:rFonts w:ascii="Arial" w:cs="Arial" w:eastAsia="Arial" w:hAnsi="Arial"/>
          <w:b/>
          <w:bCs/>
          <w:color w:val="D35400"/>
          <w:sz w:val="24"/>
          <w:szCs w:val="24"/>
        </w:rPr>
        <w:t xml:space="preserve">Versión 2 minutos — para una conversación en el after office o por WhatsApp:</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F8F9FA" w:val="clear"/>
            <w:tcMar>
              <w:top w:type="dxa" w:w="160"/>
              <w:left w:type="dxa" w:w="240"/>
              <w:bottom w:type="dxa" w:w="160"/>
              <w:right w:type="dxa" w:w="240"/>
            </w:tcMar>
          </w:tcPr>
          <w:p>
            <w:pPr>
              <w:spacing w:before="0" w:after="60"/>
            </w:pPr>
            <w:r>
              <w:rPr>
                <w:rFonts w:ascii="Arial" w:cs="Arial" w:eastAsia="Arial" w:hAnsi="Arial"/>
                <w:b/>
                <w:bCs/>
                <w:color w:val="555555"/>
                <w:sz w:val="20"/>
                <w:szCs w:val="20"/>
              </w:rPr>
              <w:t xml:space="preserve">Speech de 2 minutos (conversación directa):</w:t>
            </w:r>
          </w:p>
          <w:p>
            <w:pPr>
              <w:spacing w:before="0" w:after="0"/>
            </w:pPr>
            <w:r>
              <w:rPr>
                <w:rFonts w:ascii="Arial" w:cs="Arial" w:eastAsia="Arial" w:hAnsi="Arial"/>
                <w:i/>
                <w:iCs/>
                <w:color w:val="1C1C1C"/>
                <w:sz w:val="22"/>
                <w:szCs w:val="22"/>
              </w:rPr>
              <w:t xml:space="preserve">Hace años creamos una comunidad de negocios que llegó a tener 50 miembros. Funcionó. Tan bien que todavía nos piden que vuelva. El problema era que no teníamos la tecnología para sostenerla: sin app, sin IA, sin forma de que la comunidad viviera en tu bolsillo todos los días. Hoy eso cambió. Relanzamos Mejora Continua como un ecosistema digital: una app con comunidad de pares, contenido, eventos y acceso a nuestra consultoría cuando la necesitás. No es Vistage ni YPO — esos son para otro nivel de bolsillo y de ego. Nosotros somos para el líder que quiere criterio externo real, sin humo y sin pagar una fortuna. Empezamos con 10 personas. Querés ser una de ellas.</w:t>
            </w:r>
          </w:p>
        </w:tc>
      </w:tr>
    </w:tbl>
    <w:p>
      <w:pPr>
        <w:spacing w:before="80" w:after="0"/>
      </w:pPr>
      <w:r>
        <w:t xml:space="preserve"/>
      </w:r>
    </w:p>
    <w:p>
      <w:pPr>
        <w:spacing w:before="200" w:after="60"/>
      </w:pPr>
      <w:r>
        <w:rPr>
          <w:rFonts w:ascii="Arial" w:cs="Arial" w:eastAsia="Arial" w:hAnsi="Arial"/>
          <w:b/>
          <w:bCs/>
          <w:color w:val="D35400"/>
          <w:sz w:val="24"/>
          <w:szCs w:val="24"/>
        </w:rPr>
        <w:t xml:space="preserve">Versión 10 minutos — para una presentación formal o evento:</w:t>
      </w:r>
    </w:p>
    <w:p>
      <w:pPr>
        <w:spacing w:before="60" w:after="80"/>
      </w:pPr>
      <w:r>
        <w:rPr>
          <w:rFonts w:ascii="Arial" w:cs="Arial" w:eastAsia="Arial" w:hAnsi="Arial"/>
          <w:color w:val="1C1C1C"/>
          <w:sz w:val="22"/>
          <w:szCs w:val="22"/>
        </w:rPr>
        <w:t xml:space="preserve">Esta versión se construye sobre la siguiente estructura narrativa. No es un guión cerrado — es un mapa de puntos que el equipo desarrolla con su voz:</w:t>
      </w:r>
    </w:p>
    <w:p>
      <w:pPr>
        <w:spacing w:before="40" w:after="0"/>
      </w:pPr>
      <w:r>
        <w:t xml:space="preserve"/>
      </w:r>
    </w:p>
    <w:p>
      <w:pPr>
        <w:pStyle w:val="ListParagraph"/>
        <w:numPr>
          <w:ilvl w:val="0"/>
          <w:numId w:val="2"/>
        </w:numPr>
        <w:spacing w:before="40" w:after="40"/>
      </w:pPr>
      <w:r>
        <w:rPr>
          <w:rFonts w:ascii="Arial" w:cs="Arial" w:eastAsia="Arial" w:hAnsi="Arial"/>
          <w:color w:val="1C1C1C"/>
          <w:sz w:val="22"/>
          <w:szCs w:val="22"/>
        </w:rPr>
        <w:t xml:space="preserve">Punto de dolor compartido: 'El líder de hoy tiene más información que nunca y menos claridad que nunca.'</w:t>
      </w:r>
    </w:p>
    <w:p>
      <w:pPr>
        <w:pStyle w:val="ListParagraph"/>
        <w:numPr>
          <w:ilvl w:val="0"/>
          <w:numId w:val="2"/>
        </w:numPr>
        <w:spacing w:before="40" w:after="40"/>
      </w:pPr>
      <w:r>
        <w:rPr>
          <w:rFonts w:ascii="Arial" w:cs="Arial" w:eastAsia="Arial" w:hAnsi="Arial"/>
          <w:color w:val="1C1C1C"/>
          <w:sz w:val="22"/>
          <w:szCs w:val="22"/>
        </w:rPr>
        <w:t xml:space="preserve">La historia de lo que ya existió: '50 miembros. 3 años. Una comunidad que todavía reclaman. El problema era la tecnología.'</w:t>
      </w:r>
    </w:p>
    <w:p>
      <w:pPr>
        <w:pStyle w:val="ListParagraph"/>
        <w:numPr>
          <w:ilvl w:val="0"/>
          <w:numId w:val="2"/>
        </w:numPr>
        <w:spacing w:before="40" w:after="40"/>
      </w:pPr>
      <w:r>
        <w:rPr>
          <w:rFonts w:ascii="Arial" w:cs="Arial" w:eastAsia="Arial" w:hAnsi="Arial"/>
          <w:color w:val="1C1C1C"/>
          <w:sz w:val="22"/>
          <w:szCs w:val="22"/>
        </w:rPr>
        <w:t xml:space="preserve">Por qué ahora es el momento: 'La IA y las herramientas de hoy nos permiten hacer lo que antes era imposible.'</w:t>
      </w:r>
    </w:p>
    <w:p>
      <w:pPr>
        <w:pStyle w:val="ListParagraph"/>
        <w:numPr>
          <w:ilvl w:val="0"/>
          <w:numId w:val="2"/>
        </w:numPr>
        <w:spacing w:before="40" w:after="40"/>
      </w:pPr>
      <w:r>
        <w:rPr>
          <w:rFonts w:ascii="Arial" w:cs="Arial" w:eastAsia="Arial" w:hAnsi="Arial"/>
          <w:color w:val="1C1C1C"/>
          <w:sz w:val="22"/>
          <w:szCs w:val="22"/>
        </w:rPr>
        <w:t xml:space="preserve">Qué es exactamente Mejora Continua: 'Una comunidad de negocios digital con tres niveles de pertenencia, una app en tu celular y acceso real a consultoría cuando la necesitás.'</w:t>
      </w:r>
    </w:p>
    <w:p>
      <w:pPr>
        <w:pStyle w:val="ListParagraph"/>
        <w:numPr>
          <w:ilvl w:val="0"/>
          <w:numId w:val="2"/>
        </w:numPr>
        <w:spacing w:before="40" w:after="40"/>
      </w:pPr>
      <w:r>
        <w:rPr>
          <w:rFonts w:ascii="Arial" w:cs="Arial" w:eastAsia="Arial" w:hAnsi="Arial"/>
          <w:color w:val="1C1C1C"/>
          <w:sz w:val="22"/>
          <w:szCs w:val="22"/>
        </w:rPr>
        <w:t xml:space="preserve">El diferencial concreto: 'No somos Vistage. No somos REF. Somos más accesibles, más cercanos y los únicos que integramos la consultoría al modelo de comunidad.'</w:t>
      </w:r>
    </w:p>
    <w:p>
      <w:pPr>
        <w:pStyle w:val="ListParagraph"/>
        <w:numPr>
          <w:ilvl w:val="0"/>
          <w:numId w:val="2"/>
        </w:numPr>
        <w:spacing w:before="40" w:after="40"/>
      </w:pPr>
      <w:r>
        <w:rPr>
          <w:rFonts w:ascii="Arial" w:cs="Arial" w:eastAsia="Arial" w:hAnsi="Arial"/>
          <w:color w:val="1C1C1C"/>
          <w:sz w:val="22"/>
          <w:szCs w:val="22"/>
        </w:rPr>
        <w:t xml:space="preserve">La invitación: 'Arrancamos con 10 personas que van a estrenar esto con nosotros. Gratis por 6 meses. A cambio de su feedback y su red.'</w:t>
      </w:r>
    </w:p>
    <w:p>
      <w:pPr>
        <w:spacing w:before="160" w:after="0"/>
      </w:pPr>
      <w:r>
        <w:t xml:space="preserve"/>
      </w:r>
    </w:p>
    <w:p>
      <w:pPr>
        <w:pStyle w:val="Heading2"/>
        <w:spacing w:before="280" w:after="80"/>
      </w:pPr>
      <w:r>
        <w:rPr>
          <w:rFonts w:ascii="Arial" w:cs="Arial" w:eastAsia="Arial" w:hAnsi="Arial"/>
          <w:b/>
          <w:bCs/>
          <w:color w:val="1B3A5C"/>
          <w:sz w:val="28"/>
          <w:szCs w:val="28"/>
        </w:rPr>
        <w:t xml:space="preserve">4.3 — Lo que el diferencial NO debe decir</w:t>
      </w:r>
    </w:p>
    <w:p>
      <w:pPr>
        <w:spacing w:before="60" w:after="80"/>
      </w:pPr>
      <w:r>
        <w:rPr>
          <w:rFonts w:ascii="Arial" w:cs="Arial" w:eastAsia="Arial" w:hAnsi="Arial"/>
          <w:color w:val="1C1C1C"/>
          <w:sz w:val="22"/>
          <w:szCs w:val="22"/>
        </w:rPr>
        <w:t xml:space="preserve">Tan importante como construir el mensaje correcto es evitar los errores que lo debilitan. Estos son los tres que hay que eliminar del speech: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Situación</w:t>
            </w:r>
          </w:p>
        </w:tc>
        <w:tc>
          <w:tcPr>
            <w:tcW w:type="dxa" w:w="34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Sin diferencial claro (antes)</w:t>
            </w:r>
          </w:p>
        </w:tc>
        <w:tc>
          <w:tcPr>
            <w:tcW w:type="dxa" w:w="348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80"/>
            </w:tcMar>
          </w:tcPr>
          <w:p>
            <w:r>
              <w:rPr>
                <w:rFonts w:ascii="Arial" w:cs="Arial" w:eastAsia="Arial" w:hAnsi="Arial"/>
                <w:b/>
                <w:bCs/>
                <w:color w:val="FFFFFF"/>
                <w:sz w:val="20"/>
                <w:szCs w:val="20"/>
              </w:rPr>
              <w:t xml:space="preserve">Con diferencial REF (ahora)</w:t>
            </w:r>
          </w:p>
        </w:tc>
      </w:tr>
      <w:tr>
        <w:tc>
          <w:tcPr>
            <w:tcW w:type="dxa" w:w="2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Al describir el precio</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i/>
                <w:iCs/>
                <w:color w:val="888888"/>
                <w:sz w:val="20"/>
                <w:szCs w:val="20"/>
              </w:rPr>
              <w:t xml:space="preserve">'Somos más baratos que REF'</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C1C1C"/>
                <w:sz w:val="20"/>
                <w:szCs w:val="20"/>
              </w:rPr>
              <w:t xml:space="preserve">'Accedés a más por lo que vale un café al día'</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B3A5C"/>
                <w:sz w:val="20"/>
                <w:szCs w:val="20"/>
              </w:rPr>
              <w:t xml:space="preserve">Al describir el modelo</w:t>
            </w:r>
          </w:p>
        </w:tc>
        <w:tc>
          <w:tcPr>
            <w:tcW w:type="dxa" w:w="34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i/>
                <w:iCs/>
                <w:color w:val="888888"/>
                <w:sz w:val="20"/>
                <w:szCs w:val="20"/>
              </w:rPr>
              <w:t xml:space="preserve">'Somos una comunidad de negocios'</w:t>
            </w:r>
          </w:p>
        </w:tc>
        <w:tc>
          <w:tcPr>
            <w:tcW w:type="dxa" w:w="3480"/>
            <w:tcBorders>
              <w:top w:val="single" w:color="D5D8DC" w:sz="1"/>
              <w:left w:val="single" w:color="D5D8DC" w:sz="1"/>
              <w:bottom w:val="single" w:color="D5D8DC" w:sz="1"/>
              <w:right w:val="single" w:color="D5D8DC" w:sz="1"/>
            </w:tcBorders>
            <w:shd w:fill="FFFFFF" w:val="clear"/>
            <w:tcMar>
              <w:top w:type="dxa" w:w="80"/>
              <w:left w:type="dxa" w:w="140"/>
              <w:bottom w:type="dxa" w:w="80"/>
              <w:right w:type="dxa" w:w="80"/>
            </w:tcMar>
          </w:tcPr>
          <w:p>
            <w:r>
              <w:rPr>
                <w:rFonts w:ascii="Arial" w:cs="Arial" w:eastAsia="Arial" w:hAnsi="Arial"/>
                <w:b/>
                <w:bCs/>
                <w:color w:val="1C1C1C"/>
                <w:sz w:val="20"/>
                <w:szCs w:val="20"/>
              </w:rPr>
              <w:t xml:space="preserve">'Somos tu criterio externo permanente — en el bolsillo'</w:t>
            </w:r>
          </w:p>
        </w:tc>
      </w:tr>
      <w:tr>
        <w:tc>
          <w:tcPr>
            <w:tcW w:type="dxa" w:w="240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B3A5C"/>
                <w:sz w:val="20"/>
                <w:szCs w:val="20"/>
              </w:rPr>
              <w:t xml:space="preserve">Al describir el diferencial</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i/>
                <w:iCs/>
                <w:color w:val="888888"/>
                <w:sz w:val="20"/>
                <w:szCs w:val="20"/>
              </w:rPr>
              <w:t xml:space="preserve">'No somos elitistas como los otros'</w:t>
            </w:r>
          </w:p>
        </w:tc>
        <w:tc>
          <w:tcPr>
            <w:tcW w:type="dxa" w:w="3480"/>
            <w:tcBorders>
              <w:top w:val="single" w:color="D5D8DC" w:sz="1"/>
              <w:left w:val="single" w:color="D5D8DC" w:sz="1"/>
              <w:bottom w:val="single" w:color="D5D8DC" w:sz="1"/>
              <w:right w:val="single" w:color="D5D8DC" w:sz="1"/>
            </w:tcBorders>
            <w:shd w:fill="F2F4F6" w:val="clear"/>
            <w:tcMar>
              <w:top w:type="dxa" w:w="80"/>
              <w:left w:type="dxa" w:w="140"/>
              <w:bottom w:type="dxa" w:w="80"/>
              <w:right w:type="dxa" w:w="80"/>
            </w:tcMar>
          </w:tcPr>
          <w:p>
            <w:r>
              <w:rPr>
                <w:rFonts w:ascii="Arial" w:cs="Arial" w:eastAsia="Arial" w:hAnsi="Arial"/>
                <w:b/>
                <w:bCs/>
                <w:color w:val="1C1C1C"/>
                <w:sz w:val="20"/>
                <w:szCs w:val="20"/>
              </w:rPr>
              <w:t xml:space="preserve">'Creamos esto para los que hacen, no para los que figuran'</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5. Plan de Activación Corregido: Próximas 4 Semanas</w:t>
      </w:r>
    </w:p>
    <w:p>
      <w:pPr>
        <w:spacing w:before="60" w:after="80"/>
      </w:pPr>
      <w:r>
        <w:rPr>
          <w:rFonts w:ascii="Arial" w:cs="Arial" w:eastAsia="Arial" w:hAnsi="Arial"/>
          <w:color w:val="1C1C1C"/>
          <w:sz w:val="22"/>
          <w:szCs w:val="22"/>
        </w:rPr>
        <w:t xml:space="preserve">Con todas las correcciones integradas, el plan de las próximas 4 semanas es más directo y más agresivo que el original: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Acción</w:t>
            </w:r>
          </w:p>
        </w:tc>
        <w:tc>
          <w:tcPr>
            <w:tcW w:type="dxa" w:w="41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Timing y responsable</w:t>
            </w:r>
          </w:p>
        </w:tc>
      </w:tr>
      <w:tr>
        <w:tc>
          <w:tcPr>
            <w:tcW w:type="dxa" w:w="5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Construir y ensayar el speech de 30 segundos y 2 minutos</w:t>
            </w:r>
          </w:p>
        </w:tc>
        <w:tc>
          <w:tcPr>
            <w:tcW w:type="dxa" w:w="4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default">Esta semana. Ambos socios. Cada uno con su voz.</w:t>
            </w:r>
          </w:p>
        </w:tc>
      </w:tr>
      <w:tr>
        <w:tc>
          <w:tcPr>
            <w:tcW w:type="dxa" w:w="5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Contacto 1 a 1 con los 10 beta members — invitación directa</w:t>
            </w:r>
          </w:p>
        </w:tc>
        <w:tc>
          <w:tcPr>
            <w:tcW w:type="dxa" w:w="4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default">Esta semana. Sin mensaje masivo. Sin esperar.</w:t>
            </w:r>
          </w:p>
        </w:tc>
      </w:tr>
      <w:tr>
        <w:tc>
          <w:tcPr>
            <w:tcW w:type="dxa" w:w="5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Acordar fecha del primer encuentro presencial beta</w:t>
            </w:r>
          </w:p>
        </w:tc>
        <w:tc>
          <w:tcPr>
            <w:tcW w:type="dxa" w:w="4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Dentro de los primeros 14 días. Lugar: ciudad del fundador.</w:t>
            </w:r>
          </w:p>
        </w:tc>
      </w:tr>
      <w:tr>
        <w:tc>
          <w:tcPr>
            <w:tcW w:type="dxa" w:w="5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Mensaje directo a los 50 ex-miembros — anuncio de relanzamiento</w:t>
            </w:r>
          </w:p>
        </w:tc>
        <w:tc>
          <w:tcPr>
            <w:tcW w:type="dxa" w:w="4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Semana 1–2. Oferta de reingreso como Nivel 1.</w:t>
            </w:r>
          </w:p>
        </w:tc>
      </w:tr>
      <w:tr>
        <w:tc>
          <w:tcPr>
            <w:tcW w:type="dxa" w:w="5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Definir el protocolo del primer encuentro presencial beta</w:t>
            </w:r>
          </w:p>
        </w:tc>
        <w:tc>
          <w:tcPr>
            <w:tcW w:type="dxa" w:w="4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Antes del encuentro. Agenda, dinámica, entregable del día.</w:t>
            </w:r>
          </w:p>
        </w:tc>
      </w:tr>
      <w:tr>
        <w:tc>
          <w:tcPr>
            <w:tcW w:type="dxa" w:w="5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Formalizar las reglas del beta por escrito</w:t>
            </w:r>
          </w:p>
        </w:tc>
        <w:tc>
          <w:tcPr>
            <w:tcW w:type="dxa" w:w="4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Antes del primer encuentro. Qué reciben, qué se espera de ellos, qué pasa al mes 6.</w:t>
            </w:r>
          </w:p>
        </w:tc>
      </w:tr>
      <w:tr>
        <w:tc>
          <w:tcPr>
            <w:tcW w:type="dxa" w:w="5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Lanzar anuncio a la lista general de WhatsApp</w:t>
            </w:r>
          </w:p>
        </w:tc>
        <w:tc>
          <w:tcPr>
            <w:tcW w:type="dxa" w:w="4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preserve">Semana 2. Después de tener los 10 beta confirmados.</w:t>
            </w:r>
          </w:p>
        </w:tc>
      </w:tr>
      <w:tr>
        <w:tc>
          <w:tcPr>
            <w:tcW w:type="dxa" w:w="5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Preparar onboarding del primer miembro pago</w:t>
            </w:r>
          </w:p>
        </w:tc>
        <w:tc>
          <w:tcPr>
            <w:tcW w:type="dxa" w:w="4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preserve">Semana 2–3. El primer miembro que pague no puede tener una experiencia improvisada.</w:t>
            </w:r>
          </w:p>
        </w:tc>
      </w:tr>
    </w:tbl>
    <w:p>
      <w:pPr>
        <w:spacing w:before="160" w:after="0"/>
      </w:pPr>
      <w:r>
        <w:t xml:space="preserve"/>
      </w:r>
    </w:p>
    <w:p>
      <w:pPr>
        <w:pStyle w:val="Heading1"/>
        <w:pBdr>
          <w:bottom w:val="single" w:color="1B3A5C" w:sz="4" w:space="6"/>
        </w:pBdr>
        <w:spacing w:before="360" w:after="120"/>
      </w:pPr>
      <w:r>
        <w:rPr>
          <w:rFonts w:ascii="Arial" w:cs="Arial" w:eastAsia="Arial" w:hAnsi="Arial"/>
          <w:b/>
          <w:bCs/>
          <w:color w:val="1B3A5C"/>
          <w:sz w:val="36"/>
          <w:szCs w:val="36"/>
        </w:rPr>
        <w:t xml:space="preserve">6. Síntesis: Lo que Este Informe Corrige y Confirma</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Punto</w:t>
            </w:r>
          </w:p>
        </w:tc>
        <w:tc>
          <w:tcPr>
            <w:tcW w:type="dxa" w:w="4160"/>
            <w:tcBorders>
              <w:top w:val="single" w:color="1B3A5C" w:sz="1"/>
              <w:left w:val="single" w:color="1B3A5C" w:sz="1"/>
              <w:bottom w:val="single" w:color="1B3A5C" w:sz="1"/>
              <w:right w:val="single" w:color="1B3A5C" w:sz="1"/>
            </w:tcBorders>
            <w:shd w:fill="1B3A5C" w:val="clear"/>
            <w:tcMar>
              <w:top w:type="dxa" w:w="100"/>
              <w:left w:type="dxa" w:w="160"/>
              <w:bottom w:type="dxa" w:w="100"/>
              <w:right w:type="dxa" w:w="120"/>
            </w:tcMar>
          </w:tcPr>
          <w:p>
            <w:r>
              <w:rPr>
                <w:rFonts w:ascii="Arial" w:cs="Arial" w:eastAsia="Arial" w:hAnsi="Arial"/>
                <w:b/>
                <w:bCs/>
                <w:color w:val="FFFFFF"/>
                <w:sz w:val="22"/>
                <w:szCs w:val="22"/>
              </w:rPr>
              <w:t xml:space="preserve">Estado</w:t>
            </w:r>
          </w:p>
        </w:tc>
      </w:tr>
      <w:tr>
        <w:tc>
          <w:tcPr>
            <w:tcW w:type="dxa" w:w="5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El lanzamiento es una ACTIVACIÓN, no un lanzamiento desde cero</w:t>
            </w:r>
          </w:p>
        </w:tc>
        <w:tc>
          <w:tcPr>
            <w:tcW w:type="dxa" w:w="4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default">CONFIRMADO</w:t>
            </w:r>
          </w:p>
        </w:tc>
      </w:tr>
      <w:tr>
        <w:tc>
          <w:tcPr>
            <w:tcW w:type="dxa" w:w="5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El protocolo de 3 semanas de calentamiento no es necesario</w:t>
            </w:r>
          </w:p>
        </w:tc>
        <w:tc>
          <w:tcPr>
            <w:tcW w:type="dxa" w:w="4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default">CORREGIDO — ir directo en semana 1</w:t>
            </w:r>
          </w:p>
        </w:tc>
      </w:tr>
      <w:tr>
        <w:tc>
          <w:tcPr>
            <w:tcW w:type="dxa" w:w="5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Los 10 beta members están identificados y el vínculo está caliente</w:t>
            </w:r>
          </w:p>
        </w:tc>
        <w:tc>
          <w:tcPr>
            <w:tcW w:type="dxa" w:w="4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default">CONFIRMADO</w:t>
            </w:r>
          </w:p>
        </w:tc>
      </w:tr>
      <w:tr>
        <w:tc>
          <w:tcPr>
            <w:tcW w:type="dxa" w:w="5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Los 50 ex-miembros son el segundo anillo de activación inmediata</w:t>
            </w:r>
          </w:p>
        </w:tc>
        <w:tc>
          <w:tcPr>
            <w:tcW w:type="dxa" w:w="4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default">CONFIRMADO — activo subutilizado de alto valor</w:t>
            </w:r>
          </w:p>
        </w:tc>
      </w:tr>
      <w:tr>
        <w:tc>
          <w:tcPr>
            <w:tcW w:type="dxa" w:w="5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La red de asesores puede sostener la experiencia premium del beta</w:t>
            </w:r>
          </w:p>
        </w:tc>
        <w:tc>
          <w:tcPr>
            <w:tcW w:type="dxa" w:w="4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default">CONFIRMADO — capacidad disponible y disposición real</w:t>
            </w:r>
          </w:p>
        </w:tc>
      </w:tr>
      <w:tr>
        <w:tc>
          <w:tcPr>
            <w:tcW w:type="dxa" w:w="520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vAlign w:val="center"/>
          </w:tcPr>
          <w:p>
            <w:r>
              <w:rPr>
                <w:rFonts w:ascii="Arial" w:cs="Arial" w:eastAsia="Arial" w:hAnsi="Arial"/>
                <w:b/>
                <w:bCs/>
                <w:color w:val="1B3A5C"/>
                <w:sz w:val="21"/>
                <w:szCs w:val="21"/>
              </w:rPr>
              <w:t xml:space="preserve">El speech y el diferencial frente a REF todavía no están construidos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60"/>
              <w:bottom w:type="dxa" w:w="80"/>
              <w:right w:type="dxa" w:w="120"/>
            </w:tcMar>
          </w:tcPr>
          <w:p>
            <w:r>
              <w:rPr>
                <w:rFonts w:ascii="Arial" w:cs="Arial" w:eastAsia="Arial" w:hAnsi="Arial"/>
                <w:b w:val="false"/>
                <w:bCs w:val="false"/>
                <w:color w:val="1C1C1C"/>
                <w:sz w:val="21"/>
                <w:szCs w:val="21"/>
              </w:rPr>
              <w:t xml:space="default">PENDIENTE — prioridad antes del primer contacto</w:t>
            </w:r>
          </w:p>
        </w:tc>
      </w:tr>
      <w:tr>
        <w:tc>
          <w:tcPr>
            <w:tcW w:type="dxa" w:w="520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vAlign w:val="center"/>
          </w:tcPr>
          <w:p>
            <w:r>
              <w:rPr>
                <w:rFonts w:ascii="Arial" w:cs="Arial" w:eastAsia="Arial" w:hAnsi="Arial"/>
                <w:b/>
                <w:bCs/>
                <w:color w:val="1B3A5C"/>
                <w:sz w:val="21"/>
                <w:szCs w:val="21"/>
              </w:rPr>
              <w:t xml:space="preserve">Las reglas del beta necesitan ser formalizadas por escrito</w:t>
            </w:r>
          </w:p>
        </w:tc>
        <w:tc>
          <w:tcPr>
            <w:tcW w:type="dxa" w:w="4160"/>
            <w:tcBorders>
              <w:top w:val="single" w:color="D5D8DC" w:sz="1"/>
              <w:left w:val="single" w:color="D5D8DC" w:sz="1"/>
              <w:bottom w:val="single" w:color="D5D8DC" w:sz="1"/>
              <w:right w:val="single" w:color="D5D8DC" w:sz="1"/>
            </w:tcBorders>
            <w:shd w:fill="F2F4F6" w:val="clear"/>
            <w:tcMar>
              <w:top w:type="dxa" w:w="80"/>
              <w:left w:type="dxa" w:w="160"/>
              <w:bottom w:type="dxa" w:w="80"/>
              <w:right w:type="dxa" w:w="120"/>
            </w:tcMar>
          </w:tcPr>
          <w:p>
            <w:r>
              <w:rPr>
                <w:rFonts w:ascii="Arial" w:cs="Arial" w:eastAsia="Arial" w:hAnsi="Arial"/>
                <w:b w:val="false"/>
                <w:bCs w:val="false"/>
                <w:color w:val="1C1C1C"/>
                <w:sz w:val="21"/>
                <w:szCs w:val="21"/>
              </w:rPr>
              <w:t xml:space="default">PENDIENTE — antes del primer encuentro presencial</w:t>
            </w:r>
          </w:p>
        </w:tc>
      </w:tr>
    </w:tbl>
    <w:p>
      <w:pPr>
        <w:spacing w:before="160" w:after="0"/>
      </w:pPr>
      <w:r>
        <w:t xml:space="preserve"/>
      </w:r>
    </w:p>
    <w:p>
      <w:pPr>
        <w:pBdr>
          <w:top w:val="single" w:color="D5D8DC" w:sz="2" w:space="8"/>
        </w:pBdr>
        <w:spacing w:before="120" w:after="40"/>
        <w:jc w:val="center"/>
      </w:pPr>
      <w:r>
        <w:rPr>
          <w:rFonts w:ascii="Arial" w:cs="Arial" w:eastAsia="Arial" w:hAnsi="Arial"/>
          <w:color w:val="888888"/>
          <w:sz w:val="18"/>
          <w:szCs w:val="18"/>
        </w:rPr>
        <w:t xml:space="preserve">Mejora Continua — Diagnóstico Estratégico Confidencial — Informe Correctivo de Lanzamiento</w:t>
      </w:r>
    </w:p>
    <w:p>
      <w:pPr>
        <w:jc w:val="center"/>
      </w:pPr>
      <w:r>
        <w:rPr>
          <w:rFonts w:ascii="Arial" w:cs="Arial" w:eastAsia="Arial" w:hAnsi="Arial"/>
          <w:color w:val="AAAAAA"/>
          <w:sz w:val="18"/>
          <w:szCs w:val="18"/>
        </w:rPr>
        <w:t xml:space="preserve">Revisión: 27 de marzo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2026-03-27T22:33:36.641Z</dcterms:created>
  <dcterms:modified xsi:type="dcterms:W3CDTF">2026-03-27T22:33:36.641Z</dcterms:modified>
</cp:coreProperties>
</file>

<file path=docProps/custom.xml><?xml version="1.0" encoding="utf-8"?>
<Properties xmlns="http://schemas.openxmlformats.org/officeDocument/2006/custom-properties" xmlns:vt="http://schemas.openxmlformats.org/officeDocument/2006/docPropsVTypes"/>
</file>