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200"/>
        <w:jc w:val="center"/>
      </w:pPr>
      <w:r>
        <w:drawing>
          <wp:inline distT="0" distB="0" distL="0" distR="0">
            <wp:extent cx="3019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1428750"/>
                    </a:xfrm>
                    <a:prstGeom prst="rect">
                      <a:avLst/>
                    </a:prstGeom>
                  </pic:spPr>
                </pic:pic>
              </a:graphicData>
            </a:graphic>
          </wp:inline>
        </w:drawing>
      </w:r>
    </w:p>
    <w:p>
      <w:pPr>
        <w:spacing w:after="60" w:before="200"/>
        <w:jc w:val="center"/>
      </w:pPr>
      <w:r>
        <w:rPr>
          <w:b/>
          <w:bCs/>
          <w:i w:val="false"/>
          <w:iCs w:val="false"/>
          <w:color w:val="1F4E79"/>
          <w:sz w:val="30"/>
          <w:szCs w:val="30"/>
        </w:rPr>
        <w:t xml:space="preserve">INSTITUTO TECNOLÓGICO DE CIUDAD JUÁREZ</w:t>
      </w:r>
    </w:p>
    <w:p>
      <w:pPr>
        <w:spacing w:after="500" w:before="0"/>
        <w:jc w:val="center"/>
      </w:pPr>
      <w:r>
        <w:rPr>
          <w:b w:val="false"/>
          <w:bCs w:val="false"/>
          <w:i w:val="false"/>
          <w:iCs w:val="false"/>
          <w:color w:val="5B6575"/>
          <w:sz w:val="20"/>
          <w:szCs w:val="20"/>
        </w:rPr>
        <w:t xml:space="preserve">Ciudad Juárez, Chihuahua, México</w:t>
      </w:r>
    </w:p>
    <w:p>
      <w:pPr>
        <w:pBdr>
          <w:bottom w:val="single" w:color="1F4E79" w:sz="12" w:space="1"/>
        </w:pBdr>
        <w:spacing w:after="500"/>
      </w:pPr>
    </w:p>
    <w:p>
      <w:pPr>
        <w:spacing w:after="300" w:before="0"/>
        <w:jc w:val="center"/>
      </w:pPr>
      <w:r>
        <w:rPr>
          <w:b/>
          <w:bCs/>
          <w:i w:val="false"/>
          <w:iCs w:val="false"/>
          <w:color w:val="5B6575"/>
          <w:sz w:val="20"/>
          <w:szCs w:val="20"/>
        </w:rPr>
        <w:t xml:space="preserve">CAD2026 · UNIDAD DE ANÁLISIS</w:t>
      </w:r>
    </w:p>
    <w:p>
      <w:pPr>
        <w:spacing w:after="200" w:before="0"/>
        <w:jc w:val="center"/>
      </w:pPr>
      <w:r>
        <w:rPr>
          <w:b/>
          <w:bCs/>
          <w:i w:val="false"/>
          <w:iCs w:val="false"/>
          <w:color w:val="1F4E79"/>
          <w:sz w:val="52"/>
          <w:szCs w:val="52"/>
        </w:rPr>
        <w:t xml:space="preserve">Normas de dibujo técnico: NOM, ISO y ANSI</w:t>
      </w:r>
    </w:p>
    <w:p>
      <w:pPr>
        <w:spacing w:after="900" w:before="0"/>
        <w:jc w:val="center"/>
      </w:pPr>
      <w:r>
        <w:rPr>
          <w:b w:val="false"/>
          <w:bCs w:val="false"/>
          <w:i w:val="false"/>
          <w:iCs w:val="false"/>
          <w:color w:val="5B6575"/>
          <w:sz w:val="26"/>
          <w:szCs w:val="26"/>
        </w:rPr>
        <w:t xml:space="preserve">Comparativa de organismos y normas para planos de ingeniería</w:t>
      </w:r>
    </w:p>
    <w:p>
      <w:pPr>
        <w:spacing w:after="220" w:before="0"/>
        <w:jc w:val="center"/>
      </w:pPr>
      <w:r>
        <w:rPr>
          <w:b w:val="false"/>
          <w:bCs w:val="false"/>
          <w:i w:val="false"/>
          <w:iCs w:val="false"/>
          <w:color w:val="1D2430"/>
          <w:sz w:val="22"/>
          <w:szCs w:val="22"/>
        </w:rPr>
        <w:t xml:space="preserve">Alumno(a): Pablo Antonio Esquivel Soria</w:t>
      </w:r>
    </w:p>
    <w:p>
      <w:pPr>
        <w:spacing w:after="220" w:before="0"/>
        <w:jc w:val="center"/>
      </w:pPr>
      <w:r>
        <w:rPr>
          <w:b w:val="false"/>
          <w:bCs w:val="false"/>
          <w:i w:val="false"/>
          <w:iCs w:val="false"/>
          <w:color w:val="1D2430"/>
          <w:sz w:val="22"/>
          <w:szCs w:val="22"/>
        </w:rPr>
        <w:t xml:space="preserve">Número de control: 22110961</w:t>
      </w:r>
    </w:p>
    <w:p>
      <w:pPr>
        <w:spacing w:after="220" w:before="0"/>
        <w:jc w:val="center"/>
      </w:pPr>
      <w:r>
        <w:rPr>
          <w:b w:val="false"/>
          <w:bCs w:val="false"/>
          <w:i w:val="false"/>
          <w:iCs w:val="false"/>
          <w:color w:val="1D2430"/>
          <w:sz w:val="22"/>
          <w:szCs w:val="22"/>
        </w:rPr>
        <w:t xml:space="preserve">Profesor(a): ______________________________________</w:t>
      </w:r>
    </w:p>
    <w:p>
      <w:pPr>
        <w:spacing w:after="0" w:before="0"/>
        <w:jc w:val="center"/>
      </w:pPr>
      <w:r>
        <w:rPr>
          <w:b w:val="false"/>
          <w:bCs w:val="false"/>
          <w:i w:val="false"/>
          <w:iCs w:val="false"/>
          <w:color w:val="1D2430"/>
          <w:sz w:val="22"/>
          <w:szCs w:val="22"/>
        </w:rPr>
        <w:t xml:space="preserve">Fecha: 10 de octubre de 2026</w:t>
      </w:r>
    </w:p>
    <w:p>
      <w:pPr>
        <w:sectPr>
          <w:pgSz w:w="12240" w:h="15840" w:orient="portrait"/>
          <w:pgMar w:top="1440" w:right="1440" w:bottom="1440" w:left="1440" w:header="708" w:footer="708" w:gutter="0"/>
          <w:pgNumType/>
          <w:docGrid w:linePitch="360"/>
        </w:sectPr>
      </w:pPr>
    </w:p>
    <w:p>
      <w:pPr>
        <w:pBdr>
          <w:bottom w:val="single" w:color="1F4E79" w:sz="6" w:space="3"/>
        </w:pBdr>
        <w:spacing w:after="160"/>
      </w:pPr>
      <w:r>
        <w:rPr>
          <w:color w:val="5B6575"/>
          <w:sz w:val="16"/>
          <w:szCs w:val="16"/>
        </w:rPr>
        <w:t xml:space="preserve">CAD2026 · Normas de dibujo técnico: NOM, ISO y ANSI</w:t>
      </w:r>
    </w:p>
    <w:p>
      <w:pPr>
        <w:pStyle w:val="Heading2"/>
      </w:pPr>
      <w:r>
        <w:t xml:space="preserve">1. Introducción</w:t>
      </w:r>
    </w:p>
    <w:p>
      <w:pPr>
        <w:spacing w:after="80" w:line="264"/>
        <w:jc w:val="both"/>
      </w:pPr>
      <w:r>
        <w:rPr>
          <w:sz w:val="19"/>
          <w:szCs w:val="19"/>
        </w:rPr>
        <w:t xml:space="preserve">Las normas de dibujo técnico son acuerdos que fijan cómo representar, acotar y tolerar las piezas. Existen para que cualquier persona, en cualquier taller o país, interprete el mismo plano sin ambigüedad, y para que una pieza pueda fabricarse y verificarse sin depender de quien la dibujó. Cada región tiene su propio marco: en México, las NOM y NMX; a nivel internacional, ISO; y en Estados Unidos, ANSI junto con las normas ASME.</w:t>
      </w:r>
    </w:p>
    <w:p>
      <w:pPr>
        <w:pStyle w:val="Heading2"/>
      </w:pPr>
      <w:r>
        <w:t xml:space="preserve">2. Comparativa de organismos y normas</w:t>
      </w:r>
    </w:p>
    <w:tbl>
      <w:tblPr>
        <w:tblW w:type="dxa" w:w="10080"/>
        <w:tblBorders>
          <w:top w:val="single" w:color="C9D3DF" w:sz="4"/>
          <w:left w:val="none" w:color="FFFFFF" w:sz="0"/>
          <w:bottom w:val="single" w:color="C9D3DF" w:sz="4"/>
          <w:right w:val="none" w:color="FFFFFF" w:sz="0"/>
          <w:insideH w:val="single" w:color="C9D3DF" w:sz="4"/>
          <w:insideV w:val="none" w:color="FFFFFF" w:sz="0"/>
        </w:tblBorders>
        <w:tblLayout w:type="fixed"/>
      </w:tblPr>
      <w:tblGrid>
        <w:gridCol w:w="1150"/>
        <w:gridCol w:w="2150"/>
        <w:gridCol w:w="2000"/>
        <w:gridCol w:w="2480"/>
        <w:gridCol w:w="2300"/>
      </w:tblGrid>
      <w:tr>
        <w:trPr>
          <w:tblHeader/>
        </w:trPr>
        <w:tc>
          <w:tcPr>
            <w:tcW w:type="dxa" w:w="1150"/>
            <w:shd w:fill="1F4E79" w:color="auto" w:val="clear"/>
            <w:tcMar>
              <w:top w:type="dxa" w:w="45"/>
              <w:left w:type="dxa" w:w="80"/>
              <w:bottom w:type="dxa" w:w="45"/>
              <w:right w:type="dxa" w:w="80"/>
            </w:tcMar>
          </w:tcPr>
          <w:p>
            <w:pPr>
              <w:spacing w:after="0" w:line="240"/>
            </w:pPr>
            <w:r>
              <w:rPr>
                <w:b/>
                <w:bCs/>
                <w:color w:val="FFFFFF"/>
                <w:sz w:val="16"/>
                <w:szCs w:val="16"/>
              </w:rPr>
              <w:t xml:space="preserve">Organismo</w:t>
            </w:r>
          </w:p>
        </w:tc>
        <w:tc>
          <w:tcPr>
            <w:tcW w:type="dxa" w:w="2150"/>
            <w:shd w:fill="1F4E79" w:color="auto" w:val="clear"/>
            <w:tcMar>
              <w:top w:type="dxa" w:w="45"/>
              <w:left w:type="dxa" w:w="80"/>
              <w:bottom w:type="dxa" w:w="45"/>
              <w:right w:type="dxa" w:w="80"/>
            </w:tcMar>
          </w:tcPr>
          <w:p>
            <w:pPr>
              <w:spacing w:after="0" w:line="240"/>
            </w:pPr>
            <w:r>
              <w:rPr>
                <w:b/>
                <w:bCs/>
                <w:color w:val="FFFFFF"/>
                <w:sz w:val="16"/>
                <w:szCs w:val="16"/>
              </w:rPr>
              <w:t xml:space="preserve">Nombre completo</w:t>
            </w:r>
          </w:p>
        </w:tc>
        <w:tc>
          <w:tcPr>
            <w:tcW w:type="dxa" w:w="2000"/>
            <w:shd w:fill="1F4E79" w:color="auto" w:val="clear"/>
            <w:tcMar>
              <w:top w:type="dxa" w:w="45"/>
              <w:left w:type="dxa" w:w="80"/>
              <w:bottom w:type="dxa" w:w="45"/>
              <w:right w:type="dxa" w:w="80"/>
            </w:tcMar>
          </w:tcPr>
          <w:p>
            <w:pPr>
              <w:spacing w:after="0" w:line="240"/>
            </w:pPr>
            <w:r>
              <w:rPr>
                <w:b/>
                <w:bCs/>
                <w:color w:val="FFFFFF"/>
                <w:sz w:val="16"/>
                <w:szCs w:val="16"/>
              </w:rPr>
              <w:t xml:space="preserve">País o ámbito</w:t>
            </w:r>
          </w:p>
        </w:tc>
        <w:tc>
          <w:tcPr>
            <w:tcW w:type="dxa" w:w="2480"/>
            <w:shd w:fill="1F4E79" w:color="auto" w:val="clear"/>
            <w:tcMar>
              <w:top w:type="dxa" w:w="45"/>
              <w:left w:type="dxa" w:w="80"/>
              <w:bottom w:type="dxa" w:w="45"/>
              <w:right w:type="dxa" w:w="80"/>
            </w:tcMar>
          </w:tcPr>
          <w:p>
            <w:pPr>
              <w:spacing w:after="0" w:line="240"/>
            </w:pPr>
            <w:r>
              <w:rPr>
                <w:b/>
                <w:bCs/>
                <w:color w:val="FFFFFF"/>
                <w:sz w:val="16"/>
                <w:szCs w:val="16"/>
              </w:rPr>
              <w:t xml:space="preserve">Propósito</w:t>
            </w:r>
          </w:p>
        </w:tc>
        <w:tc>
          <w:tcPr>
            <w:tcW w:type="dxa" w:w="2300"/>
            <w:shd w:fill="1F4E79" w:color="auto" w:val="clear"/>
            <w:tcMar>
              <w:top w:type="dxa" w:w="45"/>
              <w:left w:type="dxa" w:w="80"/>
              <w:bottom w:type="dxa" w:w="45"/>
              <w:right w:type="dxa" w:w="80"/>
            </w:tcMar>
          </w:tcPr>
          <w:p>
            <w:pPr>
              <w:spacing w:after="0" w:line="240"/>
            </w:pPr>
            <w:r>
              <w:rPr>
                <w:b/>
                <w:bCs/>
                <w:color w:val="FFFFFF"/>
                <w:sz w:val="16"/>
                <w:szCs w:val="16"/>
              </w:rPr>
              <w:t xml:space="preserve">Ejemplo de aplicación en dibujo o manufactura</w:t>
            </w:r>
          </w:p>
        </w:tc>
      </w:tr>
      <w:tr>
        <w:trPr>
          <w:cantSplit/>
        </w:trPr>
        <w:tc>
          <w:tcPr>
            <w:tcW w:type="dxa" w:w="1150"/>
            <w:tcMar>
              <w:top w:type="dxa" w:w="45"/>
              <w:left w:type="dxa" w:w="80"/>
              <w:bottom w:type="dxa" w:w="45"/>
              <w:right w:type="dxa" w:w="80"/>
            </w:tcMar>
          </w:tcPr>
          <w:p>
            <w:pPr>
              <w:spacing w:after="0" w:line="240"/>
            </w:pPr>
            <w:r>
              <w:rPr>
                <w:b/>
                <w:bCs/>
                <w:sz w:val="16"/>
                <w:szCs w:val="16"/>
              </w:rPr>
              <w:t xml:space="preserve">NOM / NMX</w:t>
            </w:r>
          </w:p>
        </w:tc>
        <w:tc>
          <w:tcPr>
            <w:tcW w:type="dxa" w:w="2150"/>
            <w:tcMar>
              <w:top w:type="dxa" w:w="45"/>
              <w:left w:type="dxa" w:w="80"/>
              <w:bottom w:type="dxa" w:w="45"/>
              <w:right w:type="dxa" w:w="80"/>
            </w:tcMar>
          </w:tcPr>
          <w:p>
            <w:pPr>
              <w:spacing w:after="0" w:line="240"/>
            </w:pPr>
            <w:r>
              <w:rPr>
                <w:sz w:val="16"/>
                <w:szCs w:val="16"/>
              </w:rPr>
              <w:t xml:space="preserve">Norma Oficial Mexicana (NOM) y Norma Mexicana (NMX)</w:t>
            </w:r>
          </w:p>
        </w:tc>
        <w:tc>
          <w:tcPr>
            <w:tcW w:type="dxa" w:w="2000"/>
            <w:tcMar>
              <w:top w:type="dxa" w:w="45"/>
              <w:left w:type="dxa" w:w="80"/>
              <w:bottom w:type="dxa" w:w="45"/>
              <w:right w:type="dxa" w:w="80"/>
            </w:tcMar>
          </w:tcPr>
          <w:p>
            <w:pPr>
              <w:spacing w:after="0" w:line="240"/>
            </w:pPr>
            <w:r>
              <w:rPr>
                <w:sz w:val="16"/>
                <w:szCs w:val="16"/>
              </w:rPr>
              <w:t xml:space="preserve">México. Las NOM son de observancia obligatoria; las NMX son voluntarias.</w:t>
            </w:r>
          </w:p>
        </w:tc>
        <w:tc>
          <w:tcPr>
            <w:tcW w:type="dxa" w:w="2480"/>
            <w:tcMar>
              <w:top w:type="dxa" w:w="45"/>
              <w:left w:type="dxa" w:w="80"/>
              <w:bottom w:type="dxa" w:w="45"/>
              <w:right w:type="dxa" w:w="80"/>
            </w:tcMar>
          </w:tcPr>
          <w:p>
            <w:pPr>
              <w:spacing w:after="0" w:line="240"/>
            </w:pPr>
            <w:r>
              <w:rPr>
                <w:sz w:val="16"/>
                <w:szCs w:val="16"/>
              </w:rPr>
              <w:t xml:space="preserve">Establecer requisitos técnicos obligatorios (NOM) y referencias voluntarias (NMX). La Secretaría de Economía las coordina y se publican en el Diario Oficial de la Federación. </w:t>
            </w:r>
            <w:r>
              <w:rPr>
                <w:color w:val="5B6575"/>
                <w:sz w:val="13"/>
                <w:szCs w:val="13"/>
              </w:rPr>
              <w:t xml:space="preserve">[1]</w:t>
            </w:r>
          </w:p>
        </w:tc>
        <w:tc>
          <w:tcPr>
            <w:tcW w:type="dxa" w:w="2300"/>
            <w:tcMar>
              <w:top w:type="dxa" w:w="45"/>
              <w:left w:type="dxa" w:w="80"/>
              <w:bottom w:type="dxa" w:w="45"/>
              <w:right w:type="dxa" w:w="80"/>
            </w:tcMar>
          </w:tcPr>
          <w:p>
            <w:pPr>
              <w:spacing w:after="0" w:line="240"/>
            </w:pPr>
            <w:r>
              <w:rPr>
                <w:sz w:val="16"/>
                <w:szCs w:val="16"/>
              </w:rPr>
              <w:t xml:space="preserve">NOM-008-SE-2021, sistema general de unidades de medida, que cancela a la NOM-008-SCFI-2002. </w:t>
            </w:r>
            <w:r>
              <w:rPr>
                <w:color w:val="5B6575"/>
                <w:sz w:val="13"/>
                <w:szCs w:val="13"/>
              </w:rPr>
              <w:t xml:space="preserve">[1]</w:t>
            </w:r>
            <w:r>
              <w:rPr>
                <w:sz w:val="16"/>
                <w:szCs w:val="16"/>
              </w:rPr>
              <w:t xml:space="preserve"> NMX-DT-128-30-IMNC-2010, convenciones básicas para vistas. </w:t>
            </w:r>
            <w:r>
              <w:rPr>
                <w:color w:val="5B6575"/>
                <w:sz w:val="13"/>
                <w:szCs w:val="13"/>
              </w:rPr>
              <w:t xml:space="preserve">[2]</w:t>
            </w:r>
            <w:r>
              <w:rPr>
                <w:sz w:val="16"/>
                <w:szCs w:val="16"/>
              </w:rPr>
              <w:t xml:space="preserve"> No se encontró una NOM específica para dibujo técnico.</w:t>
            </w:r>
          </w:p>
        </w:tc>
      </w:tr>
      <w:tr>
        <w:trPr>
          <w:cantSplit/>
        </w:trPr>
        <w:tc>
          <w:tcPr>
            <w:tcW w:type="dxa" w:w="1150"/>
            <w:shd w:fill="EAF1F8" w:color="auto" w:val="clear"/>
            <w:tcMar>
              <w:top w:type="dxa" w:w="45"/>
              <w:left w:type="dxa" w:w="80"/>
              <w:bottom w:type="dxa" w:w="45"/>
              <w:right w:type="dxa" w:w="80"/>
            </w:tcMar>
          </w:tcPr>
          <w:p>
            <w:pPr>
              <w:spacing w:after="0" w:line="240"/>
            </w:pPr>
            <w:r>
              <w:rPr>
                <w:b/>
                <w:bCs/>
                <w:sz w:val="16"/>
                <w:szCs w:val="16"/>
              </w:rPr>
              <w:t xml:space="preserve">ISO</w:t>
            </w:r>
          </w:p>
        </w:tc>
        <w:tc>
          <w:tcPr>
            <w:tcW w:type="dxa" w:w="2150"/>
            <w:shd w:fill="EAF1F8" w:color="auto" w:val="clear"/>
            <w:tcMar>
              <w:top w:type="dxa" w:w="45"/>
              <w:left w:type="dxa" w:w="80"/>
              <w:bottom w:type="dxa" w:w="45"/>
              <w:right w:type="dxa" w:w="80"/>
            </w:tcMar>
          </w:tcPr>
          <w:p>
            <w:pPr>
              <w:spacing w:after="0" w:line="240"/>
            </w:pPr>
            <w:r>
              <w:rPr>
                <w:sz w:val="16"/>
                <w:szCs w:val="16"/>
              </w:rPr>
              <w:t xml:space="preserve">International Organization for Standardization (Organización Internacional de Normalización)</w:t>
            </w:r>
          </w:p>
        </w:tc>
        <w:tc>
          <w:tcPr>
            <w:tcW w:type="dxa" w:w="2000"/>
            <w:shd w:fill="EAF1F8" w:color="auto" w:val="clear"/>
            <w:tcMar>
              <w:top w:type="dxa" w:w="45"/>
              <w:left w:type="dxa" w:w="80"/>
              <w:bottom w:type="dxa" w:w="45"/>
              <w:right w:type="dxa" w:w="80"/>
            </w:tcMar>
          </w:tcPr>
          <w:p>
            <w:pPr>
              <w:spacing w:after="0" w:line="240"/>
            </w:pPr>
            <w:r>
              <w:rPr>
                <w:sz w:val="16"/>
                <w:szCs w:val="16"/>
              </w:rPr>
              <w:t xml:space="preserve">Internacional. Sede en Ginebra, Suiza; fundada en 1947.</w:t>
            </w:r>
          </w:p>
        </w:tc>
        <w:tc>
          <w:tcPr>
            <w:tcW w:type="dxa" w:w="2480"/>
            <w:shd w:fill="EAF1F8" w:color="auto" w:val="clear"/>
            <w:tcMar>
              <w:top w:type="dxa" w:w="45"/>
              <w:left w:type="dxa" w:w="80"/>
              <w:bottom w:type="dxa" w:w="45"/>
              <w:right w:type="dxa" w:w="80"/>
            </w:tcMar>
          </w:tcPr>
          <w:p>
            <w:pPr>
              <w:spacing w:after="0" w:line="240"/>
            </w:pPr>
            <w:r>
              <w:rPr>
                <w:sz w:val="16"/>
                <w:szCs w:val="16"/>
              </w:rPr>
              <w:t xml:space="preserve">Crear normas internacionales por consenso para productos y documentación técnica, de modo que un plano sea válido en cualquier país.</w:t>
            </w:r>
          </w:p>
        </w:tc>
        <w:tc>
          <w:tcPr>
            <w:tcW w:type="dxa" w:w="2300"/>
            <w:shd w:fill="EAF1F8" w:color="auto" w:val="clear"/>
            <w:tcMar>
              <w:top w:type="dxa" w:w="45"/>
              <w:left w:type="dxa" w:w="80"/>
              <w:bottom w:type="dxa" w:w="45"/>
              <w:right w:type="dxa" w:w="80"/>
            </w:tcMar>
          </w:tcPr>
          <w:p>
            <w:pPr>
              <w:spacing w:after="0" w:line="240"/>
            </w:pPr>
            <w:r>
              <w:rPr>
                <w:sz w:val="16"/>
                <w:szCs w:val="16"/>
              </w:rPr>
              <w:t xml:space="preserve">ISO 128-1, principios generales de representación. </w:t>
            </w:r>
            <w:r>
              <w:rPr>
                <w:color w:val="5B6575"/>
                <w:sz w:val="13"/>
                <w:szCs w:val="13"/>
              </w:rPr>
              <w:t xml:space="preserve">[3]</w:t>
            </w:r>
            <w:r>
              <w:rPr>
                <w:sz w:val="16"/>
                <w:szCs w:val="16"/>
              </w:rPr>
              <w:t xml:space="preserve"> ISO 129-1, acotación. </w:t>
            </w:r>
            <w:r>
              <w:rPr>
                <w:color w:val="5B6575"/>
                <w:sz w:val="13"/>
                <w:szCs w:val="13"/>
              </w:rPr>
              <w:t xml:space="preserve">[4]</w:t>
            </w:r>
            <w:r>
              <w:rPr>
                <w:sz w:val="16"/>
                <w:szCs w:val="16"/>
              </w:rPr>
              <w:t xml:space="preserve"> ISO 1101, tolerancias geométricas. </w:t>
            </w:r>
            <w:r>
              <w:rPr>
                <w:color w:val="5B6575"/>
                <w:sz w:val="13"/>
                <w:szCs w:val="13"/>
              </w:rPr>
              <w:t xml:space="preserve">[5]</w:t>
            </w:r>
            <w:r>
              <w:rPr>
                <w:sz w:val="16"/>
                <w:szCs w:val="16"/>
              </w:rPr>
              <w:t xml:space="preserve"> ISO 216, formatos de papel A0 a A4. </w:t>
            </w:r>
            <w:r>
              <w:rPr>
                <w:color w:val="5B6575"/>
                <w:sz w:val="13"/>
                <w:szCs w:val="13"/>
              </w:rPr>
              <w:t xml:space="preserve">[6]</w:t>
            </w:r>
          </w:p>
        </w:tc>
      </w:tr>
      <w:tr>
        <w:trPr>
          <w:cantSplit/>
        </w:trPr>
        <w:tc>
          <w:tcPr>
            <w:tcW w:type="dxa" w:w="1150"/>
            <w:tcMar>
              <w:top w:type="dxa" w:w="45"/>
              <w:left w:type="dxa" w:w="80"/>
              <w:bottom w:type="dxa" w:w="45"/>
              <w:right w:type="dxa" w:w="80"/>
            </w:tcMar>
          </w:tcPr>
          <w:p>
            <w:pPr>
              <w:spacing w:after="0" w:line="240"/>
            </w:pPr>
            <w:r>
              <w:rPr>
                <w:b/>
                <w:bCs/>
                <w:sz w:val="16"/>
                <w:szCs w:val="16"/>
              </w:rPr>
              <w:t xml:space="preserve">ANSI</w:t>
            </w:r>
          </w:p>
        </w:tc>
        <w:tc>
          <w:tcPr>
            <w:tcW w:type="dxa" w:w="2150"/>
            <w:tcMar>
              <w:top w:type="dxa" w:w="45"/>
              <w:left w:type="dxa" w:w="80"/>
              <w:bottom w:type="dxa" w:w="45"/>
              <w:right w:type="dxa" w:w="80"/>
            </w:tcMar>
          </w:tcPr>
          <w:p>
            <w:pPr>
              <w:spacing w:after="0" w:line="240"/>
            </w:pPr>
            <w:r>
              <w:rPr>
                <w:sz w:val="16"/>
                <w:szCs w:val="16"/>
              </w:rPr>
              <w:t xml:space="preserve">American National Standards Institute (Instituto Nacional Estadounidense de Estándares)</w:t>
            </w:r>
          </w:p>
        </w:tc>
        <w:tc>
          <w:tcPr>
            <w:tcW w:type="dxa" w:w="2000"/>
            <w:tcMar>
              <w:top w:type="dxa" w:w="45"/>
              <w:left w:type="dxa" w:w="80"/>
              <w:bottom w:type="dxa" w:w="45"/>
              <w:right w:type="dxa" w:w="80"/>
            </w:tcMar>
          </w:tcPr>
          <w:p>
            <w:pPr>
              <w:spacing w:after="0" w:line="240"/>
            </w:pPr>
            <w:r>
              <w:rPr>
                <w:sz w:val="16"/>
                <w:szCs w:val="16"/>
              </w:rPr>
              <w:t xml:space="preserve">Estados Unidos. Organismo privado sin fines de lucro. </w:t>
            </w:r>
            <w:r>
              <w:rPr>
                <w:color w:val="5B6575"/>
                <w:sz w:val="13"/>
                <w:szCs w:val="13"/>
              </w:rPr>
              <w:t xml:space="preserve">[7]</w:t>
            </w:r>
          </w:p>
        </w:tc>
        <w:tc>
          <w:tcPr>
            <w:tcW w:type="dxa" w:w="2480"/>
            <w:tcMar>
              <w:top w:type="dxa" w:w="45"/>
              <w:left w:type="dxa" w:w="80"/>
              <w:bottom w:type="dxa" w:w="45"/>
              <w:right w:type="dxa" w:w="80"/>
            </w:tcMar>
          </w:tcPr>
          <w:p>
            <w:pPr>
              <w:spacing w:after="0" w:line="240"/>
            </w:pPr>
            <w:r>
              <w:rPr>
                <w:sz w:val="16"/>
                <w:szCs w:val="16"/>
              </w:rPr>
              <w:t xml:space="preserve">Aprobar como normas nacionales los estándares que desarrollan otros organismos. En dibujo, aprueba las normas Y14 que desarrolla ASME.</w:t>
            </w:r>
          </w:p>
        </w:tc>
        <w:tc>
          <w:tcPr>
            <w:tcW w:type="dxa" w:w="2300"/>
            <w:tcMar>
              <w:top w:type="dxa" w:w="45"/>
              <w:left w:type="dxa" w:w="80"/>
              <w:bottom w:type="dxa" w:w="45"/>
              <w:right w:type="dxa" w:w="80"/>
            </w:tcMar>
          </w:tcPr>
          <w:p>
            <w:pPr>
              <w:spacing w:after="0" w:line="240"/>
            </w:pPr>
            <w:r>
              <w:rPr>
                <w:sz w:val="16"/>
                <w:szCs w:val="16"/>
              </w:rPr>
              <w:t xml:space="preserve">ASME Y14.5-2018, dimensionamiento y tolerancias GD&amp;T. </w:t>
            </w:r>
            <w:r>
              <w:rPr>
                <w:color w:val="5B6575"/>
                <w:sz w:val="13"/>
                <w:szCs w:val="13"/>
              </w:rPr>
              <w:t xml:space="preserve">[8]</w:t>
            </w:r>
            <w:r>
              <w:rPr>
                <w:sz w:val="16"/>
                <w:szCs w:val="16"/>
              </w:rPr>
              <w:t xml:space="preserve"> ASME Y14.3, vistas ortográficas y pictóricas. </w:t>
            </w:r>
            <w:r>
              <w:rPr>
                <w:color w:val="5B6575"/>
                <w:sz w:val="13"/>
                <w:szCs w:val="13"/>
              </w:rPr>
              <w:t xml:space="preserve">[9]</w:t>
            </w:r>
          </w:p>
        </w:tc>
      </w:tr>
    </w:tbl>
    <w:p>
      <w:pPr>
        <w:spacing w:after="60"/>
      </w:pPr>
    </w:p>
    <w:p>
      <w:pPr>
        <w:pStyle w:val="Heading2"/>
      </w:pPr>
      <w:r>
        <w:t xml:space="preserve">3. Diferencia principal entre ISO y ANSI</w:t>
      </w:r>
    </w:p>
    <w:p>
      <w:pPr>
        <w:pBdr>
          <w:left w:val="single" w:color="1F4E79" w:sz="18" w:space="8"/>
        </w:pBdr>
        <w:shd w:fill="EAF1F8" w:color="auto" w:val="clear"/>
        <w:spacing w:after="120" w:before="80" w:line="264"/>
        <w:ind w:left="160" w:right="160"/>
      </w:pPr>
      <w:r>
        <w:rPr>
          <w:b/>
          <w:bCs/>
          <w:sz w:val="19"/>
          <w:szCs w:val="19"/>
        </w:rPr>
        <w:t xml:space="preserve">Método de proyección.</w:t>
      </w:r>
      <w:r>
        <w:rPr>
          <w:sz w:val="19"/>
          <w:szCs w:val="19"/>
        </w:rPr>
        <w:t xml:space="preserve"> ISO usa el </w:t>
      </w:r>
      <w:r>
        <w:rPr>
          <w:b/>
          <w:bCs/>
          <w:sz w:val="19"/>
          <w:szCs w:val="19"/>
        </w:rPr>
        <w:t xml:space="preserve">primer diedro</w:t>
      </w:r>
      <w:r>
        <w:rPr>
          <w:sz w:val="19"/>
          <w:szCs w:val="19"/>
        </w:rPr>
        <w:t xml:space="preserve">: la vista superior queda debajo de la vista frontal. ANSI/ASME usa el </w:t>
      </w:r>
      <w:r>
        <w:rPr>
          <w:b/>
          <w:bCs/>
          <w:sz w:val="19"/>
          <w:szCs w:val="19"/>
        </w:rPr>
        <w:t xml:space="preserve">tercer diedro</w:t>
      </w:r>
      <w:r>
        <w:rPr>
          <w:sz w:val="19"/>
          <w:szCs w:val="19"/>
        </w:rPr>
        <w:t xml:space="preserve">: la vista superior queda encima de la frontal. </w:t>
      </w:r>
      <w:r>
        <w:rPr>
          <w:color w:val="5B6575"/>
          <w:sz w:val="16"/>
          <w:szCs w:val="16"/>
        </w:rPr>
        <w:t xml:space="preserve">[10][11]</w:t>
      </w:r>
      <w:r>
        <w:rPr>
          <w:sz w:val="19"/>
          <w:szCs w:val="19"/>
        </w:rPr>
        <w:t xml:space="preserve"> Confundir ambos métodos invierte la posición de las vistas y puede llevar a fabricar la pieza de forma incorrecta, por eso conviene identificar el método antes de leer el plano.</w:t>
      </w:r>
    </w:p>
    <w:tbl>
      <w:tblPr>
        <w:tblW w:type="dxa" w:w="10080"/>
        <w:tblBorders>
          <w:top w:val="single" w:color="C9D3DF" w:sz="4"/>
          <w:left w:val="none" w:color="FFFFFF" w:sz="0"/>
          <w:bottom w:val="single" w:color="C9D3DF" w:sz="4"/>
          <w:right w:val="none" w:color="FFFFFF" w:sz="0"/>
          <w:insideH w:val="single" w:color="C9D3DF" w:sz="4"/>
          <w:insideV w:val="none" w:color="FFFFFF" w:sz="0"/>
        </w:tblBorders>
        <w:tblLayout w:type="fixed"/>
      </w:tblPr>
      <w:tblGrid>
        <w:gridCol w:w="2600"/>
        <w:gridCol w:w="3740"/>
        <w:gridCol w:w="3740"/>
      </w:tblGrid>
      <w:tr>
        <w:trPr>
          <w:tblHeader/>
        </w:trPr>
        <w:tc>
          <w:tcPr>
            <w:tcW w:type="dxa" w:w="2600"/>
            <w:shd w:fill="1F4E79" w:color="auto" w:val="clear"/>
            <w:tcMar>
              <w:top w:type="dxa" w:w="45"/>
              <w:left w:type="dxa" w:w="80"/>
              <w:bottom w:type="dxa" w:w="45"/>
              <w:right w:type="dxa" w:w="80"/>
            </w:tcMar>
          </w:tcPr>
          <w:p>
            <w:pPr>
              <w:spacing w:after="0" w:line="240"/>
            </w:pPr>
            <w:r>
              <w:rPr>
                <w:b/>
                <w:bCs/>
                <w:color w:val="FFFFFF"/>
                <w:sz w:val="16"/>
                <w:szCs w:val="16"/>
              </w:rPr>
              <w:t xml:space="preserve">Aspecto</w:t>
            </w:r>
          </w:p>
        </w:tc>
        <w:tc>
          <w:tcPr>
            <w:tcW w:type="dxa" w:w="3740"/>
            <w:shd w:fill="1F4E79" w:color="auto" w:val="clear"/>
            <w:tcMar>
              <w:top w:type="dxa" w:w="45"/>
              <w:left w:type="dxa" w:w="80"/>
              <w:bottom w:type="dxa" w:w="45"/>
              <w:right w:type="dxa" w:w="80"/>
            </w:tcMar>
          </w:tcPr>
          <w:p>
            <w:pPr>
              <w:spacing w:after="0" w:line="240"/>
            </w:pPr>
            <w:r>
              <w:rPr>
                <w:b/>
                <w:bCs/>
                <w:color w:val="FFFFFF"/>
                <w:sz w:val="16"/>
                <w:szCs w:val="16"/>
              </w:rPr>
              <w:t xml:space="preserve">ISO</w:t>
            </w:r>
          </w:p>
        </w:tc>
        <w:tc>
          <w:tcPr>
            <w:tcW w:type="dxa" w:w="3740"/>
            <w:shd w:fill="1F4E79" w:color="auto" w:val="clear"/>
            <w:tcMar>
              <w:top w:type="dxa" w:w="45"/>
              <w:left w:type="dxa" w:w="80"/>
              <w:bottom w:type="dxa" w:w="45"/>
              <w:right w:type="dxa" w:w="80"/>
            </w:tcMar>
          </w:tcPr>
          <w:p>
            <w:pPr>
              <w:spacing w:after="0" w:line="240"/>
            </w:pPr>
            <w:r>
              <w:rPr>
                <w:b/>
                <w:bCs/>
                <w:color w:val="FFFFFF"/>
                <w:sz w:val="16"/>
                <w:szCs w:val="16"/>
              </w:rPr>
              <w:t xml:space="preserve">ANSI / ASME</w:t>
            </w:r>
          </w:p>
        </w:tc>
      </w:tr>
      <w:tr>
        <w:trPr>
          <w:cantSplit/>
        </w:trPr>
        <w:tc>
          <w:tcPr>
            <w:tcW w:type="dxa" w:w="2600"/>
            <w:tcMar>
              <w:top w:type="dxa" w:w="45"/>
              <w:left w:type="dxa" w:w="80"/>
              <w:bottom w:type="dxa" w:w="45"/>
              <w:right w:type="dxa" w:w="80"/>
            </w:tcMar>
          </w:tcPr>
          <w:p>
            <w:pPr>
              <w:spacing w:after="0" w:line="240"/>
            </w:pPr>
            <w:r>
              <w:rPr>
                <w:b/>
                <w:bCs/>
                <w:sz w:val="16"/>
                <w:szCs w:val="16"/>
              </w:rPr>
              <w:t xml:space="preserve">Ámbito</w:t>
            </w:r>
          </w:p>
        </w:tc>
        <w:tc>
          <w:tcPr>
            <w:tcW w:type="dxa" w:w="3740"/>
            <w:tcMar>
              <w:top w:type="dxa" w:w="45"/>
              <w:left w:type="dxa" w:w="80"/>
              <w:bottom w:type="dxa" w:w="45"/>
              <w:right w:type="dxa" w:w="80"/>
            </w:tcMar>
          </w:tcPr>
          <w:p>
            <w:pPr>
              <w:spacing w:after="0" w:line="240"/>
            </w:pPr>
            <w:r>
              <w:rPr>
                <w:sz w:val="16"/>
                <w:szCs w:val="16"/>
              </w:rPr>
              <w:t xml:space="preserve">Internacional, sede en Ginebra</w:t>
            </w:r>
          </w:p>
        </w:tc>
        <w:tc>
          <w:tcPr>
            <w:tcW w:type="dxa" w:w="3740"/>
            <w:tcMar>
              <w:top w:type="dxa" w:w="45"/>
              <w:left w:type="dxa" w:w="80"/>
              <w:bottom w:type="dxa" w:w="45"/>
              <w:right w:type="dxa" w:w="80"/>
            </w:tcMar>
          </w:tcPr>
          <w:p>
            <w:pPr>
              <w:spacing w:after="0" w:line="240"/>
            </w:pPr>
            <w:r>
              <w:rPr>
                <w:sz w:val="16"/>
                <w:szCs w:val="16"/>
              </w:rPr>
              <w:t xml:space="preserve">Estados Unidos; las Y14 las desarrolla ASME</w:t>
            </w:r>
          </w:p>
        </w:tc>
      </w:tr>
      <w:tr>
        <w:trPr>
          <w:cantSplit/>
        </w:trPr>
        <w:tc>
          <w:tcPr>
            <w:tcW w:type="dxa" w:w="2600"/>
            <w:shd w:fill="EAF1F8" w:color="auto" w:val="clear"/>
            <w:tcMar>
              <w:top w:type="dxa" w:w="45"/>
              <w:left w:type="dxa" w:w="80"/>
              <w:bottom w:type="dxa" w:w="45"/>
              <w:right w:type="dxa" w:w="80"/>
            </w:tcMar>
          </w:tcPr>
          <w:p>
            <w:pPr>
              <w:spacing w:after="0" w:line="240"/>
            </w:pPr>
            <w:r>
              <w:rPr>
                <w:b/>
                <w:bCs/>
                <w:sz w:val="16"/>
                <w:szCs w:val="16"/>
              </w:rPr>
              <w:t xml:space="preserve">Unidades habituales</w:t>
            </w:r>
          </w:p>
        </w:tc>
        <w:tc>
          <w:tcPr>
            <w:tcW w:type="dxa" w:w="3740"/>
            <w:shd w:fill="EAF1F8" w:color="auto" w:val="clear"/>
            <w:tcMar>
              <w:top w:type="dxa" w:w="45"/>
              <w:left w:type="dxa" w:w="80"/>
              <w:bottom w:type="dxa" w:w="45"/>
              <w:right w:type="dxa" w:w="80"/>
            </w:tcMar>
          </w:tcPr>
          <w:p>
            <w:pPr>
              <w:spacing w:after="0" w:line="240"/>
            </w:pPr>
            <w:r>
              <w:rPr>
                <w:sz w:val="16"/>
                <w:szCs w:val="16"/>
              </w:rPr>
              <w:t xml:space="preserve">Milímetros (mm)</w:t>
            </w:r>
          </w:p>
        </w:tc>
        <w:tc>
          <w:tcPr>
            <w:tcW w:type="dxa" w:w="3740"/>
            <w:shd w:fill="EAF1F8" w:color="auto" w:val="clear"/>
            <w:tcMar>
              <w:top w:type="dxa" w:w="45"/>
              <w:left w:type="dxa" w:w="80"/>
              <w:bottom w:type="dxa" w:w="45"/>
              <w:right w:type="dxa" w:w="80"/>
            </w:tcMar>
          </w:tcPr>
          <w:p>
            <w:pPr>
              <w:spacing w:after="0" w:line="240"/>
            </w:pPr>
            <w:r>
              <w:rPr>
                <w:sz w:val="16"/>
                <w:szCs w:val="16"/>
              </w:rPr>
              <w:t xml:space="preserve">Pulgadas (in)</w:t>
            </w:r>
          </w:p>
        </w:tc>
      </w:tr>
      <w:tr>
        <w:trPr>
          <w:cantSplit/>
        </w:trPr>
        <w:tc>
          <w:tcPr>
            <w:tcW w:type="dxa" w:w="2600"/>
            <w:tcMar>
              <w:top w:type="dxa" w:w="45"/>
              <w:left w:type="dxa" w:w="80"/>
              <w:bottom w:type="dxa" w:w="45"/>
              <w:right w:type="dxa" w:w="80"/>
            </w:tcMar>
          </w:tcPr>
          <w:p>
            <w:pPr>
              <w:spacing w:after="0" w:line="240"/>
            </w:pPr>
            <w:r>
              <w:rPr>
                <w:b/>
                <w:bCs/>
                <w:sz w:val="16"/>
                <w:szCs w:val="16"/>
              </w:rPr>
              <w:t xml:space="preserve">Método de proyección</w:t>
            </w:r>
          </w:p>
        </w:tc>
        <w:tc>
          <w:tcPr>
            <w:tcW w:type="dxa" w:w="3740"/>
            <w:tcMar>
              <w:top w:type="dxa" w:w="45"/>
              <w:left w:type="dxa" w:w="80"/>
              <w:bottom w:type="dxa" w:w="45"/>
              <w:right w:type="dxa" w:w="80"/>
            </w:tcMar>
          </w:tcPr>
          <w:p>
            <w:pPr>
              <w:spacing w:after="0" w:line="240"/>
            </w:pPr>
            <w:r>
              <w:rPr>
                <w:sz w:val="16"/>
                <w:szCs w:val="16"/>
              </w:rPr>
              <w:t xml:space="preserve">Primer diedro</w:t>
            </w:r>
          </w:p>
        </w:tc>
        <w:tc>
          <w:tcPr>
            <w:tcW w:type="dxa" w:w="3740"/>
            <w:tcMar>
              <w:top w:type="dxa" w:w="45"/>
              <w:left w:type="dxa" w:w="80"/>
              <w:bottom w:type="dxa" w:w="45"/>
              <w:right w:type="dxa" w:w="80"/>
            </w:tcMar>
          </w:tcPr>
          <w:p>
            <w:pPr>
              <w:spacing w:after="0" w:line="240"/>
            </w:pPr>
            <w:r>
              <w:rPr>
                <w:sz w:val="16"/>
                <w:szCs w:val="16"/>
              </w:rPr>
              <w:t xml:space="preserve">Tercer diedro</w:t>
            </w:r>
          </w:p>
        </w:tc>
      </w:tr>
      <w:tr>
        <w:trPr>
          <w:cantSplit/>
        </w:trPr>
        <w:tc>
          <w:tcPr>
            <w:tcW w:type="dxa" w:w="2600"/>
            <w:shd w:fill="EAF1F8" w:color="auto" w:val="clear"/>
            <w:tcMar>
              <w:top w:type="dxa" w:w="45"/>
              <w:left w:type="dxa" w:w="80"/>
              <w:bottom w:type="dxa" w:w="45"/>
              <w:right w:type="dxa" w:w="80"/>
            </w:tcMar>
          </w:tcPr>
          <w:p>
            <w:pPr>
              <w:spacing w:after="0" w:line="240"/>
            </w:pPr>
            <w:r>
              <w:rPr>
                <w:b/>
                <w:bCs/>
                <w:sz w:val="16"/>
                <w:szCs w:val="16"/>
              </w:rPr>
              <w:t xml:space="preserve">Tolerancias geométricas por defecto</w:t>
            </w:r>
          </w:p>
        </w:tc>
        <w:tc>
          <w:tcPr>
            <w:tcW w:type="dxa" w:w="3740"/>
            <w:shd w:fill="EAF1F8" w:color="auto" w:val="clear"/>
            <w:tcMar>
              <w:top w:type="dxa" w:w="45"/>
              <w:left w:type="dxa" w:w="80"/>
              <w:bottom w:type="dxa" w:w="45"/>
              <w:right w:type="dxa" w:w="80"/>
            </w:tcMar>
          </w:tcPr>
          <w:p>
            <w:pPr>
              <w:spacing w:after="0" w:line="240"/>
            </w:pPr>
            <w:r>
              <w:rPr>
                <w:sz w:val="16"/>
                <w:szCs w:val="16"/>
              </w:rPr>
              <w:t xml:space="preserve">Independencia: cada requisito se verifica por separado (ISO 8015). </w:t>
            </w:r>
            <w:r>
              <w:rPr>
                <w:color w:val="5B6575"/>
                <w:sz w:val="13"/>
                <w:szCs w:val="13"/>
              </w:rPr>
              <w:t xml:space="preserve">[12]</w:t>
            </w:r>
          </w:p>
        </w:tc>
        <w:tc>
          <w:tcPr>
            <w:tcW w:type="dxa" w:w="3740"/>
            <w:shd w:fill="EAF1F8" w:color="auto" w:val="clear"/>
            <w:tcMar>
              <w:top w:type="dxa" w:w="45"/>
              <w:left w:type="dxa" w:w="80"/>
              <w:bottom w:type="dxa" w:w="45"/>
              <w:right w:type="dxa" w:w="80"/>
            </w:tcMar>
          </w:tcPr>
          <w:p>
            <w:pPr>
              <w:spacing w:after="0" w:line="240"/>
            </w:pPr>
            <w:r>
              <w:rPr>
                <w:sz w:val="16"/>
                <w:szCs w:val="16"/>
              </w:rPr>
              <w:t xml:space="preserve">Regla #1 (envolvente) para elementos de tamaño (Y14.5-2018). </w:t>
            </w:r>
            <w:r>
              <w:rPr>
                <w:color w:val="5B6575"/>
                <w:sz w:val="13"/>
                <w:szCs w:val="13"/>
              </w:rPr>
              <w:t xml:space="preserve">[8]</w:t>
            </w:r>
          </w:p>
        </w:tc>
      </w:tr>
      <w:tr>
        <w:trPr>
          <w:cantSplit/>
        </w:trPr>
        <w:tc>
          <w:tcPr>
            <w:tcW w:type="dxa" w:w="2600"/>
            <w:tcMar>
              <w:top w:type="dxa" w:w="45"/>
              <w:left w:type="dxa" w:w="80"/>
              <w:bottom w:type="dxa" w:w="45"/>
              <w:right w:type="dxa" w:w="80"/>
            </w:tcMar>
          </w:tcPr>
          <w:p>
            <w:pPr>
              <w:spacing w:after="0" w:line="240"/>
            </w:pPr>
            <w:r>
              <w:rPr>
                <w:b/>
                <w:bCs/>
                <w:sz w:val="16"/>
                <w:szCs w:val="16"/>
              </w:rPr>
              <w:t xml:space="preserve">Formatos de hoja</w:t>
            </w:r>
          </w:p>
        </w:tc>
        <w:tc>
          <w:tcPr>
            <w:tcW w:type="dxa" w:w="3740"/>
            <w:tcMar>
              <w:top w:type="dxa" w:w="45"/>
              <w:left w:type="dxa" w:w="80"/>
              <w:bottom w:type="dxa" w:w="45"/>
              <w:right w:type="dxa" w:w="80"/>
            </w:tcMar>
          </w:tcPr>
          <w:p>
            <w:pPr>
              <w:spacing w:after="0" w:line="240"/>
            </w:pPr>
            <w:r>
              <w:rPr>
                <w:sz w:val="16"/>
                <w:szCs w:val="16"/>
              </w:rPr>
              <w:t xml:space="preserve">Serie A: A0 841 × 1189 mm; A4 210 × 297 mm. </w:t>
            </w:r>
            <w:r>
              <w:rPr>
                <w:color w:val="5B6575"/>
                <w:sz w:val="13"/>
                <w:szCs w:val="13"/>
              </w:rPr>
              <w:t xml:space="preserve">[6]</w:t>
            </w:r>
          </w:p>
        </w:tc>
        <w:tc>
          <w:tcPr>
            <w:tcW w:type="dxa" w:w="3740"/>
            <w:tcMar>
              <w:top w:type="dxa" w:w="45"/>
              <w:left w:type="dxa" w:w="80"/>
              <w:bottom w:type="dxa" w:w="45"/>
              <w:right w:type="dxa" w:w="80"/>
            </w:tcMar>
          </w:tcPr>
          <w:p>
            <w:pPr>
              <w:spacing w:after="0" w:line="240"/>
            </w:pPr>
            <w:r>
              <w:rPr>
                <w:sz w:val="16"/>
                <w:szCs w:val="16"/>
              </w:rPr>
              <w:t xml:space="preserve">Serie en pulgadas: A 8.5 × 11 in hasta E 34 × 44 in. El tamaño ANSI B no equivale al ISO B. </w:t>
            </w:r>
            <w:r>
              <w:rPr>
                <w:color w:val="5B6575"/>
                <w:sz w:val="13"/>
                <w:szCs w:val="13"/>
              </w:rPr>
              <w:t xml:space="preserve">[13]</w:t>
            </w:r>
          </w:p>
        </w:tc>
      </w:tr>
    </w:tbl>
    <w:p>
      <w:pPr>
        <w:spacing w:after="60"/>
      </w:pPr>
    </w:p>
    <w:p>
      <w:pPr>
        <w:pStyle w:val="Heading2"/>
      </w:pPr>
      <w:r>
        <w:t xml:space="preserve">4. Importancia de utilizar normas en planos de ingeniería</w:t>
      </w:r>
    </w:p>
    <w:p>
      <w:pPr>
        <w:pStyle w:val="ListParagraph"/>
        <w:numPr>
          <w:ilvl w:val="0"/>
          <w:numId w:val="2"/>
        </w:numPr>
        <w:spacing w:after="50" w:line="264"/>
      </w:pPr>
      <w:r>
        <w:rPr>
          <w:b/>
          <w:bCs/>
          <w:sz w:val="19"/>
          <w:szCs w:val="19"/>
        </w:rPr>
        <w:t xml:space="preserve">Intercambiabilidad:</w:t>
      </w:r>
      <w:r>
        <w:rPr>
          <w:sz w:val="19"/>
          <w:szCs w:val="19"/>
        </w:rPr>
        <w:t xml:space="preserve"> piezas fabricadas en talleres distintos encajan si las tolerancias y ajustes se definen con normas comunes, como ISO 286-1 para ajustes. </w:t>
      </w:r>
      <w:r>
        <w:rPr>
          <w:color w:val="5B6575"/>
          <w:sz w:val="16"/>
          <w:szCs w:val="16"/>
        </w:rPr>
        <w:t xml:space="preserve">[14]</w:t>
      </w:r>
    </w:p>
    <w:p>
      <w:pPr>
        <w:pStyle w:val="ListParagraph"/>
        <w:numPr>
          <w:ilvl w:val="0"/>
          <w:numId w:val="2"/>
        </w:numPr>
        <w:spacing w:after="50" w:line="264"/>
      </w:pPr>
      <w:r>
        <w:rPr>
          <w:b/>
          <w:bCs/>
          <w:sz w:val="19"/>
          <w:szCs w:val="19"/>
        </w:rPr>
        <w:t xml:space="preserve">Comunicación sin ambigüedad:</w:t>
      </w:r>
      <w:r>
        <w:rPr>
          <w:sz w:val="19"/>
          <w:szCs w:val="19"/>
        </w:rPr>
        <w:t xml:space="preserve"> los símbolos normalizados, como los de ISO 1101, tienen una sola interpretación en cualquier país y taller. </w:t>
      </w:r>
      <w:r>
        <w:rPr>
          <w:color w:val="5B6575"/>
          <w:sz w:val="16"/>
          <w:szCs w:val="16"/>
        </w:rPr>
        <w:t xml:space="preserve">[5]</w:t>
      </w:r>
      <w:r>
        <w:rPr>
          <w:sz w:val="19"/>
          <w:szCs w:val="19"/>
        </w:rPr>
        <w:t xml:space="preserve"> Según ASEE, la mala lectura de los dibujos es una causa habitual de problemas técnicos (argumento, no estudio medido). </w:t>
      </w:r>
      <w:r>
        <w:rPr>
          <w:color w:val="5B6575"/>
          <w:sz w:val="16"/>
          <w:szCs w:val="16"/>
        </w:rPr>
        <w:t xml:space="preserve">[16]</w:t>
      </w:r>
    </w:p>
    <w:p>
      <w:pPr>
        <w:pStyle w:val="ListParagraph"/>
        <w:numPr>
          <w:ilvl w:val="0"/>
          <w:numId w:val="2"/>
        </w:numPr>
        <w:spacing w:after="50" w:line="264"/>
      </w:pPr>
      <w:r>
        <w:rPr>
          <w:b/>
          <w:bCs/>
          <w:sz w:val="19"/>
          <w:szCs w:val="19"/>
        </w:rPr>
        <w:t xml:space="preserve">Menos errores de fabricación:</w:t>
      </w:r>
      <w:r>
        <w:rPr>
          <w:sz w:val="19"/>
          <w:szCs w:val="19"/>
        </w:rPr>
        <w:t xml:space="preserve"> reglas claras reducen el retrabajo. Ejemplo ilustrativo: una tolerancia de posición Ø0.2 respecto a los datums A y B ubica el agujero de un pasador.</w:t>
      </w:r>
    </w:p>
    <w:p>
      <w:pPr>
        <w:pStyle w:val="ListParagraph"/>
        <w:numPr>
          <w:ilvl w:val="0"/>
          <w:numId w:val="2"/>
        </w:numPr>
        <w:spacing w:after="50" w:line="264"/>
      </w:pPr>
      <w:r>
        <w:rPr>
          <w:b/>
          <w:bCs/>
          <w:sz w:val="19"/>
          <w:szCs w:val="19"/>
        </w:rPr>
        <w:t xml:space="preserve">Requisitos contractuales y legales:</w:t>
      </w:r>
      <w:r>
        <w:rPr>
          <w:sz w:val="19"/>
          <w:szCs w:val="19"/>
        </w:rPr>
        <w:t xml:space="preserve"> contratos y licitaciones suelen exigir una norma específica, y el plano debe declarar cuál aplica. En trámites oficiales, las unidades se rigen por la NOM-008-SE-2021. </w:t>
      </w:r>
      <w:r>
        <w:rPr>
          <w:color w:val="5B6575"/>
          <w:sz w:val="16"/>
          <w:szCs w:val="16"/>
        </w:rPr>
        <w:t xml:space="preserve">[1]</w:t>
      </w:r>
    </w:p>
    <w:p>
      <w:pPr>
        <w:pStyle w:val="ListParagraph"/>
        <w:numPr>
          <w:ilvl w:val="0"/>
          <w:numId w:val="2"/>
        </w:numPr>
        <w:spacing w:after="50" w:line="264"/>
      </w:pPr>
      <w:r>
        <w:rPr>
          <w:b/>
          <w:bCs/>
          <w:sz w:val="19"/>
          <w:szCs w:val="19"/>
        </w:rPr>
        <w:t xml:space="preserve">Referencia industrial:</w:t>
      </w:r>
      <w:r>
        <w:rPr>
          <w:sz w:val="19"/>
          <w:szCs w:val="19"/>
        </w:rPr>
        <w:t xml:space="preserve"> según ASME, Y14.5 es el sistema de tolerancias predominante en Estados Unidos. </w:t>
      </w:r>
      <w:r>
        <w:rPr>
          <w:color w:val="5B6575"/>
          <w:sz w:val="16"/>
          <w:szCs w:val="16"/>
        </w:rPr>
        <w:t xml:space="preserve">[15]</w:t>
      </w:r>
    </w:p>
    <w:p>
      <w:pPr>
        <w:pStyle w:val="Heading2"/>
      </w:pPr>
      <w:r>
        <w:t xml:space="preserve">5. Conclusión</w:t>
      </w:r>
    </w:p>
    <w:p>
      <w:pPr>
        <w:spacing w:after="80" w:line="264"/>
        <w:jc w:val="both"/>
      </w:pPr>
      <w:r>
        <w:rPr>
          <w:sz w:val="19"/>
          <w:szCs w:val="19"/>
        </w:rPr>
        <w:t xml:space="preserve">ISO y ANSI/ASME resuelven el mismo problema con reglas distintas, por eso un plano debe declarar la norma que aplica. En México, el dibujo técnico se apoya en NMX voluntarias, mientras que las NOM son de cumplimiento obligatorio. Saber qué norma rige un plano es el primer paso para leerlo o fabricarlo.</w:t>
      </w:r>
    </w:p>
    <w:p>
      <w:pPr>
        <w:pStyle w:val="Heading2"/>
      </w:pPr>
      <w:r>
        <w:t xml:space="preserve">Fuentes</w:t>
      </w:r>
    </w:p>
    <w:p>
      <w:pPr>
        <w:spacing w:after="30" w:line="240"/>
        <w:ind w:left="300" w:hanging="300"/>
      </w:pPr>
      <w:r>
        <w:rPr>
          <w:color w:val="5B6575"/>
          <w:sz w:val="12"/>
          <w:szCs w:val="12"/>
        </w:rPr>
        <w:t xml:space="preserve">[1]</w:t>
      </w:r>
      <w:r>
        <w:rPr>
          <w:color w:val="5B6575"/>
          <w:sz w:val="15"/>
          <w:szCs w:val="15"/>
        </w:rPr>
        <w:t xml:space="preserve"> Secretaría de Economía, “NOM-008-SE-2021, Sistema general de unidades de medida,” Diario Oficial de la Federación, 2023. [En línea]. Disponible: https://www.dof.gob.mx/nota_detalle.php?codigo=5713228&amp;fecha=29%2F12%2F2023</w:t>
      </w:r>
    </w:p>
    <w:p>
      <w:pPr>
        <w:spacing w:after="30" w:line="240"/>
        <w:ind w:left="300" w:hanging="300"/>
      </w:pPr>
      <w:r>
        <w:rPr>
          <w:color w:val="5B6575"/>
          <w:sz w:val="12"/>
          <w:szCs w:val="12"/>
        </w:rPr>
        <w:t xml:space="preserve">[2]</w:t>
      </w:r>
      <w:r>
        <w:rPr>
          <w:color w:val="5B6575"/>
          <w:sz w:val="15"/>
          <w:szCs w:val="15"/>
        </w:rPr>
        <w:t xml:space="preserve"> IMNC, “NMX-DT-128-30-IMNC-2010. Dibujo técnico. Principios generales de presentación. Parte 30,” 2010. [En línea]. Disponible: https://platiica.economia.gob.mx/normalizacion/nmx-dt-128-30-imnc-2010/</w:t>
      </w:r>
    </w:p>
    <w:p>
      <w:pPr>
        <w:spacing w:after="30" w:line="240"/>
        <w:ind w:left="300" w:hanging="300"/>
      </w:pPr>
      <w:r>
        <w:rPr>
          <w:color w:val="5B6575"/>
          <w:sz w:val="12"/>
          <w:szCs w:val="12"/>
        </w:rPr>
        <w:t xml:space="preserve">[3]</w:t>
      </w:r>
      <w:r>
        <w:rPr>
          <w:color w:val="5B6575"/>
          <w:sz w:val="15"/>
          <w:szCs w:val="15"/>
        </w:rPr>
        <w:t xml:space="preserve"> ISO, “ISO 128-1:2020. Technical product documentation (TPD). General principles of representation. Part 1,” 2020. [En línea]. Disponible: https://www.iso.org/standard/65296.html</w:t>
      </w:r>
    </w:p>
    <w:p>
      <w:pPr>
        <w:spacing w:after="30" w:line="240"/>
        <w:ind w:left="300" w:hanging="300"/>
      </w:pPr>
      <w:r>
        <w:rPr>
          <w:color w:val="5B6575"/>
          <w:sz w:val="12"/>
          <w:szCs w:val="12"/>
        </w:rPr>
        <w:t xml:space="preserve">[4]</w:t>
      </w:r>
      <w:r>
        <w:rPr>
          <w:color w:val="5B6575"/>
          <w:sz w:val="15"/>
          <w:szCs w:val="15"/>
        </w:rPr>
        <w:t xml:space="preserve"> ISO, “ISO 129-1:2018. Technical product documentation (TPD). Presentation of dimensions and tolerances. Part 1,” 2018. [En línea]. Disponible: https://www.iso.org/standard/64007.html</w:t>
      </w:r>
    </w:p>
    <w:p>
      <w:pPr>
        <w:spacing w:after="30" w:line="240"/>
        <w:ind w:left="300" w:hanging="300"/>
      </w:pPr>
      <w:r>
        <w:rPr>
          <w:color w:val="5B6575"/>
          <w:sz w:val="12"/>
          <w:szCs w:val="12"/>
        </w:rPr>
        <w:t xml:space="preserve">[5]</w:t>
      </w:r>
      <w:r>
        <w:rPr>
          <w:color w:val="5B6575"/>
          <w:sz w:val="15"/>
          <w:szCs w:val="15"/>
        </w:rPr>
        <w:t xml:space="preserve"> ISO, “ISO 1101:2017. Geometrical product specifications (GPS). Geometrical tolerancing,” 2017. Fuente secundaria: https://genorma.com/en/standards/iso-1101-2017</w:t>
      </w:r>
    </w:p>
    <w:p>
      <w:pPr>
        <w:spacing w:after="30" w:line="240"/>
        <w:ind w:left="300" w:hanging="300"/>
      </w:pPr>
      <w:r>
        <w:rPr>
          <w:color w:val="5B6575"/>
          <w:sz w:val="12"/>
          <w:szCs w:val="12"/>
        </w:rPr>
        <w:t xml:space="preserve">[6]</w:t>
      </w:r>
      <w:r>
        <w:rPr>
          <w:color w:val="5B6575"/>
          <w:sz w:val="15"/>
          <w:szCs w:val="15"/>
        </w:rPr>
        <w:t xml:space="preserve"> ISO, “ISO 216:2007. Writing paper and certain classes of printed matter. Trimmed sizes. A and B series,” 2007. [En línea]. Disponible: https://www.iso.org/standard/36631.html</w:t>
      </w:r>
    </w:p>
    <w:p>
      <w:pPr>
        <w:spacing w:after="30" w:line="240"/>
        <w:ind w:left="300" w:hanging="300"/>
      </w:pPr>
      <w:r>
        <w:rPr>
          <w:color w:val="5B6575"/>
          <w:sz w:val="12"/>
          <w:szCs w:val="12"/>
        </w:rPr>
        <w:t xml:space="preserve">[7]</w:t>
      </w:r>
      <w:r>
        <w:rPr>
          <w:color w:val="5B6575"/>
          <w:sz w:val="15"/>
          <w:szCs w:val="15"/>
        </w:rPr>
        <w:t xml:space="preserve"> ANSI, “History.” [En línea]. Disponible: https://www.ansi.org/about/history</w:t>
      </w:r>
    </w:p>
    <w:p>
      <w:pPr>
        <w:spacing w:after="30" w:line="240"/>
        <w:ind w:left="300" w:hanging="300"/>
      </w:pPr>
      <w:r>
        <w:rPr>
          <w:color w:val="5B6575"/>
          <w:sz w:val="12"/>
          <w:szCs w:val="12"/>
        </w:rPr>
        <w:t xml:space="preserve">[8]</w:t>
      </w:r>
      <w:r>
        <w:rPr>
          <w:color w:val="5B6575"/>
          <w:sz w:val="15"/>
          <w:szCs w:val="15"/>
        </w:rPr>
        <w:t xml:space="preserve"> ASME, “Y14.5-2018. Dimensioning and Tolerancing.” [En línea]. Disponible: https://www.asme.org/codes-standards/find-codes-standards/y14-5-dimensioning-tolerancing/2018</w:t>
      </w:r>
    </w:p>
    <w:p>
      <w:pPr>
        <w:spacing w:after="30" w:line="240"/>
        <w:ind w:left="300" w:hanging="300"/>
      </w:pPr>
      <w:r>
        <w:rPr>
          <w:color w:val="5B6575"/>
          <w:sz w:val="12"/>
          <w:szCs w:val="12"/>
        </w:rPr>
        <w:t xml:space="preserve">[9]</w:t>
      </w:r>
      <w:r>
        <w:rPr>
          <w:color w:val="5B6575"/>
          <w:sz w:val="15"/>
          <w:szCs w:val="15"/>
        </w:rPr>
        <w:t xml:space="preserve"> ASME, “Y14.3. Orthographic and Pictorial Views.” [En línea]. Disponible: https://www.asme.org/codes-standards/find-codes-standards/y14-3-orthographic-pictorial-views</w:t>
      </w:r>
    </w:p>
    <w:p>
      <w:pPr>
        <w:spacing w:after="30" w:line="240"/>
        <w:ind w:left="300" w:hanging="300"/>
      </w:pPr>
      <w:r>
        <w:rPr>
          <w:color w:val="5B6575"/>
          <w:sz w:val="12"/>
          <w:szCs w:val="12"/>
        </w:rPr>
        <w:t xml:space="preserve">[10]</w:t>
      </w:r>
      <w:r>
        <w:rPr>
          <w:color w:val="5B6575"/>
          <w:sz w:val="15"/>
          <w:szCs w:val="15"/>
        </w:rPr>
        <w:t xml:space="preserve"> Autodesk, “Métodos de proyección,” Autodesk Help. [En línea]. Disponible: https://help.autodesk.com/cloudhelp/ENU/FDOC-Core/files/GUID-0DB05CD9-BE99-4E45-9FBD-8B8AF1F297BF.htm</w:t>
      </w:r>
    </w:p>
    <w:p>
      <w:pPr>
        <w:spacing w:after="30" w:line="240"/>
        <w:ind w:left="300" w:hanging="300"/>
      </w:pPr>
      <w:r>
        <w:rPr>
          <w:color w:val="5B6575"/>
          <w:sz w:val="12"/>
          <w:szCs w:val="12"/>
        </w:rPr>
        <w:t xml:space="preserve">[11]</w:t>
      </w:r>
      <w:r>
        <w:rPr>
          <w:color w:val="5B6575"/>
          <w:sz w:val="15"/>
          <w:szCs w:val="15"/>
        </w:rPr>
        <w:t xml:space="preserve"> ISO, “ISO 128-3:2022.” Ficha de catálogo. [En línea]. Disponible: https://iteh.es/catalog/standards/iso/75d888a5-6e9a-4fac-9120-8f2dffc20899/iso-128-3-2022</w:t>
      </w:r>
    </w:p>
    <w:p>
      <w:pPr>
        <w:spacing w:after="30" w:line="240"/>
        <w:ind w:left="300" w:hanging="300"/>
      </w:pPr>
      <w:r>
        <w:rPr>
          <w:color w:val="5B6575"/>
          <w:sz w:val="12"/>
          <w:szCs w:val="12"/>
        </w:rPr>
        <w:t xml:space="preserve">[12]</w:t>
      </w:r>
      <w:r>
        <w:rPr>
          <w:color w:val="5B6575"/>
          <w:sz w:val="15"/>
          <w:szCs w:val="15"/>
        </w:rPr>
        <w:t xml:space="preserve"> ISO, “ISO 8015:2011. Geometrical product specifications (GPS). Fundamentals. Concepts, principles and rules,” 2011. [En línea]. Disponible: https://www.iso.org/standard/55979.html</w:t>
      </w:r>
    </w:p>
    <w:p>
      <w:pPr>
        <w:spacing w:after="30" w:line="240"/>
        <w:ind w:left="300" w:hanging="300"/>
      </w:pPr>
      <w:r>
        <w:rPr>
          <w:color w:val="5B6575"/>
          <w:sz w:val="12"/>
          <w:szCs w:val="12"/>
        </w:rPr>
        <w:t xml:space="preserve">[13]</w:t>
      </w:r>
      <w:r>
        <w:rPr>
          <w:color w:val="5B6575"/>
          <w:sz w:val="15"/>
          <w:szCs w:val="15"/>
        </w:rPr>
        <w:t xml:space="preserve"> ANSI, “Standard paper sizes: ISO &amp; ANSI A/A4,” blog de ANSI. [En línea]. Disponible: https://blog.ansi.org/ansi/standard-paper-sizes-iso-ansi-a-a4/</w:t>
      </w:r>
    </w:p>
    <w:p>
      <w:pPr>
        <w:spacing w:after="30" w:line="240"/>
        <w:ind w:left="300" w:hanging="300"/>
      </w:pPr>
      <w:r>
        <w:rPr>
          <w:color w:val="5B6575"/>
          <w:sz w:val="12"/>
          <w:szCs w:val="12"/>
        </w:rPr>
        <w:t xml:space="preserve">[14]</w:t>
      </w:r>
      <w:r>
        <w:rPr>
          <w:color w:val="5B6575"/>
          <w:sz w:val="15"/>
          <w:szCs w:val="15"/>
        </w:rPr>
        <w:t xml:space="preserve"> ISO, “ISO 286-1:2010. Geometrical product specifications (GPS). ISO code system for tolerances on linear sizes. Part 1,” 2010. [En línea]. Disponible: https://www.iso.org/standard/45975.html</w:t>
      </w:r>
    </w:p>
    <w:p>
      <w:pPr>
        <w:spacing w:after="30" w:line="240"/>
        <w:ind w:left="300" w:hanging="300"/>
      </w:pPr>
      <w:r>
        <w:rPr>
          <w:color w:val="5B6575"/>
          <w:sz w:val="12"/>
          <w:szCs w:val="12"/>
        </w:rPr>
        <w:t xml:space="preserve">[15]</w:t>
      </w:r>
      <w:r>
        <w:rPr>
          <w:color w:val="5B6575"/>
          <w:sz w:val="15"/>
          <w:szCs w:val="15"/>
        </w:rPr>
        <w:t xml:space="preserve"> ASME, “Workforce blog: engineering education falls short on GD&amp;T.” [En línea]. Disponible: https://www.asme.org/topics-resources/content/workforce-blog-engineering-education-falls-short-on-gd-t</w:t>
      </w:r>
    </w:p>
    <w:p>
      <w:pPr>
        <w:spacing w:after="30" w:line="240"/>
        <w:ind w:left="300" w:hanging="300"/>
      </w:pPr>
      <w:r>
        <w:rPr>
          <w:color w:val="5B6575"/>
          <w:sz w:val="12"/>
          <w:szCs w:val="12"/>
        </w:rPr>
        <w:t xml:space="preserve">[16]</w:t>
      </w:r>
      <w:r>
        <w:rPr>
          <w:color w:val="5B6575"/>
          <w:sz w:val="15"/>
          <w:szCs w:val="15"/>
        </w:rPr>
        <w:t xml:space="preserve"> ASEE, “Modifying CAD courses to improve proficiency in interpretation of engineering drawings.” [En línea]. Disponible: https://peer.asee.org/modifying-cad-courses-to-improve-proficiency-in-interpretation-of-engineering-drawings-using-modified-constructivism-approach.pdf</w:t>
      </w:r>
    </w:p>
    <w:sectPr>
      <w:footerReference w:type="default" r:id="rId7"/>
      <w:pgSz w:w="12240" w:h="15840" w:orient="portrait"/>
      <w:pgMar w:top="1000" w:right="1080" w:bottom="1000" w:left="1080"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5"/>
        <w:sz w:val="15"/>
        <w:szCs w:val="15"/>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43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pBdr>
        <w:bottom w:val="single" w:color="C9D3DF" w:sz="6" w:space="2"/>
      </w:pBdr>
      <w:spacing w:after="80" w:before="20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213c3029551e2abfbf1c136ddabc7685bb91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de dibujo técnico: NOM, ISO y ANSI</dc:title>
  <dc:creator>CAD2026</dc:creator>
  <cp:lastModifiedBy>Un-named</cp:lastModifiedBy>
  <cp:revision>1</cp:revision>
  <dcterms:created xsi:type="dcterms:W3CDTF">2026-10-10T01:14:32.566Z</dcterms:created>
  <dcterms:modified xsi:type="dcterms:W3CDTF">2026-10-10T01:14:32.566Z</dcterms:modified>
</cp:coreProperties>
</file>

<file path=docProps/custom.xml><?xml version="1.0" encoding="utf-8"?>
<Properties xmlns="http://schemas.openxmlformats.org/officeDocument/2006/custom-properties" xmlns:vt="http://schemas.openxmlformats.org/officeDocument/2006/docPropsVTypes"/>
</file>