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GoFound Quant Platform</w:t>
      </w:r>
    </w:p>
    <w:p>
      <w:pPr>
        <w:pStyle w:val="Heading2"/>
      </w:pPr>
      <w:r>
        <w:t>Documento de Visión v1.0</w:t>
      </w:r>
    </w:p>
    <w:p>
      <w:r>
        <w:t>Estado: Aprobado</w:t>
        <w:br/>
        <w:t>Fecha: Julio 2026</w:t>
      </w:r>
    </w:p>
    <w:p>
      <w:pPr>
        <w:pStyle w:val="Heading2"/>
      </w:pPr>
      <w:r>
        <w:t>Resumen</w:t>
      </w:r>
    </w:p>
    <w:p>
      <w:r>
        <w:t>GoFound Quant Platform es una plataforma de investigación cuantitativa para recopilar, enriquecer, analizar y transformar datos financieros en conocimiento accionable mediante análisis estadístico, IA y modelos cuantitativos.</w:t>
      </w:r>
    </w:p>
    <w:p>
      <w:pPr>
        <w:pStyle w:val="Heading2"/>
      </w:pPr>
      <w:r>
        <w:t>Propósito</w:t>
      </w:r>
    </w:p>
    <w:p>
      <w:r>
        <w:t>Centralizar datos, construir conocimiento, evaluar estrategias, aprender continuamente y asistir decisiones mediante evidencia.</w:t>
      </w:r>
    </w:p>
    <w:p>
      <w:pPr>
        <w:pStyle w:val="Heading2"/>
      </w:pPr>
      <w:r>
        <w:t>Misión</w:t>
      </w:r>
    </w:p>
    <w:p>
      <w:r>
        <w:t>Construir una plataforma cuantitativa modular, transparente y escalable.</w:t>
      </w:r>
    </w:p>
    <w:p>
      <w:pPr>
        <w:pStyle w:val="Heading2"/>
      </w:pPr>
      <w:r>
        <w:t>Visión</w:t>
      </w:r>
    </w:p>
    <w:p>
      <w:r>
        <w:t>Descubrir oportunidades mediante procesos reproducibles, explicables y medibles.</w:t>
      </w:r>
    </w:p>
    <w:p>
      <w:pPr>
        <w:pStyle w:val="Heading2"/>
      </w:pPr>
      <w:r>
        <w:t>Principios</w:t>
      </w:r>
    </w:p>
    <w:p>
      <w:r>
        <w:t>Datos como activo principal; decisiones explicables; arquitectura modular; aprendizaje continuo; experimentación permanente.</w:t>
      </w:r>
    </w:p>
    <w:p>
      <w:pPr>
        <w:pStyle w:val="Heading2"/>
      </w:pPr>
      <w:r>
        <w:t>Objetivos</w:t>
      </w:r>
    </w:p>
    <w:p>
      <w:r>
        <w:t>Históricos, indicadores, patrones, contexto, ML, backtesting, riesgo, agentes y auditoría.</w:t>
      </w:r>
    </w:p>
    <w:p>
      <w:pPr>
        <w:pStyle w:val="Heading2"/>
      </w:pPr>
      <w:r>
        <w:t>Alcance</w:t>
      </w:r>
    </w:p>
    <w:p>
      <w:r>
        <w:t>Forex, Metales, MT5, TimescaleDB, Python, FastAPI y OpenClaw.</w:t>
      </w:r>
    </w:p>
    <w:p>
      <w:pPr>
        <w:pStyle w:val="Heading2"/>
      </w:pPr>
      <w:r>
        <w:t>Arquitectura</w:t>
      </w:r>
    </w:p>
    <w:p>
      <w:r>
        <w:t>Collectors → TimescaleDB → Feature/Pattern Engine → Decision/Risk → Dashboard/OpenClaw.</w:t>
      </w:r>
    </w:p>
    <w:p>
      <w:pPr>
        <w:pStyle w:val="Heading2"/>
      </w:pPr>
      <w:r>
        <w:t>Roadmap</w:t>
      </w:r>
    </w:p>
    <w:p>
      <w:r>
        <w:t>F1 Infraestructura. F2 Enriquecimiento. F3 Investigación. F4 IA. F5 Producción.</w:t>
      </w:r>
    </w:p>
    <w:p>
      <w:pPr>
        <w:pStyle w:val="Heading2"/>
      </w:pPr>
      <w:r>
        <w:t>Lema</w:t>
      </w:r>
    </w:p>
    <w:p>
      <w:r>
        <w:t>We don't predict markets. We discover opportunities.</w:t>
        <w:br/>
        <w:t>No intentamos predecir el mercado. Descubrimos oportunidades respaldadas por evidencia.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