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906E2" w14:textId="65AB0E21" w:rsidR="00215176" w:rsidRPr="00D162A1" w:rsidRDefault="00215176" w:rsidP="00215176">
      <w:pPr>
        <w:pStyle w:val="Heading1"/>
        <w:rPr>
          <w:rFonts w:ascii="Aptos Narrow" w:hAnsi="Aptos Narrow"/>
        </w:rPr>
      </w:pPr>
      <w:r w:rsidRPr="00D162A1">
        <w:rPr>
          <w:rFonts w:ascii="Aptos Narrow" w:hAnsi="Aptos Narrow"/>
        </w:rPr>
        <w:t>Contexto y relevancia</w:t>
      </w:r>
    </w:p>
    <w:p w14:paraId="0716A63D" w14:textId="2A73232C" w:rsidR="00215176" w:rsidRPr="00D162A1" w:rsidRDefault="00215176" w:rsidP="00215176">
      <w:pPr>
        <w:rPr>
          <w:rFonts w:ascii="Aptos Narrow" w:hAnsi="Aptos Narrow"/>
        </w:rPr>
      </w:pPr>
      <w:r w:rsidRPr="00D162A1">
        <w:rPr>
          <w:rFonts w:ascii="Aptos Narrow" w:hAnsi="Aptos Narrow"/>
        </w:rPr>
        <w:t>El acceso a la atención sanitaria es un indicador del desempeño del sistema de salud y de la prestación equitativa de la atención</w:t>
      </w:r>
      <w:r w:rsidRPr="00D162A1">
        <w:rPr>
          <w:rFonts w:ascii="Aptos Narrow" w:hAnsi="Aptos Narrow"/>
        </w:rPr>
        <w:t xml:space="preserve"> </w:t>
      </w:r>
      <w:r w:rsidRPr="00D162A1">
        <w:rPr>
          <w:rFonts w:ascii="Aptos Narrow" w:hAnsi="Aptos Narrow"/>
        </w:rPr>
        <w:fldChar w:fldCharType="begin"/>
      </w:r>
      <w:r w:rsidRPr="00D162A1">
        <w:rPr>
          <w:rFonts w:ascii="Aptos Narrow" w:hAnsi="Aptos Narrow"/>
        </w:rPr>
        <w:instrText xml:space="preserve"> ADDIN ZOTERO_ITEM CSL_CITATION {"citationID":"x8jUaT5k","properties":{"formattedCitation":"\\super 1\\nosupersub{}","plainCitation":"1","noteIndex":0},"citationItems":[{"id":1120,"uris":["http://zotero.org/users/10450489/items/ND9ZMXKP"],"itemData":{"id":1120,"type":"article-journal","abstract":"Access is central to the performance of health care systems around the world. However, access to health care remains a complex notion as exemplified in the variety of interpretations of the concept across authors. The aim of this paper is to suggest a conceptualisation of access to health care describing broad dimensions and determinants that integrate demand and supply-side-factors and enabling the operationalisation of access to health care all along the process of obtaining care and benefiting from the services.","container-title":"International Journal for Equity in Health","DOI":"10.1186/1475-9276-12-18","ISSN":"1475-9276","issue":"1","journalAbbreviation":"Int J Equity Health","language":"en","page":"18","source":"Springer Link","title":"Patient-centred access to health care: conceptualising access at the interface of health systems and populations","title-short":"Patient-centred access to health care","volume":"12","author":[{"family":"Levesque","given":"Jean-Frederic"},{"family":"Harris","given":"Mark F."},{"family":"Russell","given":"Grant"}],"issued":{"date-parts":[["2013",3,11]]},"citation-key":"Levesque:PatientcentredAccessHealth2013"}}],"schema":"https://github.com/citation-style-language/schema/raw/master/csl-citation.json"} </w:instrText>
      </w:r>
      <w:r w:rsidRPr="00D162A1">
        <w:rPr>
          <w:rFonts w:ascii="Aptos Narrow" w:hAnsi="Aptos Narrow"/>
        </w:rPr>
        <w:fldChar w:fldCharType="separate"/>
      </w:r>
      <w:r w:rsidRPr="00D162A1">
        <w:rPr>
          <w:rFonts w:ascii="Aptos Narrow" w:hAnsi="Aptos Narrow" w:cs="Calibri"/>
          <w:kern w:val="0"/>
          <w:vertAlign w:val="superscript"/>
        </w:rPr>
        <w:t>1</w:t>
      </w:r>
      <w:r w:rsidRPr="00D162A1">
        <w:rPr>
          <w:rFonts w:ascii="Aptos Narrow" w:hAnsi="Aptos Narrow"/>
        </w:rPr>
        <w:fldChar w:fldCharType="end"/>
      </w:r>
      <w:r w:rsidRPr="00D162A1">
        <w:rPr>
          <w:rFonts w:ascii="Aptos Narrow" w:hAnsi="Aptos Narrow"/>
        </w:rPr>
        <w:t xml:space="preserve">. </w:t>
      </w:r>
    </w:p>
    <w:p w14:paraId="4E6A4E28" w14:textId="47EC180D" w:rsidR="00215176" w:rsidRPr="00D162A1" w:rsidRDefault="00215176" w:rsidP="00215176">
      <w:pPr>
        <w:rPr>
          <w:rFonts w:ascii="Aptos Narrow" w:hAnsi="Aptos Narrow"/>
        </w:rPr>
      </w:pPr>
      <w:r w:rsidRPr="00D162A1">
        <w:rPr>
          <w:rFonts w:ascii="Aptos Narrow" w:hAnsi="Aptos Narrow"/>
        </w:rPr>
        <w:t>Sin embargo</w:t>
      </w:r>
      <w:r w:rsidRPr="00D162A1">
        <w:rPr>
          <w:rFonts w:ascii="Aptos Narrow" w:hAnsi="Aptos Narrow"/>
        </w:rPr>
        <w:t>, e</w:t>
      </w:r>
      <w:r w:rsidRPr="00D162A1">
        <w:rPr>
          <w:rFonts w:ascii="Aptos Narrow" w:hAnsi="Aptos Narrow"/>
        </w:rPr>
        <w:t>l acceso a la atención médica varía según la zona, ya que depende de la ubicación de los profesionales de la salud (oferta) y del lugar de residencia de la población (demanda), y ni los profesionales de la salud ni la población están distribuidos de manera uniforme.</w:t>
      </w:r>
    </w:p>
    <w:p w14:paraId="76AA7976" w14:textId="050294B7" w:rsidR="00215176" w:rsidRPr="00D162A1" w:rsidRDefault="00215176" w:rsidP="00215176">
      <w:pPr>
        <w:rPr>
          <w:rFonts w:ascii="Aptos Narrow" w:hAnsi="Aptos Narrow"/>
        </w:rPr>
      </w:pPr>
      <w:r w:rsidRPr="00D162A1">
        <w:rPr>
          <w:rFonts w:ascii="Aptos Narrow" w:hAnsi="Aptos Narrow"/>
        </w:rPr>
        <w:t>De modo que surge</w:t>
      </w:r>
      <w:r w:rsidRPr="00D162A1">
        <w:rPr>
          <w:rFonts w:ascii="Aptos Narrow" w:hAnsi="Aptos Narrow"/>
        </w:rPr>
        <w:t xml:space="preserve"> la necesidad de métodos cuantitativos espaciales para evaluar </w:t>
      </w:r>
      <w:r w:rsidRPr="00D162A1">
        <w:rPr>
          <w:rFonts w:ascii="Aptos Narrow" w:hAnsi="Aptos Narrow"/>
        </w:rPr>
        <w:t xml:space="preserve">el acceso. </w:t>
      </w:r>
    </w:p>
    <w:p w14:paraId="682A6D7D" w14:textId="3C8C8A82" w:rsidR="00215176" w:rsidRPr="00D162A1" w:rsidRDefault="00215176" w:rsidP="00215176">
      <w:pPr>
        <w:rPr>
          <w:rFonts w:ascii="Aptos Narrow" w:eastAsiaTheme="majorEastAsia" w:hAnsi="Aptos Narrow" w:cstheme="majorBidi"/>
          <w:color w:val="2F5496" w:themeColor="accent1" w:themeShade="BF"/>
          <w:sz w:val="40"/>
          <w:szCs w:val="40"/>
        </w:rPr>
      </w:pPr>
      <w:r w:rsidRPr="00D162A1">
        <w:rPr>
          <w:rFonts w:ascii="Aptos Narrow" w:eastAsiaTheme="majorEastAsia" w:hAnsi="Aptos Narrow" w:cstheme="majorBidi"/>
          <w:color w:val="2F5496" w:themeColor="accent1" w:themeShade="BF"/>
          <w:sz w:val="40"/>
          <w:szCs w:val="40"/>
        </w:rPr>
        <w:t>¿Qué entendemos por “acceso” en salud?</w:t>
      </w:r>
    </w:p>
    <w:p w14:paraId="74AF624E" w14:textId="0931662C" w:rsidR="009F0E86" w:rsidRDefault="00D162A1" w:rsidP="00D162A1">
      <w:pPr>
        <w:rPr>
          <w:rFonts w:ascii="Aptos Narrow" w:hAnsi="Aptos Narrow"/>
        </w:rPr>
      </w:pPr>
      <w:r w:rsidRPr="00D162A1">
        <w:rPr>
          <w:rFonts w:ascii="Aptos Narrow" w:hAnsi="Aptos Narrow"/>
        </w:rPr>
        <w:t>La accesibilidad se refiere a la relativa facilidad con la que se puede llegar a determinados lugares, como el trabajo, las tiendas y los centros de salud, desde una ubicación determinada</w:t>
      </w:r>
      <w:r>
        <w:rPr>
          <w:rFonts w:ascii="Aptos Narrow" w:hAnsi="Aptos Narrow"/>
        </w:rPr>
        <w:t xml:space="preserve"> </w:t>
      </w:r>
      <w:r>
        <w:rPr>
          <w:rFonts w:ascii="Aptos Narrow" w:hAnsi="Aptos Narrow"/>
        </w:rPr>
        <w:fldChar w:fldCharType="begin"/>
      </w:r>
      <w:r>
        <w:rPr>
          <w:rFonts w:ascii="Aptos Narrow" w:hAnsi="Aptos Narrow"/>
        </w:rPr>
        <w:instrText xml:space="preserve"> ADDIN ZOTERO_ITEM CSL_CITATION {"citationID":"SJIHV9Cq","properties":{"formattedCitation":"\\super 2\\nosupersub{}","plainCitation":"2","noteIndex":0},"citationItems":[{"id":1122,"uris":["http://zotero.org/users/10450489/items/LAIED33T"],"itemData":{"id":1122,"type":"article-journal","abstract":"This article synthesizes two GIS-based accessibility measures into one framework, and applies the methods to examining spatial accessibility to primary healthcare in the Chicago 10-county region. The floating catchment area method defines the service area of physicians by a threshold travel time while accounting for the availability of physicians by their surrounded demands. The gravity-based method considers a nearby physician more accessible than a remote one and discounts a physician’s availability by a gravity-based potential. The former is a special case of the latter. Based on the 2000 Census and primary care physician data, this research assesses the variation of spatial accessibility to primary care in the Chicago region, and analyzes the sensitivity of results by experimenting with ranges of threshold travel times in the floating catchment area method and travel friction coefficients in the gravity model. The methods may be used to help the U.S. Department of Health and Human Services and state Health Departments improve health professional shortage areas designation.","container-title":"Environment and planning. B, Planning &amp; design","DOI":"10.1068/b29120","ISSN":"0265-8135","issue":"6","journalAbbreviation":"Environ Plann B Plann Des","note":"PMID: 34188345\nPMCID: PMC8238135","page":"865-884","source":"PubMed Central","title":"Measures of Spatial Accessibility to Healthcare in a GIS Environment: Synthesis and a Case Study in Chicago Region","title-short":"Measures of Spatial Accessibility to Healthcare in a GIS Environment","volume":"30","author":[{"family":"Luo","given":"Wei"},{"family":"Wang","given":"Fahui"}],"issued":{"date-parts":[["2003",12]]},"citation-key":"Luo:MeasuresSpatialAccessibility2003"}}],"schema":"https://github.com/citation-style-language/schema/raw/master/csl-citation.json"} </w:instrText>
      </w:r>
      <w:r>
        <w:rPr>
          <w:rFonts w:ascii="Aptos Narrow" w:hAnsi="Aptos Narrow"/>
        </w:rPr>
        <w:fldChar w:fldCharType="separate"/>
      </w:r>
      <w:r w:rsidRPr="00D162A1">
        <w:rPr>
          <w:rFonts w:ascii="Aptos Narrow" w:hAnsi="Aptos Narrow" w:cs="Times New Roman"/>
          <w:kern w:val="0"/>
          <w:vertAlign w:val="superscript"/>
        </w:rPr>
        <w:t>2</w:t>
      </w:r>
      <w:r>
        <w:rPr>
          <w:rFonts w:ascii="Aptos Narrow" w:hAnsi="Aptos Narrow"/>
        </w:rPr>
        <w:fldChar w:fldCharType="end"/>
      </w:r>
      <w:r w:rsidR="009F0E86">
        <w:rPr>
          <w:rFonts w:ascii="Aptos Narrow" w:hAnsi="Aptos Narrow"/>
        </w:rPr>
        <w:t>; la cual comprende dimensiones espaciales</w:t>
      </w:r>
      <w:r w:rsidR="00B71576">
        <w:rPr>
          <w:rFonts w:ascii="Aptos Narrow" w:hAnsi="Aptos Narrow"/>
        </w:rPr>
        <w:t xml:space="preserve"> que </w:t>
      </w:r>
      <w:r w:rsidR="009F0E86">
        <w:rPr>
          <w:rFonts w:ascii="Aptos Narrow" w:hAnsi="Aptos Narrow"/>
        </w:rPr>
        <w:t xml:space="preserve"> y no espaciales </w:t>
      </w:r>
      <w:r w:rsidR="009F0E86">
        <w:rPr>
          <w:rFonts w:ascii="Aptos Narrow" w:hAnsi="Aptos Narrow"/>
        </w:rPr>
        <w:fldChar w:fldCharType="begin"/>
      </w:r>
      <w:r w:rsidR="00B71576">
        <w:rPr>
          <w:rFonts w:ascii="Aptos Narrow" w:hAnsi="Aptos Narrow"/>
        </w:rPr>
        <w:instrText xml:space="preserve"> ADDIN ZOTERO_ITEM CSL_CITATION {"citationID":"lPDjiAwP","properties":{"formattedCitation":"\\super 3\\nosupersub{}","plainCitation":"3","noteIndex":0},"citationItems":[{"id":1125,"uris":["http://zotero.org/users/10450489/items/A5W3X95K"],"itemData":{"id":1125,"type":"article-journal","abstract":"Access to health care is a universal human right and key indicator of health system performance. Spatial access encompasses geographic factors mediating with the accessibility and availability of health services. Equity of health service access is a global issue, which includes access to the specialized nursing workforce. Nursing research applying spatial methods is in its infancy. Given the use of spatial methods in health research is a rapidly developing field, it is timely to provide guidance to inspire greater application in cardiovascular research. Therefore, the objective of this methods paper is to provide an overview of spatial analysis methods to measure the accessibility and availability of health services, when to consider applying spatial methods, and steps to consider for application in cardiovascular nursing research.","container-title":"European Journal of Cardiovascular Nursing","DOI":"10.1093/eurjcn/zvad086","ISSN":"1474-5151","issue":"8","journalAbbreviation":"Eur. J. Cardiovasc. Nurs.","page":"832-840","source":"Silverchair","title":"Spatial methods for measuring access to health care","volume":"22","author":[{"family":"Beks","given":"Hannah"},{"family":"Wood","given":"Sarah M"},{"family":"Clark","given":"Robyn A"},{"family":"Vincent","given":"Versace L"}],"issued":{"date-parts":[["2023",11,1]]},"citation-key":"Beks:SpatialMethodsMeasuring2023"}}],"schema":"https://github.com/citation-style-language/schema/raw/master/csl-citation.json"} </w:instrText>
      </w:r>
      <w:r w:rsidR="009F0E86">
        <w:rPr>
          <w:rFonts w:ascii="Aptos Narrow" w:hAnsi="Aptos Narrow"/>
        </w:rPr>
        <w:fldChar w:fldCharType="separate"/>
      </w:r>
      <w:r w:rsidR="00B71576" w:rsidRPr="00B71576">
        <w:rPr>
          <w:rFonts w:ascii="Aptos Narrow" w:hAnsi="Aptos Narrow" w:cs="Times New Roman"/>
          <w:kern w:val="0"/>
          <w:vertAlign w:val="superscript"/>
        </w:rPr>
        <w:t>3</w:t>
      </w:r>
      <w:r w:rsidR="009F0E86">
        <w:rPr>
          <w:rFonts w:ascii="Aptos Narrow" w:hAnsi="Aptos Narrow"/>
        </w:rPr>
        <w:fldChar w:fldCharType="end"/>
      </w:r>
      <w:r w:rsidR="009F0E86">
        <w:rPr>
          <w:rFonts w:ascii="Aptos Narrow" w:hAnsi="Aptos Narrow"/>
        </w:rPr>
        <w:t xml:space="preserve">: </w:t>
      </w:r>
    </w:p>
    <w:tbl>
      <w:tblPr>
        <w:tblStyle w:val="TableGridLight"/>
        <w:tblW w:w="0" w:type="auto"/>
        <w:tblLook w:val="04A0" w:firstRow="1" w:lastRow="0" w:firstColumn="1" w:lastColumn="0" w:noHBand="0" w:noVBand="1"/>
      </w:tblPr>
      <w:tblGrid>
        <w:gridCol w:w="4247"/>
        <w:gridCol w:w="4247"/>
      </w:tblGrid>
      <w:tr w:rsidR="009F0E86" w14:paraId="5E4D26A7" w14:textId="77777777" w:rsidTr="00C7166F">
        <w:tc>
          <w:tcPr>
            <w:tcW w:w="4247" w:type="dxa"/>
          </w:tcPr>
          <w:p w14:paraId="1A31969A" w14:textId="57C9161F" w:rsidR="009F0E86" w:rsidRPr="00C7166F" w:rsidRDefault="009F0E86" w:rsidP="009F0E86">
            <w:pPr>
              <w:rPr>
                <w:rFonts w:ascii="Aptos Narrow" w:hAnsi="Aptos Narrow"/>
                <w:b/>
                <w:bCs/>
              </w:rPr>
            </w:pPr>
            <w:r w:rsidRPr="00C7166F">
              <w:rPr>
                <w:rFonts w:ascii="Aptos Narrow" w:hAnsi="Aptos Narrow"/>
                <w:b/>
                <w:bCs/>
              </w:rPr>
              <w:t>Dimensiones espaciales</w:t>
            </w:r>
            <w:r w:rsidRPr="00C7166F">
              <w:rPr>
                <w:rFonts w:ascii="Aptos Narrow" w:hAnsi="Aptos Narrow"/>
                <w:b/>
                <w:bCs/>
              </w:rPr>
              <w:tab/>
            </w:r>
          </w:p>
        </w:tc>
        <w:tc>
          <w:tcPr>
            <w:tcW w:w="4247" w:type="dxa"/>
          </w:tcPr>
          <w:p w14:paraId="7B6B4BF0" w14:textId="7D797378" w:rsidR="009F0E86" w:rsidRPr="00C7166F" w:rsidRDefault="009F0E86" w:rsidP="009F0E86">
            <w:pPr>
              <w:rPr>
                <w:rFonts w:ascii="Aptos Narrow" w:hAnsi="Aptos Narrow"/>
                <w:b/>
                <w:bCs/>
              </w:rPr>
            </w:pPr>
            <w:r w:rsidRPr="00C7166F">
              <w:rPr>
                <w:rFonts w:ascii="Aptos Narrow" w:hAnsi="Aptos Narrow"/>
                <w:b/>
                <w:bCs/>
              </w:rPr>
              <w:t xml:space="preserve">Dimensiones </w:t>
            </w:r>
            <w:r w:rsidRPr="00C7166F">
              <w:rPr>
                <w:rFonts w:ascii="Aptos Narrow" w:hAnsi="Aptos Narrow"/>
                <w:b/>
                <w:bCs/>
              </w:rPr>
              <w:t xml:space="preserve">no </w:t>
            </w:r>
            <w:r w:rsidRPr="00C7166F">
              <w:rPr>
                <w:rFonts w:ascii="Aptos Narrow" w:hAnsi="Aptos Narrow"/>
                <w:b/>
                <w:bCs/>
              </w:rPr>
              <w:t>espaciales</w:t>
            </w:r>
            <w:r w:rsidRPr="00C7166F">
              <w:rPr>
                <w:rFonts w:ascii="Aptos Narrow" w:hAnsi="Aptos Narrow"/>
                <w:b/>
                <w:bCs/>
              </w:rPr>
              <w:tab/>
            </w:r>
          </w:p>
        </w:tc>
      </w:tr>
      <w:tr w:rsidR="009F0E86" w14:paraId="3E460ADD" w14:textId="77777777" w:rsidTr="00C7166F">
        <w:tc>
          <w:tcPr>
            <w:tcW w:w="4247" w:type="dxa"/>
          </w:tcPr>
          <w:p w14:paraId="50D0C73C" w14:textId="600EC666" w:rsidR="009F0E86" w:rsidRDefault="009F0E86" w:rsidP="009F0E86">
            <w:pPr>
              <w:rPr>
                <w:rFonts w:ascii="Aptos Narrow" w:hAnsi="Aptos Narrow"/>
              </w:rPr>
            </w:pPr>
            <w:r w:rsidRPr="009F0E86">
              <w:rPr>
                <w:rFonts w:ascii="Aptos Narrow" w:hAnsi="Aptos Narrow"/>
              </w:rPr>
              <w:t>Accesibilidad: proximidad de los servicios a los consumidores, teniendo en cuenta la distancia y el tiempo de desplazamiento</w:t>
            </w:r>
          </w:p>
        </w:tc>
        <w:tc>
          <w:tcPr>
            <w:tcW w:w="4247" w:type="dxa"/>
          </w:tcPr>
          <w:p w14:paraId="06FEA2B6" w14:textId="77777777" w:rsidR="009F0E86" w:rsidRPr="009F0E86" w:rsidRDefault="009F0E86" w:rsidP="009F0E86">
            <w:pPr>
              <w:rPr>
                <w:rFonts w:ascii="Aptos Narrow" w:hAnsi="Aptos Narrow"/>
              </w:rPr>
            </w:pPr>
            <w:r w:rsidRPr="009F0E86">
              <w:rPr>
                <w:rFonts w:ascii="Aptos Narrow" w:hAnsi="Aptos Narrow"/>
              </w:rPr>
              <w:t>Asequibilidad: costo de la atención médica para los proveedores de servicios y los consumidores</w:t>
            </w:r>
          </w:p>
          <w:p w14:paraId="74781838" w14:textId="41D673E5" w:rsidR="009F0E86" w:rsidRDefault="009F0E86" w:rsidP="009F0E86">
            <w:pPr>
              <w:rPr>
                <w:rFonts w:ascii="Aptos Narrow" w:hAnsi="Aptos Narrow"/>
              </w:rPr>
            </w:pPr>
          </w:p>
        </w:tc>
      </w:tr>
      <w:tr w:rsidR="009F0E86" w14:paraId="4F29A45F" w14:textId="77777777" w:rsidTr="00C7166F">
        <w:tc>
          <w:tcPr>
            <w:tcW w:w="4247" w:type="dxa"/>
          </w:tcPr>
          <w:p w14:paraId="201B9721" w14:textId="31DE3370" w:rsidR="009F0E86" w:rsidRDefault="009F0E86" w:rsidP="009F0E86">
            <w:pPr>
              <w:rPr>
                <w:rFonts w:ascii="Aptos Narrow" w:hAnsi="Aptos Narrow"/>
              </w:rPr>
            </w:pPr>
            <w:r w:rsidRPr="009F0E86">
              <w:rPr>
                <w:rFonts w:ascii="Aptos Narrow" w:hAnsi="Aptos Narrow"/>
              </w:rPr>
              <w:t xml:space="preserve">Disponibilidad: ubicación y capacidad de los servicios para satisfacer la demanda de los consumidores y la comunidad   </w:t>
            </w:r>
          </w:p>
        </w:tc>
        <w:tc>
          <w:tcPr>
            <w:tcW w:w="4247" w:type="dxa"/>
          </w:tcPr>
          <w:p w14:paraId="23EEDB2D" w14:textId="77777777" w:rsidR="009F0E86" w:rsidRPr="009F0E86" w:rsidRDefault="009F0E86" w:rsidP="009F0E86">
            <w:pPr>
              <w:rPr>
                <w:rFonts w:ascii="Aptos Narrow" w:hAnsi="Aptos Narrow"/>
              </w:rPr>
            </w:pPr>
            <w:r w:rsidRPr="009F0E86">
              <w:rPr>
                <w:rFonts w:ascii="Aptos Narrow" w:hAnsi="Aptos Narrow"/>
              </w:rPr>
              <w:t>Aceptabilidad: actitudes hacia los servicios desde la perspectiva del proveedor y del consumidor</w:t>
            </w:r>
          </w:p>
          <w:p w14:paraId="5D819478" w14:textId="77777777" w:rsidR="009F0E86" w:rsidRDefault="009F0E86" w:rsidP="009F0E86">
            <w:pPr>
              <w:rPr>
                <w:rFonts w:ascii="Aptos Narrow" w:hAnsi="Aptos Narrow"/>
              </w:rPr>
            </w:pPr>
          </w:p>
        </w:tc>
      </w:tr>
      <w:tr w:rsidR="009F0E86" w14:paraId="6DDEB05F" w14:textId="77777777" w:rsidTr="00C7166F">
        <w:tc>
          <w:tcPr>
            <w:tcW w:w="4247" w:type="dxa"/>
          </w:tcPr>
          <w:p w14:paraId="0B93B61E" w14:textId="77777777" w:rsidR="009F0E86" w:rsidRDefault="009F0E86" w:rsidP="009F0E86">
            <w:pPr>
              <w:rPr>
                <w:rFonts w:ascii="Aptos Narrow" w:hAnsi="Aptos Narrow"/>
              </w:rPr>
            </w:pPr>
          </w:p>
        </w:tc>
        <w:tc>
          <w:tcPr>
            <w:tcW w:w="4247" w:type="dxa"/>
          </w:tcPr>
          <w:p w14:paraId="4BAADD3D" w14:textId="77777777" w:rsidR="009F0E86" w:rsidRPr="009F0E86" w:rsidRDefault="009F0E86" w:rsidP="009F0E86">
            <w:pPr>
              <w:rPr>
                <w:rFonts w:ascii="Aptos Narrow" w:hAnsi="Aptos Narrow"/>
              </w:rPr>
            </w:pPr>
            <w:r w:rsidRPr="009F0E86">
              <w:rPr>
                <w:rFonts w:ascii="Aptos Narrow" w:hAnsi="Aptos Narrow"/>
              </w:rPr>
              <w:t>Acomodación: cómo se organizan y estructuran los servicios</w:t>
            </w:r>
          </w:p>
          <w:p w14:paraId="3CBE5C10" w14:textId="77777777" w:rsidR="009F0E86" w:rsidRDefault="009F0E86" w:rsidP="009F0E86">
            <w:pPr>
              <w:rPr>
                <w:rFonts w:ascii="Aptos Narrow" w:hAnsi="Aptos Narrow"/>
              </w:rPr>
            </w:pPr>
          </w:p>
        </w:tc>
      </w:tr>
      <w:tr w:rsidR="009F0E86" w14:paraId="634B73C0" w14:textId="77777777" w:rsidTr="00C7166F">
        <w:tc>
          <w:tcPr>
            <w:tcW w:w="4247" w:type="dxa"/>
          </w:tcPr>
          <w:p w14:paraId="3B012ECA" w14:textId="77777777" w:rsidR="009F0E86" w:rsidRDefault="009F0E86" w:rsidP="009F0E86">
            <w:pPr>
              <w:rPr>
                <w:rFonts w:ascii="Aptos Narrow" w:hAnsi="Aptos Narrow"/>
              </w:rPr>
            </w:pPr>
          </w:p>
        </w:tc>
        <w:tc>
          <w:tcPr>
            <w:tcW w:w="4247" w:type="dxa"/>
          </w:tcPr>
          <w:p w14:paraId="214ABAA3" w14:textId="77777777" w:rsidR="009F0E86" w:rsidRPr="009F0E86" w:rsidRDefault="009F0E86" w:rsidP="009F0E86">
            <w:pPr>
              <w:rPr>
                <w:rFonts w:ascii="Aptos Narrow" w:hAnsi="Aptos Narrow"/>
              </w:rPr>
            </w:pPr>
            <w:r w:rsidRPr="009F0E86">
              <w:rPr>
                <w:rFonts w:ascii="Aptos Narrow" w:hAnsi="Aptos Narrow"/>
              </w:rPr>
              <w:t>Concienciación: comunicación sobre los servicios entre proveedores, consumidores y comunidades</w:t>
            </w:r>
          </w:p>
          <w:p w14:paraId="376CC843" w14:textId="77777777" w:rsidR="009F0E86" w:rsidRPr="009F0E86" w:rsidRDefault="009F0E86" w:rsidP="009F0E86">
            <w:pPr>
              <w:rPr>
                <w:rFonts w:ascii="Aptos Narrow" w:hAnsi="Aptos Narrow"/>
              </w:rPr>
            </w:pPr>
          </w:p>
        </w:tc>
      </w:tr>
      <w:tr w:rsidR="009F0E86" w14:paraId="2E6EAA40" w14:textId="77777777" w:rsidTr="00C7166F">
        <w:tc>
          <w:tcPr>
            <w:tcW w:w="4247" w:type="dxa"/>
          </w:tcPr>
          <w:p w14:paraId="08495018" w14:textId="77777777" w:rsidR="009F0E86" w:rsidRDefault="009F0E86" w:rsidP="009F0E86">
            <w:pPr>
              <w:rPr>
                <w:rFonts w:ascii="Aptos Narrow" w:hAnsi="Aptos Narrow"/>
              </w:rPr>
            </w:pPr>
          </w:p>
        </w:tc>
        <w:tc>
          <w:tcPr>
            <w:tcW w:w="4247" w:type="dxa"/>
          </w:tcPr>
          <w:p w14:paraId="7F926662" w14:textId="5B28EF7B" w:rsidR="009F0E86" w:rsidRPr="009F0E86" w:rsidRDefault="009F0E86" w:rsidP="009F0E86">
            <w:pPr>
              <w:rPr>
                <w:rFonts w:ascii="Aptos Narrow" w:hAnsi="Aptos Narrow"/>
              </w:rPr>
            </w:pPr>
            <w:r w:rsidRPr="009F0E86">
              <w:rPr>
                <w:rFonts w:ascii="Aptos Narrow" w:hAnsi="Aptos Narrow"/>
              </w:rPr>
              <w:t>Puntualidad: capacidad de prestar el servicio a los consumidores cuando lo necesitan</w:t>
            </w:r>
          </w:p>
        </w:tc>
      </w:tr>
    </w:tbl>
    <w:p w14:paraId="55611534" w14:textId="77777777" w:rsidR="009F0E86" w:rsidRDefault="009F0E86" w:rsidP="00D162A1">
      <w:pPr>
        <w:rPr>
          <w:rFonts w:ascii="Aptos Narrow" w:hAnsi="Aptos Narrow"/>
        </w:rPr>
      </w:pPr>
    </w:p>
    <w:p w14:paraId="2DA55A45" w14:textId="0651BFA2" w:rsidR="00D162A1" w:rsidRDefault="00B71576" w:rsidP="002173A6">
      <w:pPr>
        <w:pStyle w:val="Heading1"/>
      </w:pPr>
      <w:r>
        <w:lastRenderedPageBreak/>
        <w:t>Acceso espacial</w:t>
      </w:r>
    </w:p>
    <w:p w14:paraId="3CFDA61F" w14:textId="61A2C7CC" w:rsidR="00B71576" w:rsidRPr="00B71576" w:rsidRDefault="00B71576" w:rsidP="00B71576">
      <w:r>
        <w:t xml:space="preserve">Las medidas de acceso espacial </w:t>
      </w:r>
      <w:r w:rsidRPr="00B71576">
        <w:rPr>
          <w:rFonts w:ascii="Aptos Narrow" w:hAnsi="Aptos Narrow"/>
        </w:rPr>
        <w:t>abarcan</w:t>
      </w:r>
      <w:r w:rsidRPr="00B71576">
        <w:rPr>
          <w:rFonts w:ascii="Aptos Narrow" w:hAnsi="Aptos Narrow"/>
        </w:rPr>
        <w:t xml:space="preserve"> </w:t>
      </w:r>
      <w:r w:rsidRPr="00B71576">
        <w:rPr>
          <w:rFonts w:ascii="Aptos Narrow" w:hAnsi="Aptos Narrow"/>
          <w:b/>
          <w:bCs/>
        </w:rPr>
        <w:t>factores geográficos</w:t>
      </w:r>
      <w:r w:rsidRPr="00B71576">
        <w:rPr>
          <w:rFonts w:ascii="Aptos Narrow" w:hAnsi="Aptos Narrow"/>
        </w:rPr>
        <w:t xml:space="preserve"> que </w:t>
      </w:r>
      <w:r w:rsidRPr="00B71576">
        <w:rPr>
          <w:rFonts w:ascii="Aptos Narrow" w:hAnsi="Aptos Narrow"/>
          <w:b/>
          <w:bCs/>
        </w:rPr>
        <w:t>afectan</w:t>
      </w:r>
      <w:r w:rsidRPr="00B71576">
        <w:rPr>
          <w:rFonts w:ascii="Aptos Narrow" w:hAnsi="Aptos Narrow"/>
        </w:rPr>
        <w:t xml:space="preserve"> a </w:t>
      </w:r>
      <w:r w:rsidRPr="00B71576">
        <w:t>la proximidad de los servicios a los consumidores</w:t>
      </w:r>
      <w:r>
        <w:t xml:space="preserve"> (accesibilidad), </w:t>
      </w:r>
      <w:r w:rsidRPr="00B71576">
        <w:t>la ubicación y la capacidad de los servicios</w:t>
      </w:r>
      <w:r>
        <w:t xml:space="preserve"> (disponibilidad)</w:t>
      </w:r>
      <w:r w:rsidRPr="00B71576">
        <w:rPr>
          <w:rFonts w:ascii="Aptos Narrow" w:hAnsi="Aptos Narrow"/>
        </w:rPr>
        <w:t xml:space="preserve"> </w:t>
      </w:r>
      <w:r>
        <w:rPr>
          <w:rFonts w:ascii="Aptos Narrow" w:hAnsi="Aptos Narrow"/>
        </w:rPr>
        <w:fldChar w:fldCharType="begin"/>
      </w:r>
      <w:r>
        <w:rPr>
          <w:rFonts w:ascii="Aptos Narrow" w:hAnsi="Aptos Narrow"/>
        </w:rPr>
        <w:instrText xml:space="preserve"> ADDIN ZOTERO_ITEM CSL_CITATION {"citationID":"cdABPysH","properties":{"formattedCitation":"\\super 4,5\\nosupersub{}","plainCitation":"4,5","noteIndex":0},"citationItems":[{"id":1128,"uris":["http://zotero.org/users/10450489/items/2TRT9TLA"],"itemData":{"id":1128,"type":"book","abstract":"The leading text in the field, this comprehensive book reviews geographic approaches to studying disease and public health issues across the globe. It presents cutting-edge techniques of spatial and social analysis and explores their relevance for understanding cultural and political ecology, disease systems, and health promotion. Essential topics include how new diseases emerge and epidemics develop in particular places; the intersecting influences on health of biological processes, culture, environment, and behavior; and the changing landscape of health care planning and service delivery. The text is richly illustrated with tables, figures, and maps, including 16 color plates.","ISBN":"978-1-60623-691-8","language":"en","note":"Google-Books-ID: mh8uMs742c8C","number-of-pages":"529","publisher":"Guilford Press","source":"Google Books","title":"Medical Geography, Third Edition","author":[{"family":"Meade","given":"Melinda S."},{"family":"Emch","given":"Michael"}],"issued":{"date-parts":[["2010",4,20]]},"citation-key":"Meade:MedicalGeographyThird2010"}},{"id":1130,"uris":["http://zotero.org/users/10450489/items/Q3AWSH8F"],"itemData":{"id":1130,"type":"article-journal","abstract":"In recent years there have been several attempts to develop quantitative measures of potential spatial access to health care services which, despite their limitations, offer many positive ideas that can perhaps be integrated into a logically consistent and generally acceptable index. It is in this vein that the current paper presents an integrated approach, drawing partially from past contributions, to measuring potential spatial access to health care services. The final access index is derived as the culmination of a series of individual measures, starting with an initial gravity formulation and progressing through successive stages as new elements, consistent with the definition and conceptualization of potential spatial access, are introduced. Application of the proposed index to the ambulatory medical care system of the Akron, Ohio SMSA, demonstrates the validity of the measure, and its suitability as a potential health care planning tool.","container-title":"Socio-Economic Planning Sciences","DOI":"10.1016/0038-0121(92)90004-O","ISSN":"0038-0121","issue":"4","journalAbbreviation":"Socio-Economic Planning Sciences","page":"275-287","source":"ScienceDirect","title":"An integrated approach to measuring potential spatial access to health care services","volume":"26","author":[{"family":"Khan","given":"Abdullah A."}],"issued":{"date-parts":[["1992",10,1]]},"citation-key":"Khan:IntegratedApproachMeasuring1992"}}],"schema":"https://github.com/citation-style-language/schema/raw/master/csl-citation.json"} </w:instrText>
      </w:r>
      <w:r>
        <w:rPr>
          <w:rFonts w:ascii="Aptos Narrow" w:hAnsi="Aptos Narrow"/>
        </w:rPr>
        <w:fldChar w:fldCharType="separate"/>
      </w:r>
      <w:r w:rsidRPr="00B71576">
        <w:rPr>
          <w:rFonts w:ascii="Aptos Narrow" w:hAnsi="Aptos Narrow" w:cs="Times New Roman"/>
          <w:kern w:val="0"/>
          <w:vertAlign w:val="superscript"/>
        </w:rPr>
        <w:t>4,5</w:t>
      </w:r>
      <w:r>
        <w:rPr>
          <w:rFonts w:ascii="Aptos Narrow" w:hAnsi="Aptos Narrow"/>
        </w:rPr>
        <w:fldChar w:fldCharType="end"/>
      </w:r>
      <w:r>
        <w:rPr>
          <w:rFonts w:ascii="Aptos Narrow" w:hAnsi="Aptos Narrow"/>
        </w:rPr>
        <w:t xml:space="preserve">.  </w:t>
      </w:r>
    </w:p>
    <w:p w14:paraId="39B70A7D" w14:textId="4B5B7648" w:rsidR="00683480" w:rsidRPr="000F729C" w:rsidRDefault="001F2765" w:rsidP="00215176">
      <w:pPr>
        <w:rPr>
          <w:rFonts w:ascii="Aptos Narrow" w:hAnsi="Aptos Narrow"/>
        </w:rPr>
      </w:pPr>
      <w:r w:rsidRPr="00B87824">
        <w:rPr>
          <w:rFonts w:ascii="Aptos Narrow" w:hAnsi="Aptos Narrow"/>
        </w:rPr>
        <w:t>Por lo tanto,</w:t>
      </w:r>
      <w:r w:rsidR="00B71576" w:rsidRPr="00B71576">
        <w:rPr>
          <w:rFonts w:ascii="Aptos Narrow" w:hAnsi="Aptos Narrow"/>
        </w:rPr>
        <w:t xml:space="preserve"> las métricas espaciales buscan cuantificar </w:t>
      </w:r>
      <w:r w:rsidRPr="00B87824">
        <w:rPr>
          <w:rFonts w:ascii="Aptos Narrow" w:hAnsi="Aptos Narrow"/>
        </w:rPr>
        <w:t>tienen en cuenta la distribución geográfica y las características de los servicios y los consumidores, y cómo esto se relaciona con la capacidad de los consumidores para obtener los servicios que necesitan (acceso potencial) o seguir utilizando los servicios (acceso real)</w:t>
      </w:r>
      <w:r>
        <w:rPr>
          <w:rFonts w:ascii="Aptos Narrow" w:hAnsi="Aptos Narrow"/>
        </w:rPr>
        <w:t xml:space="preserve"> </w:t>
      </w:r>
      <w:r>
        <w:rPr>
          <w:rFonts w:ascii="Aptos Narrow" w:hAnsi="Aptos Narrow"/>
        </w:rPr>
        <w:fldChar w:fldCharType="begin"/>
      </w:r>
      <w:r>
        <w:rPr>
          <w:rFonts w:ascii="Aptos Narrow" w:hAnsi="Aptos Narrow"/>
        </w:rPr>
        <w:instrText xml:space="preserve"> ADDIN ZOTERO_ITEM CSL_CITATION {"citationID":"W06Gqhkm","properties":{"formattedCitation":"\\super 5,6\\nosupersub{}","plainCitation":"5,6","noteIndex":0},"citationItems":[{"id":1130,"uris":["http://zotero.org/users/10450489/items/Q3AWSH8F"],"itemData":{"id":1130,"type":"article-journal","abstract":"In recent years there have been several attempts to develop quantitative measures of potential spatial access to health care services which, despite their limitations, offer many positive ideas that can perhaps be integrated into a logically consistent and generally acceptable index. It is in this vein that the current paper presents an integrated approach, drawing partially from past contributions, to measuring potential spatial access to health care services. The final access index is derived as the culmination of a series of individual measures, starting with an initial gravity formulation and progressing through successive stages as new elements, consistent with the definition and conceptualization of potential spatial access, are introduced. Application of the proposed index to the ambulatory medical care system of the Akron, Ohio SMSA, demonstrates the validity of the measure, and its suitability as a potential health care planning tool.","container-title":"Socio-Economic Planning Sciences","DOI":"10.1016/0038-0121(92)90004-O","ISSN":"0038-0121","issue":"4","journalAbbreviation":"Socio-Economic Planning Sciences","page":"275-287","source":"ScienceDirect","title":"An integrated approach to measuring potential spatial access to health care services","volume":"26","author":[{"family":"Khan","given":"Abdullah A."}],"issued":{"date-parts":[["1992",10,1]]},"citation-key":"Khan:IntegratedApproachMeasuring1992"}},{"id":1131,"uris":["http://zotero.org/users/10450489/items/M5V7V9HF"],"itemData":{"id":1131,"type":"article-journal","abstract":"This paper provides a comprehensive review of the key dimensions of access and their significance for the provision of primary health care and a framework that assists policy-makers to evaluate how well policy targets the dimensions of access. Access to health care can be conceptualised as the potential ease with which consumers can obtain health care at times of need. Disaggregation of the concept of access into the dimensions of availability, geography, affordability, accommodation, timeliness, acceptability and awaren</w:instrText>
      </w:r>
      <w:r w:rsidRPr="001F2765">
        <w:rPr>
          <w:rFonts w:ascii="Aptos Narrow" w:hAnsi="Aptos Narrow"/>
        </w:rPr>
        <w:instrText>ess allows policy-makers to identify key questions which must be addressed to ensure reasonable primary health care access for rural and remote Australians. Evaluating how well national primary health care policies target these dimensions of access helps identify policy gaps a</w:instrText>
      </w:r>
      <w:r w:rsidRPr="001F2765">
        <w:rPr>
          <w:rFonts w:ascii="Aptos Narrow" w:hAnsi="Aptos Narrow"/>
          <w:lang w:val="en-US"/>
        </w:rPr>
        <w:instrText xml:space="preserve">nd potential inequities in ensuring access to primary health care. Effective policies must incorporate the multiple dimensions of access if they are to comprehensively and effectively address unacceptable inequities in health status and access to basic health services experienced by rural and remote Australians.","container-title":"Australian Journal of Rural Health","DOI":"10.1111/ajr.12023","ISSN":"1440-1584","issue":"2","language":"en","license":"© 2013 The Authors. Australian Journal of Rural Health © National Rural Health Alliance Inc.","note":"_eprint: https://onlinelibrary.wiley.com/doi/pdf/10.1111/ajr.12023","page":"61-71","source":"Wiley Online Library","title":"Helping policy-makers address rural health access problems","volume":"21","author":[{"family":"Russell","given":"Deborah J."},{"family":"Humphreys","given":"John S."},{"family":"Ward","given":"Bernadette"},{"family":"Chisholm","given":"Marita"},{"family":"Buykx","given":"Penny"},{"family":"McGrail","given":"Matthew"},{"family":"Wakerman","given":"John"}],"issued":{"date-parts":[["2013"]]},"citation-key":"Russell:HelpingPolicymakersAddress2013"}}],"schema":"https://github.com/citation-style-language/schema/raw/master/csl-citation.json"} </w:instrText>
      </w:r>
      <w:r>
        <w:rPr>
          <w:rFonts w:ascii="Aptos Narrow" w:hAnsi="Aptos Narrow"/>
        </w:rPr>
        <w:fldChar w:fldCharType="separate"/>
      </w:r>
      <w:r w:rsidRPr="001F2765">
        <w:rPr>
          <w:rFonts w:ascii="Aptos Narrow" w:hAnsi="Aptos Narrow" w:cs="Times New Roman"/>
          <w:kern w:val="0"/>
          <w:vertAlign w:val="superscript"/>
          <w:lang w:val="en-US"/>
        </w:rPr>
        <w:t>5,6</w:t>
      </w:r>
      <w:r>
        <w:rPr>
          <w:rFonts w:ascii="Aptos Narrow" w:hAnsi="Aptos Narrow"/>
        </w:rPr>
        <w:fldChar w:fldCharType="end"/>
      </w:r>
      <w:r>
        <w:rPr>
          <w:rFonts w:ascii="Aptos Narrow" w:hAnsi="Aptos Narrow"/>
        </w:rPr>
        <w:t>.</w:t>
      </w:r>
    </w:p>
    <w:p w14:paraId="174F45EE" w14:textId="03A4263C" w:rsidR="00BD6F92" w:rsidRDefault="000F729C" w:rsidP="000F729C">
      <w:pPr>
        <w:pStyle w:val="Heading1"/>
      </w:pPr>
      <w:r>
        <w:t>T</w:t>
      </w:r>
      <w:r w:rsidRPr="000F729C">
        <w:t>ipos de métodos espaciales</w:t>
      </w:r>
    </w:p>
    <w:p w14:paraId="2FDA85F5" w14:textId="54A31433" w:rsidR="000F729C" w:rsidRDefault="000F729C" w:rsidP="000F729C">
      <w:r>
        <w:t xml:space="preserve">En general podemos clasificar a las métricas para medir el acceso espacial en: </w:t>
      </w:r>
    </w:p>
    <w:p w14:paraId="42EF97BC" w14:textId="42682653" w:rsidR="000F729C" w:rsidRDefault="000F729C" w:rsidP="000F729C">
      <w:pPr>
        <w:pStyle w:val="ListParagraph"/>
        <w:numPr>
          <w:ilvl w:val="0"/>
          <w:numId w:val="1"/>
        </w:numPr>
      </w:pPr>
      <w:r>
        <w:t>Métodos basados en área</w:t>
      </w:r>
    </w:p>
    <w:p w14:paraId="30976AE5" w14:textId="4D149844" w:rsidR="00D01E23" w:rsidRDefault="000F729C" w:rsidP="000F729C">
      <w:pPr>
        <w:pStyle w:val="ListParagraph"/>
        <w:numPr>
          <w:ilvl w:val="0"/>
          <w:numId w:val="1"/>
        </w:numPr>
      </w:pPr>
      <w:r>
        <w:t xml:space="preserve">Métodos basados en distancia </w:t>
      </w:r>
    </w:p>
    <w:p w14:paraId="16A0099A" w14:textId="329F9476" w:rsidR="00CF4225" w:rsidRDefault="00CF4225" w:rsidP="00CF4225">
      <w:pPr>
        <w:pStyle w:val="Heading2"/>
      </w:pPr>
      <w:r>
        <w:t>Métodos basados en área</w:t>
      </w:r>
    </w:p>
    <w:p w14:paraId="4AF5F153" w14:textId="77777777" w:rsidR="00CF4225" w:rsidRDefault="00CF4225" w:rsidP="00CF4225">
      <w:r w:rsidRPr="00F913FE">
        <w:t>Examina</w:t>
      </w:r>
      <w:r>
        <w:t>n</w:t>
      </w:r>
      <w:r w:rsidRPr="00F913FE">
        <w:t xml:space="preserve"> las características y relaciones de los servicios de salud y las poblaciones a</w:t>
      </w:r>
      <w:r>
        <w:t xml:space="preserve"> </w:t>
      </w:r>
      <w:r w:rsidRPr="00F913FE">
        <w:t>dentro de un área geográfica definida</w:t>
      </w:r>
      <w:r>
        <w:t xml:space="preserve"> </w:t>
      </w:r>
      <w:r>
        <w:fldChar w:fldCharType="begin"/>
      </w:r>
      <w:r>
        <w:instrText xml:space="preserve"> ADDIN ZOTERO_ITEM CSL_CITATION {"citationID":"wkyFC4FW","properties":{"formattedCitation":"\\super 7\\nosupersub{}","plainCitation":"7","noteIndex":0},"citationItems":[{"id":1133,"uris":["http://zotero.org/users/10450489/items/I45S3Y83"],"itemData":{"id":1133,"type":"article-journal","abstract":"Australia's inequitable distribution of health services is well documented. Spatial access relates to the geographic limitations affecting the availability and accessibility of healthcare practitioners and services. Issues associated with spatial access are often influenced by Australia's vast landmass, challenging environments, uneven population concentration, and sparsely distributed populations in rural and remote areas. Measuring access contributes to a broader understanding of the performance of health systems, particularly in rural/remote areas. This systematic review synthesises the evidence identifying what spatial measures and geographic classifications are used and how they are applied in the Australian peer-reviewed literature.","container-title":"BMC Health Services Research","DOI":"10.1186/s12913-023-09342-6","ISSN":"1472-6963","issue":"1","journalAbbreviation":"BMC Health Serv Res","language":"en","page":"330","source":"Springer Link","title":"The application of spatial measures to analyse health service accessibility in Australia: a systematic review and recommendations for future practice","title-short":"The application of spatial measures to analyse health service accessibility in Australia","volume":"23","author":[{"family":"Wood","given":"Sarah M."},{"family":"Alston","given":"Laura"},{"family":"Beks","given":"Hannah"},{"family":"Mc Namara","given":"Kevin"},{"family":"Coffee","given":"Neil T."},{"family":"Clark","given":"Robyn A."},{"family":"Wong Shee","given":"Anna"},{"family":"Versace","given":"Vincent L."}],"issued":{"date-parts":[["2023",4,1]]},"citation-key":"Wood:ApplicationSpatialMeasures2023"}}],"schema":"https://github.com/citation-style-language/schema/raw/master/csl-citation.json"} </w:instrText>
      </w:r>
      <w:r>
        <w:fldChar w:fldCharType="separate"/>
      </w:r>
      <w:r w:rsidRPr="00F913FE">
        <w:rPr>
          <w:rFonts w:ascii="Calibri" w:hAnsi="Calibri" w:cs="Calibri"/>
          <w:kern w:val="0"/>
          <w:vertAlign w:val="superscript"/>
        </w:rPr>
        <w:t>7</w:t>
      </w:r>
      <w:r>
        <w:fldChar w:fldCharType="end"/>
      </w:r>
      <w:r>
        <w:t>.</w:t>
      </w:r>
    </w:p>
    <w:p w14:paraId="6F23AC45" w14:textId="4694CF13" w:rsidR="00C60610" w:rsidRDefault="00CF4225" w:rsidP="000F729C">
      <w:r w:rsidRPr="00CF4225">
        <w:t>Un área geográfica definida puede ser un código postal, un estado, territorio, condado, provincia u otra región</w:t>
      </w:r>
      <w:r w:rsidR="00827FEA">
        <w:t xml:space="preserve">. </w:t>
      </w:r>
    </w:p>
    <w:tbl>
      <w:tblPr>
        <w:tblStyle w:val="TableGrid"/>
        <w:tblW w:w="9067" w:type="dxa"/>
        <w:tblLook w:val="04A0" w:firstRow="1" w:lastRow="0" w:firstColumn="1" w:lastColumn="0" w:noHBand="0" w:noVBand="1"/>
      </w:tblPr>
      <w:tblGrid>
        <w:gridCol w:w="1866"/>
        <w:gridCol w:w="1549"/>
        <w:gridCol w:w="2643"/>
        <w:gridCol w:w="3009"/>
      </w:tblGrid>
      <w:tr w:rsidR="00940851" w14:paraId="736E8E41" w14:textId="77777777" w:rsidTr="00940851">
        <w:tc>
          <w:tcPr>
            <w:tcW w:w="1965" w:type="dxa"/>
          </w:tcPr>
          <w:p w14:paraId="147B1B27" w14:textId="1631F4B9" w:rsidR="00940851" w:rsidRPr="0051530B" w:rsidRDefault="00940851" w:rsidP="000F729C">
            <w:pPr>
              <w:rPr>
                <w:b/>
                <w:bCs/>
              </w:rPr>
            </w:pPr>
            <w:r w:rsidRPr="0051530B">
              <w:rPr>
                <w:b/>
                <w:bCs/>
              </w:rPr>
              <w:t>Método</w:t>
            </w:r>
          </w:p>
        </w:tc>
        <w:tc>
          <w:tcPr>
            <w:tcW w:w="1576" w:type="dxa"/>
          </w:tcPr>
          <w:p w14:paraId="51CD62BC" w14:textId="013DEED3" w:rsidR="00940851" w:rsidRPr="0051530B" w:rsidRDefault="00940851" w:rsidP="000F729C">
            <w:pPr>
              <w:rPr>
                <w:b/>
                <w:bCs/>
              </w:rPr>
            </w:pPr>
            <w:r w:rsidRPr="0051530B">
              <w:rPr>
                <w:b/>
                <w:bCs/>
              </w:rPr>
              <w:t>Descripción</w:t>
            </w:r>
          </w:p>
        </w:tc>
        <w:tc>
          <w:tcPr>
            <w:tcW w:w="2347" w:type="dxa"/>
          </w:tcPr>
          <w:p w14:paraId="4F51AFA5" w14:textId="4285C5A4" w:rsidR="00940851" w:rsidRPr="0051530B" w:rsidRDefault="00940851" w:rsidP="000F729C">
            <w:pPr>
              <w:rPr>
                <w:b/>
                <w:bCs/>
              </w:rPr>
            </w:pPr>
            <w:r w:rsidRPr="0051530B">
              <w:rPr>
                <w:b/>
                <w:bCs/>
              </w:rPr>
              <w:t>Ventajas</w:t>
            </w:r>
          </w:p>
        </w:tc>
        <w:tc>
          <w:tcPr>
            <w:tcW w:w="3179" w:type="dxa"/>
          </w:tcPr>
          <w:p w14:paraId="0BCC359F" w14:textId="5F5D6F41" w:rsidR="00940851" w:rsidRPr="0051530B" w:rsidRDefault="00940851" w:rsidP="000F729C">
            <w:pPr>
              <w:rPr>
                <w:b/>
                <w:bCs/>
              </w:rPr>
            </w:pPr>
            <w:r w:rsidRPr="0051530B">
              <w:rPr>
                <w:b/>
                <w:bCs/>
              </w:rPr>
              <w:t>Limitaciones</w:t>
            </w:r>
          </w:p>
        </w:tc>
      </w:tr>
      <w:tr w:rsidR="00940851" w14:paraId="398A1B6A" w14:textId="77777777" w:rsidTr="00940851">
        <w:tc>
          <w:tcPr>
            <w:tcW w:w="1965" w:type="dxa"/>
          </w:tcPr>
          <w:p w14:paraId="735445A7" w14:textId="6684268F" w:rsidR="00940851" w:rsidRDefault="00940851" w:rsidP="000F729C">
            <w:proofErr w:type="spellStart"/>
            <w:r w:rsidRPr="00827FEA">
              <w:rPr>
                <w:i/>
                <w:iCs/>
              </w:rPr>
              <w:t>Provider‐to‐population</w:t>
            </w:r>
            <w:proofErr w:type="spellEnd"/>
            <w:r w:rsidRPr="00827FEA">
              <w:rPr>
                <w:i/>
                <w:iCs/>
              </w:rPr>
              <w:t xml:space="preserve"> ratios</w:t>
            </w:r>
          </w:p>
        </w:tc>
        <w:tc>
          <w:tcPr>
            <w:tcW w:w="1576" w:type="dxa"/>
          </w:tcPr>
          <w:p w14:paraId="3E0312CE" w14:textId="77777777" w:rsidR="00940851" w:rsidRPr="003E6FB2" w:rsidRDefault="00940851" w:rsidP="00940851">
            <w:r>
              <w:t xml:space="preserve">Es </w:t>
            </w:r>
            <w:r w:rsidRPr="00650356">
              <w:t xml:space="preserve">el número de proveedores en relación con el tamaño de la población en una </w:t>
            </w:r>
            <w:r w:rsidRPr="00F913FE">
              <w:t>área geográfica definida</w:t>
            </w:r>
            <w:r>
              <w:t xml:space="preserve"> </w:t>
            </w:r>
            <w:r>
              <w:fldChar w:fldCharType="begin"/>
            </w:r>
            <w:r>
              <w:instrText xml:space="preserve"> ADDIN ZOTERO_ITEM CSL_CITATION {"citationID":"5tK86M2D","properties":{"formattedCitation":"\\super 8\\nosupersub{}","plainCitation":"8","noteIndex":0},"citationItems":[{"id":1135,"uris":["http://zotero.org/users/10450489/items/5BRDTMV2"],"itemData":{"id":1135,"type":"article-journal","abstract":"Objective To compare measures of spatial access to care commonly used by policy makers and researchers with the more comprehensive enhanced two-step floating catchment area (E2SFCA) method. Study Setting Fourteen southwestern Pennsylvania counties. Study Design We estimated spatial access to buprenorphine-waivered prescribers using three commonly used measures—Euclidean travel distance to the closest prescriber, travel time to the closest provider, and provider-to-population ratios—and the E2SFCA. Unlike other measures, the E2SFCA captures provider capacity, potential patient volume, and travel time to prescribers. Data Collection/Extraction Methods We measured provider capacity as the number of buprenorphine prescribers listed at a given address in the Drug Enforcement Agency's 2020 Controlled Substances Act Registrants Database, and we measured potential patient volume as the number of nonelderly adults in a given census tract as reported by the 2018 American Community Survey. We estimated travel times between potential patients and prescribers with Bing Maps and Mapbox application programming interfaces. We then calculated each spatial access measure using the R programming language. We used each measure of spatial access to identify census tracts in the lowest quintile of spatial access to prescribers. Principal Findings The Euclidean distance, travel time, and provider-to-population ratio measures identified 48.3%, 47.2%, and 69.9% of the census tracts t</w:instrText>
            </w:r>
            <w:r w:rsidRPr="00650356">
              <w:instrText>hat the E2SFCA measure identified as being in the lowest quintile of spatial access to care, meaning that these measures misclassify 30%–52% of study area census tracts as having sufficient spatial access to buprenorphine prescribers. Conclusions Measures of spatial access commonly used by policy makers do not sufficiently accurately identify geographic areas with relatively low access to prescribers of buprenorphine. Using the E2SFCA in addition to the commonly used measures would allow policy makers to precisely target interventions to increase spatial access to opioid use disorder treatment and other types of health care services.","container-title":"Health Services Research","DOI":"10.1111/1475-6773.13700","ISSN":"1475-6773","issue":"5","language":"en","license":"© 2021 Health Research and Educational Trust","note":"_eprint: https://onlinelibrary.wiley.com/doi/pdf/10.1111/1475-6773.13700","page":"777-787","source":"Wiley Online Library","title":"A comparison of methods for measuring spatial access to health care","volume":"56","author":[{"family":"Drake","given":"Coleman"},{"family":"Nagy","give</w:instrText>
            </w:r>
            <w:r w:rsidRPr="003E6FB2">
              <w:instrText xml:space="preserve">n":"Dylan"},{"family":"Nguyen","given":"Thuy"},{"family":"Kraemer","given":"Kevin L."},{"family":"Mair","given":"Christina"},{"family":"Wallace","given":"David"},{"family":"Donohue","given":"Julie"}],"issued":{"date-parts":[["2021"]]},"citation-key":"Drake:ComparisonMethodsMeasuring2021"}}],"schema":"https://github.com/citation-style-language/schema/raw/master/csl-citation.json"} </w:instrText>
            </w:r>
            <w:r>
              <w:fldChar w:fldCharType="separate"/>
            </w:r>
            <w:r w:rsidRPr="003E6FB2">
              <w:rPr>
                <w:rFonts w:ascii="Calibri" w:hAnsi="Calibri" w:cs="Calibri"/>
                <w:kern w:val="0"/>
                <w:vertAlign w:val="superscript"/>
              </w:rPr>
              <w:t>8</w:t>
            </w:r>
            <w:r>
              <w:fldChar w:fldCharType="end"/>
            </w:r>
            <w:r>
              <w:t>.</w:t>
            </w:r>
          </w:p>
          <w:p w14:paraId="03010332" w14:textId="77777777" w:rsidR="00940851" w:rsidRDefault="00940851" w:rsidP="000F729C"/>
        </w:tc>
        <w:tc>
          <w:tcPr>
            <w:tcW w:w="2347" w:type="dxa"/>
          </w:tcPr>
          <w:p w14:paraId="58E43B74" w14:textId="77777777" w:rsidR="00940851" w:rsidRDefault="00940851" w:rsidP="000F729C"/>
        </w:tc>
        <w:tc>
          <w:tcPr>
            <w:tcW w:w="3179" w:type="dxa"/>
          </w:tcPr>
          <w:p w14:paraId="2411F8A9" w14:textId="30A57BF0" w:rsidR="00940851" w:rsidRDefault="00940851" w:rsidP="00940851">
            <w:pPr>
              <w:pStyle w:val="ListParagraph"/>
              <w:numPr>
                <w:ilvl w:val="0"/>
                <w:numId w:val="3"/>
              </w:numPr>
            </w:pPr>
            <w:r>
              <w:t xml:space="preserve">No </w:t>
            </w:r>
            <w:r w:rsidRPr="003E6FB2">
              <w:t>tiene en cuenta a los consumidores que reciben atención fuera de la región geográfica definida</w:t>
            </w:r>
            <w:r>
              <w:t>.</w:t>
            </w:r>
          </w:p>
          <w:p w14:paraId="607D3BA4" w14:textId="77777777" w:rsidR="00940851" w:rsidRPr="003E6FB2" w:rsidRDefault="00940851" w:rsidP="00940851">
            <w:pPr>
              <w:pStyle w:val="ListParagraph"/>
              <w:numPr>
                <w:ilvl w:val="0"/>
                <w:numId w:val="3"/>
              </w:numPr>
            </w:pPr>
            <w:r>
              <w:t>N</w:t>
            </w:r>
            <w:r w:rsidRPr="003E6FB2">
              <w:t>o permite identificar las variaciones dentro de la región y da por sentado que todos los proveedores de una región son igualmente accesibles para toda la población.</w:t>
            </w:r>
          </w:p>
          <w:p w14:paraId="46C9A403" w14:textId="77777777" w:rsidR="00940851" w:rsidRDefault="00940851" w:rsidP="000F729C"/>
        </w:tc>
      </w:tr>
      <w:tr w:rsidR="00940851" w14:paraId="482A5ECC" w14:textId="77777777" w:rsidTr="00940851">
        <w:tc>
          <w:tcPr>
            <w:tcW w:w="1965" w:type="dxa"/>
          </w:tcPr>
          <w:p w14:paraId="7FD1AE03" w14:textId="77777777" w:rsidR="00940851" w:rsidRPr="00707987" w:rsidRDefault="00940851" w:rsidP="00707987">
            <w:pPr>
              <w:rPr>
                <w:i/>
                <w:iCs/>
              </w:rPr>
            </w:pPr>
            <w:r>
              <w:t xml:space="preserve">El </w:t>
            </w:r>
            <w:r w:rsidRPr="00827FEA">
              <w:t>área de influencia flotante</w:t>
            </w:r>
            <w:r>
              <w:t xml:space="preserve"> </w:t>
            </w:r>
            <w:r w:rsidRPr="00707987">
              <w:rPr>
                <w:i/>
                <w:iCs/>
              </w:rPr>
              <w:t>(</w:t>
            </w:r>
            <w:proofErr w:type="spellStart"/>
            <w:r w:rsidRPr="00707987">
              <w:rPr>
                <w:i/>
                <w:iCs/>
              </w:rPr>
              <w:t>Floating</w:t>
            </w:r>
            <w:proofErr w:type="spellEnd"/>
            <w:r w:rsidRPr="00707987">
              <w:rPr>
                <w:i/>
                <w:iCs/>
              </w:rPr>
              <w:t xml:space="preserve"> </w:t>
            </w:r>
            <w:proofErr w:type="spellStart"/>
            <w:r w:rsidRPr="00707987">
              <w:rPr>
                <w:i/>
                <w:iCs/>
              </w:rPr>
              <w:lastRenderedPageBreak/>
              <w:t>catchment</w:t>
            </w:r>
            <w:proofErr w:type="spellEnd"/>
            <w:r w:rsidRPr="00707987">
              <w:rPr>
                <w:i/>
                <w:iCs/>
              </w:rPr>
              <w:t xml:space="preserve"> </w:t>
            </w:r>
            <w:proofErr w:type="spellStart"/>
            <w:r w:rsidRPr="00707987">
              <w:rPr>
                <w:i/>
                <w:iCs/>
              </w:rPr>
              <w:t>area</w:t>
            </w:r>
            <w:proofErr w:type="spellEnd"/>
            <w:r w:rsidRPr="00707987">
              <w:rPr>
                <w:i/>
                <w:iCs/>
              </w:rPr>
              <w:t xml:space="preserve"> </w:t>
            </w:r>
            <w:proofErr w:type="spellStart"/>
            <w:r w:rsidRPr="00707987">
              <w:rPr>
                <w:i/>
                <w:iCs/>
              </w:rPr>
              <w:t>measures</w:t>
            </w:r>
            <w:proofErr w:type="spellEnd"/>
            <w:r w:rsidRPr="00707987">
              <w:rPr>
                <w:i/>
                <w:iCs/>
              </w:rPr>
              <w:t>)</w:t>
            </w:r>
          </w:p>
          <w:p w14:paraId="024A8415" w14:textId="77777777" w:rsidR="00940851" w:rsidRDefault="00940851" w:rsidP="000F729C"/>
        </w:tc>
        <w:tc>
          <w:tcPr>
            <w:tcW w:w="1576" w:type="dxa"/>
          </w:tcPr>
          <w:p w14:paraId="7FB9D38B" w14:textId="1AA3C17F" w:rsidR="00940851" w:rsidRDefault="00940851" w:rsidP="000F729C">
            <w:r w:rsidRPr="00940851">
              <w:lastRenderedPageBreak/>
              <w:t xml:space="preserve">Método de varios pasos que calcula la proporción </w:t>
            </w:r>
            <w:r w:rsidRPr="00940851">
              <w:lastRenderedPageBreak/>
              <w:t>entre población y proveedores dentro de un área de influencia utilizando buffers circulares (es decir, un área) alrededor de un centroide</w:t>
            </w:r>
            <w:r>
              <w:t xml:space="preserve"> </w:t>
            </w:r>
            <w:r>
              <w:fldChar w:fldCharType="begin"/>
            </w:r>
            <w:r>
              <w:instrText xml:space="preserve"> ADDIN ZOTERO_ITEM CSL_CITATION {"citationID":"gz5xFxiX","properties":{"formattedCitation":"\\super 9\\nosupersub{}","plainCitation":"9","noteIndex":0},"citationItems":[{"id":1137,"uris":["http://zotero.org/users/10450489/items/UKEMKJNU"],"itemData":{"id":1137,"type":"article-journal","abstract":"This paper presents an enhancement of the two-step floating catchment area (2SFCA) method for measuring spatial accessibility, addressing the problem of uniform access within the catchment by applying weights to different travel time zones to account for distance decay. The enhancement is proved to be another special case of the gravity model. When applying this enhanced 2SFCA (E2SFCA) to measure the spatial access to primary care physicians in a study area in northern Illinois, we find that it reveals spatial accessibility pattern that is more consistent with intuition and delineates more spatially explicit health professional shortage areas. It is easy to implement in GIS and straightforward to interpret.","container-title":"Health &amp; Place","DOI":"10.1016/j.healthplace.2009.06.002","ISSN":"1353-8292","issue":"4","journalAbbreviation":"Health &amp; Place","page":"1100-1107","source":"ScienceDirect","title":"An enhanced two-step floating catchment area (E2SFCA) method for measuring spatial accessibility to primary care physicians","volume":"15","author":[{"family":"Luo","given":"Wei"},{"family":"Qi","given":"Yi"}],"issued":{"date-parts":[["2009",12,1]]},"citation-key":"Luo:EnhancedTwostepFloating2009"}}],"schema":"https://github.com/citation-style-language/schema/raw/master/csl-citation.json"} </w:instrText>
            </w:r>
            <w:r>
              <w:fldChar w:fldCharType="separate"/>
            </w:r>
            <w:r w:rsidRPr="00940851">
              <w:rPr>
                <w:rFonts w:ascii="Calibri" w:hAnsi="Calibri" w:cs="Calibri"/>
                <w:kern w:val="0"/>
                <w:vertAlign w:val="superscript"/>
              </w:rPr>
              <w:t>9</w:t>
            </w:r>
            <w:r>
              <w:fldChar w:fldCharType="end"/>
            </w:r>
          </w:p>
        </w:tc>
        <w:tc>
          <w:tcPr>
            <w:tcW w:w="2347" w:type="dxa"/>
          </w:tcPr>
          <w:p w14:paraId="16F58B5D" w14:textId="3F39ADAE" w:rsidR="00940851" w:rsidRDefault="00940851" w:rsidP="00940851">
            <w:pPr>
              <w:pStyle w:val="ListParagraph"/>
              <w:numPr>
                <w:ilvl w:val="0"/>
                <w:numId w:val="4"/>
              </w:numPr>
            </w:pPr>
            <w:r w:rsidRPr="00940851">
              <w:lastRenderedPageBreak/>
              <w:t xml:space="preserve">Considera </w:t>
            </w:r>
            <w:r w:rsidRPr="00940851">
              <w:rPr>
                <w:b/>
                <w:bCs/>
              </w:rPr>
              <w:t>tanto la disponibilidad como la accesibilidad</w:t>
            </w:r>
            <w:r w:rsidRPr="00940851">
              <w:t xml:space="preserve"> de </w:t>
            </w:r>
            <w:r w:rsidRPr="00940851">
              <w:lastRenderedPageBreak/>
              <w:t>los servicios (no solo uno de los dos).</w:t>
            </w:r>
          </w:p>
        </w:tc>
        <w:tc>
          <w:tcPr>
            <w:tcW w:w="3179" w:type="dxa"/>
          </w:tcPr>
          <w:p w14:paraId="2579F9E0" w14:textId="77777777" w:rsidR="00940851" w:rsidRDefault="00940851" w:rsidP="00940851">
            <w:pPr>
              <w:pStyle w:val="ListParagraph"/>
              <w:numPr>
                <w:ilvl w:val="0"/>
                <w:numId w:val="4"/>
              </w:numPr>
            </w:pPr>
            <w:r w:rsidRPr="00940851">
              <w:rPr>
                <w:b/>
                <w:bCs/>
              </w:rPr>
              <w:lastRenderedPageBreak/>
              <w:t>Asume accesibilidad uniforme</w:t>
            </w:r>
            <w:r w:rsidRPr="00940851">
              <w:t xml:space="preserve"> dentro del área de influencia, es decir, todos los </w:t>
            </w:r>
            <w:r w:rsidRPr="00940851">
              <w:lastRenderedPageBreak/>
              <w:t xml:space="preserve">servicios se consideran igualmente accesibles para quienes viven dentro del </w:t>
            </w:r>
            <w:proofErr w:type="spellStart"/>
            <w:r w:rsidRPr="00940851">
              <w:t>catchment</w:t>
            </w:r>
            <w:proofErr w:type="spellEnd"/>
            <w:r w:rsidRPr="00940851">
              <w:t xml:space="preserve">, </w:t>
            </w:r>
            <w:r w:rsidRPr="00940851">
              <w:rPr>
                <w:b/>
                <w:bCs/>
              </w:rPr>
              <w:t>a menos que se incluya un factor de decaimiento por distancia</w:t>
            </w:r>
            <w:r w:rsidRPr="00940851">
              <w:t>.</w:t>
            </w:r>
          </w:p>
          <w:p w14:paraId="64F02FBF" w14:textId="0D441FB9" w:rsidR="00940851" w:rsidRDefault="00940851" w:rsidP="00940851">
            <w:pPr>
              <w:pStyle w:val="ListParagraph"/>
              <w:numPr>
                <w:ilvl w:val="0"/>
                <w:numId w:val="4"/>
              </w:numPr>
            </w:pPr>
            <w:r w:rsidRPr="00940851">
              <w:t xml:space="preserve">No considera </w:t>
            </w:r>
            <w:r w:rsidRPr="00940851">
              <w:rPr>
                <w:b/>
                <w:bCs/>
              </w:rPr>
              <w:t>las rutas reales que las personas toman</w:t>
            </w:r>
            <w:r w:rsidRPr="00940851">
              <w:t xml:space="preserve"> (calles, transporte público, barreras geográficas, etc.).</w:t>
            </w:r>
          </w:p>
        </w:tc>
      </w:tr>
      <w:tr w:rsidR="00707987" w14:paraId="41020FFE" w14:textId="77777777" w:rsidTr="00940851">
        <w:tc>
          <w:tcPr>
            <w:tcW w:w="1965" w:type="dxa"/>
          </w:tcPr>
          <w:p w14:paraId="7F8984B3" w14:textId="28FBC667" w:rsidR="00707987" w:rsidRPr="000E64A9" w:rsidRDefault="00707987" w:rsidP="00707987">
            <w:r w:rsidRPr="000E64A9">
              <w:lastRenderedPageBreak/>
              <w:t>Método gravitacional</w:t>
            </w:r>
          </w:p>
        </w:tc>
        <w:tc>
          <w:tcPr>
            <w:tcW w:w="1576" w:type="dxa"/>
          </w:tcPr>
          <w:p w14:paraId="59B4B2A0" w14:textId="032FA59D" w:rsidR="00707987" w:rsidRPr="00940851" w:rsidRDefault="00707987" w:rsidP="000F729C">
            <w:r w:rsidRPr="00707987">
              <w:t xml:space="preserve">Se basa en la analogía con la ley de gravedad: la interacción entre la población (demanda) y los servicios de salud (oferta) </w:t>
            </w:r>
            <w:r w:rsidRPr="00707987">
              <w:rPr>
                <w:b/>
                <w:bCs/>
              </w:rPr>
              <w:t>disminuye conforme aumenta la distancia o el tiempo de viaje</w:t>
            </w:r>
            <w:r w:rsidR="001906E3">
              <w:rPr>
                <w:b/>
                <w:bCs/>
              </w:rPr>
              <w:t xml:space="preserve"> </w:t>
            </w:r>
            <w:r w:rsidR="001906E3">
              <w:rPr>
                <w:b/>
                <w:bCs/>
              </w:rPr>
              <w:fldChar w:fldCharType="begin"/>
            </w:r>
            <w:r w:rsidR="001906E3">
              <w:rPr>
                <w:b/>
                <w:bCs/>
              </w:rPr>
              <w:instrText xml:space="preserve"> ADDIN ZOTERO_ITEM CSL_CITATION {"citationID":"XrzGcSCM","properties":{"formattedCitation":"\\super 2\\nosupersub{}","plainCitation":"2","noteIndex":0},"citationItems":[{"id":1122,"uris":["http://zotero.org/users/10450489/items/LAIED33T"],"itemData":{"id":1122,"type":"article-journal","abstract":"This article synthesizes two GIS-based accessibility measures into one framework, and applies the methods to examining spatial accessibility to primary healthcare in the Chicago 10-county region. The floating catchment area method defines the service area of physicians by a threshold travel time while accounting for the availability of physicians by their surrounded demands. The gravity-based method considers a nearby physician more accessible than a remote one and discounts a physician’s availability by a gravity-based potential. The former is a special case of the latter. Based on the 2000 Census and primary care physician data, this research assesses the variation of spatial accessibility to primary care in the Chicago region, and analyzes the sensitivity of results by experimenting with ranges of threshold travel times in the floating catchment area method and travel friction coefficients in the gravity model. The methods may be used to help the U.S. Department of Health and Human Services and state Health Departments improve health professional shortage areas designation.","container-title":"Environment and planning. B, Planning &amp; design","DOI":"10.1068/b29120","ISSN":"0265-8135","issue":"6","journalAbbreviation":"Environ Plann B Plann Des","note":"PMID: 34188345\nPMCID: PMC8238135","page":"865-884","source":"PubMed Central","title":"Measures of Spatial Accessibility to Healthcare in a GIS Environment: Synthesis and a Case Study in Chicago Region","title-short":"Measures of Spatial Accessibility to Healthcare in a GIS Environment","volume":"30","author":[{"family":"Luo","given":"Wei"},{"family":"Wang","given":"Fahui"}],"issued":{"date-parts":[["2003",12]]},"citation-key":"Luo:MeasuresSpatialAccessibility2003"}}],"schema":"https://github.com/citation-style-language/schema/raw/master/csl-citation.json"} </w:instrText>
            </w:r>
            <w:r w:rsidR="001906E3">
              <w:rPr>
                <w:b/>
                <w:bCs/>
              </w:rPr>
              <w:fldChar w:fldCharType="separate"/>
            </w:r>
            <w:r w:rsidR="001906E3" w:rsidRPr="001906E3">
              <w:rPr>
                <w:rFonts w:ascii="Calibri" w:hAnsi="Calibri" w:cs="Calibri"/>
                <w:kern w:val="0"/>
                <w:vertAlign w:val="superscript"/>
              </w:rPr>
              <w:t>2</w:t>
            </w:r>
            <w:r w:rsidR="001906E3">
              <w:rPr>
                <w:b/>
                <w:bCs/>
              </w:rPr>
              <w:fldChar w:fldCharType="end"/>
            </w:r>
            <w:r w:rsidR="001906E3">
              <w:rPr>
                <w:b/>
                <w:bCs/>
              </w:rPr>
              <w:t>.</w:t>
            </w:r>
          </w:p>
        </w:tc>
        <w:tc>
          <w:tcPr>
            <w:tcW w:w="2347" w:type="dxa"/>
          </w:tcPr>
          <w:p w14:paraId="17A38004" w14:textId="77777777" w:rsidR="00707987" w:rsidRPr="00707987" w:rsidRDefault="00707987" w:rsidP="00940851">
            <w:pPr>
              <w:pStyle w:val="ListParagraph"/>
              <w:numPr>
                <w:ilvl w:val="0"/>
                <w:numId w:val="4"/>
              </w:numPr>
            </w:pPr>
            <w:r w:rsidRPr="00707987">
              <w:t xml:space="preserve">Considera simultáneamente </w:t>
            </w:r>
            <w:r w:rsidRPr="00707987">
              <w:rPr>
                <w:b/>
                <w:bCs/>
              </w:rPr>
              <w:t>oferta, demanda y distancia</w:t>
            </w:r>
            <w:r>
              <w:rPr>
                <w:b/>
                <w:bCs/>
              </w:rPr>
              <w:t>.</w:t>
            </w:r>
          </w:p>
          <w:p w14:paraId="043577AD" w14:textId="2D26D865" w:rsidR="00707987" w:rsidRPr="00940851" w:rsidRDefault="00707987" w:rsidP="00940851">
            <w:pPr>
              <w:pStyle w:val="ListParagraph"/>
              <w:numPr>
                <w:ilvl w:val="0"/>
                <w:numId w:val="4"/>
              </w:numPr>
            </w:pPr>
            <w:r w:rsidRPr="00707987">
              <w:t>Más realista que los métodos que asumen accesibilidad uniforme</w:t>
            </w:r>
            <w:r>
              <w:t>.</w:t>
            </w:r>
          </w:p>
        </w:tc>
        <w:tc>
          <w:tcPr>
            <w:tcW w:w="3179" w:type="dxa"/>
          </w:tcPr>
          <w:p w14:paraId="4E2D103E" w14:textId="77777777" w:rsidR="00707987" w:rsidRPr="00707987" w:rsidRDefault="00707987" w:rsidP="00707987">
            <w:pPr>
              <w:pStyle w:val="ListParagraph"/>
              <w:numPr>
                <w:ilvl w:val="0"/>
                <w:numId w:val="4"/>
              </w:numPr>
              <w:rPr>
                <w:b/>
                <w:bCs/>
              </w:rPr>
            </w:pPr>
            <w:r w:rsidRPr="00707987">
              <w:t xml:space="preserve">Requiere </w:t>
            </w:r>
            <w:r w:rsidRPr="00707987">
              <w:rPr>
                <w:b/>
                <w:bCs/>
              </w:rPr>
              <w:t>datos detallados de localización y capacidad</w:t>
            </w:r>
            <w:r w:rsidRPr="00707987">
              <w:t xml:space="preserve"> de servicios.</w:t>
            </w:r>
          </w:p>
          <w:p w14:paraId="76C37FF5" w14:textId="77777777" w:rsidR="00707987" w:rsidRDefault="00707987" w:rsidP="00707987">
            <w:pPr>
              <w:pStyle w:val="ListParagraph"/>
              <w:numPr>
                <w:ilvl w:val="0"/>
                <w:numId w:val="4"/>
              </w:numPr>
              <w:rPr>
                <w:b/>
                <w:bCs/>
              </w:rPr>
            </w:pPr>
            <w:r w:rsidRPr="00707987">
              <w:t xml:space="preserve">Puede ser </w:t>
            </w:r>
            <w:r w:rsidRPr="00707987">
              <w:rPr>
                <w:b/>
                <w:bCs/>
              </w:rPr>
              <w:t>complejo de parametrizar e interpretar</w:t>
            </w:r>
            <w:r>
              <w:rPr>
                <w:b/>
                <w:bCs/>
              </w:rPr>
              <w:t>.</w:t>
            </w:r>
          </w:p>
          <w:p w14:paraId="123CC945" w14:textId="318F9D45" w:rsidR="00707987" w:rsidRPr="00707987" w:rsidRDefault="00707987" w:rsidP="00707987">
            <w:pPr>
              <w:pStyle w:val="ListParagraph"/>
              <w:numPr>
                <w:ilvl w:val="0"/>
                <w:numId w:val="4"/>
              </w:numPr>
              <w:rPr>
                <w:b/>
                <w:bCs/>
              </w:rPr>
            </w:pPr>
          </w:p>
        </w:tc>
      </w:tr>
    </w:tbl>
    <w:p w14:paraId="7734BE51" w14:textId="77777777" w:rsidR="00940851" w:rsidRDefault="00940851" w:rsidP="003E6FB2"/>
    <w:p w14:paraId="3412C0A5" w14:textId="1DDF7557" w:rsidR="00C60610" w:rsidRDefault="00C60610" w:rsidP="00C60610">
      <w:r w:rsidRPr="00C60610">
        <w:t>Una limitación de la aplicación de medidas basadas en áreas es que a menudo están sujetas a sesgos espaciales, como el problema de la unidad de área modificable (MAUP, por sus siglas en inglés) (es decir, cómo la escala espacial aplicada influirá en los resultados) y la falacia ecológica (es decir, la inferencia incorrecta entre escalas espaciales). Esto significa que los resultados de un enfoque basado en el área dependerán de los límites geográficos utilizados en el análisis espacial</w:t>
      </w:r>
      <w:r>
        <w:t xml:space="preserve"> </w:t>
      </w:r>
      <w:r>
        <w:fldChar w:fldCharType="begin"/>
      </w:r>
      <w:r>
        <w:instrText xml:space="preserve"> ADDIN ZOTERO_ITEM CSL_CITATION {"citationID":"32Pyxe3F","properties":{"formattedCitation":"\\super 10\\nosupersub{}","plainCitation":"10","noteIndex":0},"citationItems":[{"id":1144,"uris":["http://zotero.org/users/10450489/items/ZIGGV64A"],"itemData":{"id":1144,"type":"article-journal","abstract":"The modifiable areal unit problem, MAUP, is ever-present although not always appreciated. Through real examples, this article outlines the basic causes of MAUP, namely changes in the size, shape, and/or orientation of spatial categories/polygons used to map areal data. The visual effects of changes to mapped data are obvious even though the impacts on our understanding of the world are profound. The article concludes with a discussion of technical and broader strategic approaches for confronting the effects of MAUP on our treatment and interpretation of areal data.","container-title":"International Encyclopedia of Human Geography","DOI":"10.1016/B978-0-08-102295-5.10406-8","journalAbbreviation":"International Encyclopedia of Human Geography","note":"PMID: null\nPMCID: PMC7151983","page":"169-173","source":"PubMed Central","title":"Modifiable Areal Unit Problem","author":[{"family":"Buzzelli","given":"Michael"}],"issued":{"date-parts":[["2020"]]},"citation-key":"Buzzelli:ModifiableArealUnit2020"}}],"schema":"https://github.com/citation-style-language/schema/raw/master/csl-citation.json"} </w:instrText>
      </w:r>
      <w:r>
        <w:fldChar w:fldCharType="separate"/>
      </w:r>
      <w:r w:rsidRPr="00C60610">
        <w:rPr>
          <w:rFonts w:ascii="Calibri" w:hAnsi="Calibri" w:cs="Calibri"/>
          <w:kern w:val="0"/>
          <w:vertAlign w:val="superscript"/>
        </w:rPr>
        <w:t>10</w:t>
      </w:r>
      <w:r>
        <w:fldChar w:fldCharType="end"/>
      </w:r>
    </w:p>
    <w:p w14:paraId="432F8814" w14:textId="77777777" w:rsidR="00C60610" w:rsidRDefault="00C60610" w:rsidP="00C60610"/>
    <w:p w14:paraId="08CE1541" w14:textId="0F97227D" w:rsidR="00250DDF" w:rsidRDefault="00250DDF" w:rsidP="00250DDF">
      <w:pPr>
        <w:pStyle w:val="Heading2"/>
      </w:pPr>
      <w:r>
        <w:lastRenderedPageBreak/>
        <w:t xml:space="preserve">Métodos basados en </w:t>
      </w:r>
      <w:r>
        <w:t>distancia</w:t>
      </w:r>
    </w:p>
    <w:p w14:paraId="2A22452B" w14:textId="77777777" w:rsidR="0051530B" w:rsidRDefault="0051530B" w:rsidP="0051530B">
      <w:r w:rsidRPr="009A3604">
        <w:t>En lugar de agregados por área fija, estos métodos calculan relaciones puntuales entre usuarios y servicios</w:t>
      </w:r>
      <w:r>
        <w:t xml:space="preserve"> </w:t>
      </w:r>
      <w:r>
        <w:fldChar w:fldCharType="begin"/>
      </w:r>
      <w:r>
        <w:instrText xml:space="preserve"> ADDIN ZOTERO_ITEM CSL_CITATION {"citationID":"0oCLX75p","properties":{"formattedCitation":"\\super 7\\nosupersub{}","plainCitation":"7","noteIndex":0},"citationItems":[{"id":1133,"uris":["http://zotero.org/users/10450489/items/I45S3Y83"],"itemData":{"id":1133,"type":"article-journal","abstract":"Australia's inequitable distribution of health services is well documented. Spatial access relates to the geographic limitations affecting the availability and accessibility of healthcare practitioners and services. Issues associated with spatial access are often influenced by Australia's vast landmass, challenging environments, uneven population concentration, and sparsely distributed populations in rural and remote areas. Measuring access contributes to a broader understanding of the performance of health systems, particularly in rural/remote areas. This systematic review synthesises the evidence identifying what spatial measures and geographic classifications are used and how they are applied in the Australian peer-reviewed literature.","container-title":"BMC Health Services Research","DOI":"10.1186/s12913-023-09342-6","ISSN":"1472-6963","issue":"1","journalAbbreviation":"BMC Health Serv Res","language":"en","page":"330","source":"Springer Link","title":"The application of spatial measures to analyse health service accessibility in Australia: a systematic review and recommendations for future practice","title-short":"The application of spatial measures to analyse health service accessibility in Australia","volume":"23","author":[{"family":"Wood","given":"Sarah M."},{"family":"Alston","given":"Laura"},{"family":"Beks","given":"Hannah"},{"family":"Mc Namara","given":"Kevin"},{"family":"Coffee","given":"Neil T."},{"family":"Clark","given":"Robyn A."},{"family":"Wong Shee","given":"Anna"},{"family":"Versace","given":"Vincent L."}],"issued":{"date-parts":[["2023",4,1]]},"citation-key":"Wood:ApplicationSpatialMeasures2023"}}],"schema":"https://github.com/citation-style-language/schema/raw/master/csl-citation.json"} </w:instrText>
      </w:r>
      <w:r>
        <w:fldChar w:fldCharType="separate"/>
      </w:r>
      <w:r w:rsidRPr="00D01E23">
        <w:rPr>
          <w:rFonts w:ascii="Calibri" w:hAnsi="Calibri" w:cs="Calibri"/>
          <w:kern w:val="0"/>
          <w:vertAlign w:val="superscript"/>
        </w:rPr>
        <w:t>7</w:t>
      </w:r>
      <w:r>
        <w:fldChar w:fldCharType="end"/>
      </w:r>
      <w:r>
        <w:t>.</w:t>
      </w:r>
    </w:p>
    <w:tbl>
      <w:tblPr>
        <w:tblStyle w:val="TableGridLight"/>
        <w:tblW w:w="9493" w:type="dxa"/>
        <w:tblLook w:val="04A0" w:firstRow="1" w:lastRow="0" w:firstColumn="1" w:lastColumn="0" w:noHBand="0" w:noVBand="1"/>
      </w:tblPr>
      <w:tblGrid>
        <w:gridCol w:w="1351"/>
        <w:gridCol w:w="3260"/>
        <w:gridCol w:w="3418"/>
        <w:gridCol w:w="1464"/>
      </w:tblGrid>
      <w:tr w:rsidR="0051530B" w:rsidRPr="0051530B" w14:paraId="13E385A1" w14:textId="1BB9A762" w:rsidTr="0051530B">
        <w:tc>
          <w:tcPr>
            <w:tcW w:w="0" w:type="auto"/>
            <w:hideMark/>
          </w:tcPr>
          <w:p w14:paraId="2B9E98C6" w14:textId="0E9CD2DB" w:rsidR="0051530B" w:rsidRPr="0051530B" w:rsidRDefault="0051530B" w:rsidP="0051530B">
            <w:pPr>
              <w:spacing w:after="160" w:line="278" w:lineRule="auto"/>
              <w:rPr>
                <w:b/>
                <w:bCs/>
              </w:rPr>
            </w:pPr>
            <w:r>
              <w:rPr>
                <w:b/>
                <w:bCs/>
              </w:rPr>
              <w:t>Método</w:t>
            </w:r>
          </w:p>
        </w:tc>
        <w:tc>
          <w:tcPr>
            <w:tcW w:w="0" w:type="auto"/>
            <w:hideMark/>
          </w:tcPr>
          <w:p w14:paraId="7E57B06E" w14:textId="77777777" w:rsidR="0051530B" w:rsidRPr="0051530B" w:rsidRDefault="0051530B" w:rsidP="0051530B">
            <w:pPr>
              <w:spacing w:after="160" w:line="278" w:lineRule="auto"/>
              <w:rPr>
                <w:b/>
                <w:bCs/>
              </w:rPr>
            </w:pPr>
            <w:r w:rsidRPr="0051530B">
              <w:rPr>
                <w:b/>
                <w:bCs/>
              </w:rPr>
              <w:t>Descripción</w:t>
            </w:r>
          </w:p>
        </w:tc>
        <w:tc>
          <w:tcPr>
            <w:tcW w:w="0" w:type="auto"/>
            <w:hideMark/>
          </w:tcPr>
          <w:p w14:paraId="051864E6" w14:textId="77777777" w:rsidR="0051530B" w:rsidRPr="0051530B" w:rsidRDefault="0051530B" w:rsidP="0051530B">
            <w:pPr>
              <w:spacing w:after="160" w:line="278" w:lineRule="auto"/>
              <w:rPr>
                <w:b/>
                <w:bCs/>
              </w:rPr>
            </w:pPr>
            <w:r w:rsidRPr="0051530B">
              <w:rPr>
                <w:b/>
                <w:bCs/>
              </w:rPr>
              <w:t>Ventajas / Limitaciones</w:t>
            </w:r>
          </w:p>
        </w:tc>
        <w:tc>
          <w:tcPr>
            <w:tcW w:w="1221" w:type="dxa"/>
          </w:tcPr>
          <w:p w14:paraId="3C571AE4" w14:textId="3225FF9C" w:rsidR="0051530B" w:rsidRPr="0051530B" w:rsidRDefault="0051530B" w:rsidP="0051530B">
            <w:pPr>
              <w:rPr>
                <w:b/>
                <w:bCs/>
              </w:rPr>
            </w:pPr>
            <w:r w:rsidRPr="0051530B">
              <w:rPr>
                <w:b/>
                <w:bCs/>
              </w:rPr>
              <w:t>Limitaciones</w:t>
            </w:r>
          </w:p>
        </w:tc>
      </w:tr>
      <w:tr w:rsidR="0051530B" w:rsidRPr="0051530B" w14:paraId="517544B3" w14:textId="74AF70D2" w:rsidTr="0051530B">
        <w:tc>
          <w:tcPr>
            <w:tcW w:w="0" w:type="auto"/>
            <w:hideMark/>
          </w:tcPr>
          <w:p w14:paraId="1A8A1C33" w14:textId="77777777" w:rsidR="0051530B" w:rsidRPr="0051530B" w:rsidRDefault="0051530B" w:rsidP="0051530B">
            <w:pPr>
              <w:spacing w:after="160" w:line="278" w:lineRule="auto"/>
            </w:pPr>
            <w:proofErr w:type="spellStart"/>
            <w:r w:rsidRPr="0051530B">
              <w:rPr>
                <w:b/>
                <w:bCs/>
              </w:rPr>
              <w:t>Euclidean</w:t>
            </w:r>
            <w:proofErr w:type="spellEnd"/>
            <w:r w:rsidRPr="0051530B">
              <w:rPr>
                <w:b/>
                <w:bCs/>
              </w:rPr>
              <w:t xml:space="preserve"> </w:t>
            </w:r>
            <w:proofErr w:type="spellStart"/>
            <w:r w:rsidRPr="0051530B">
              <w:rPr>
                <w:b/>
                <w:bCs/>
              </w:rPr>
              <w:t>distance</w:t>
            </w:r>
            <w:proofErr w:type="spellEnd"/>
          </w:p>
        </w:tc>
        <w:tc>
          <w:tcPr>
            <w:tcW w:w="0" w:type="auto"/>
            <w:hideMark/>
          </w:tcPr>
          <w:p w14:paraId="3F689889" w14:textId="462AF16C" w:rsidR="0051530B" w:rsidRPr="0051530B" w:rsidRDefault="0051530B" w:rsidP="0051530B">
            <w:pPr>
              <w:spacing w:after="160" w:line="278" w:lineRule="auto"/>
            </w:pPr>
            <w:r w:rsidRPr="0051530B">
              <w:t>Distancia en línea recta entre dos puntos.</w:t>
            </w:r>
            <w:r>
              <w:fldChar w:fldCharType="begin"/>
            </w:r>
            <w:r w:rsidR="00C60610">
              <w:instrText xml:space="preserve"> ADDIN ZOTERO_ITEM CSL_CITATION {"citationID":"wbfAyECe","properties":{"formattedCitation":"\\super 11\\nosupersub{}","plainCitation":"11","noteIndex":0},"citationItems":[{"id":1139,"uris":["http://zotero.org/users/10450489/items/WBYMZILM"],"itemData":{"id":1139,"type":"article-journal","abstract":"The potential spatial access to urban health services is an important issue in health geography, spatial epidemiology and public health. Computing geographical accessibility measures for residential areas (e.g. census tracts) depends on a type of distance, a method of aggregation, and a measure of accessibility. The aim of this paper is to compare discrepancies in results for the geographical accessibility of health services computed using six distance types (Euclidean and Manhattan distances; shortest network time on foot, by bicycle, by public transit, and by car), four aggregation methods, and fourteen accessibility measures.","container-title":"International Journal of Health Geographics","DOI":"10.1186/s12942-017-0105-9","ISSN":"1476-072X","issue":"1","journalAbbreviation":"Int J Health Geogr","language":"en","page":"32","source":"Springer Link","title":"The approaches to measuring the potential spatial access to urban health services revisited: distance types and aggregation-error issues","title-short":"The approaches to measuring the potential spatial access to urban health services revisited","volume":"16","author":[{"family":"Apparicio","given":"Philippe"},{"family":"Gelb","given":"Jérémy"},{"family":"Dubé","given":"Anne-Sophie"},{"family":"Kingham","given":"Simon"},{"family":"Gauvin","given":"Lise"},{"family":"Robitaille","given":"Éric"}],"issued":{"date-parts":[["2017",8,23]]},"citation-key":"Apparicio:ApproachesMeasuringPotential2017"}}],"schema":"https://github.com/citation-style-language/schema/raw/master/csl-citation.json"} </w:instrText>
            </w:r>
            <w:r>
              <w:fldChar w:fldCharType="separate"/>
            </w:r>
            <w:r w:rsidR="00C60610" w:rsidRPr="00C60610">
              <w:rPr>
                <w:rFonts w:ascii="Calibri" w:hAnsi="Calibri" w:cs="Calibri"/>
                <w:kern w:val="0"/>
                <w:vertAlign w:val="superscript"/>
              </w:rPr>
              <w:t>11</w:t>
            </w:r>
            <w:r>
              <w:fldChar w:fldCharType="end"/>
            </w:r>
          </w:p>
        </w:tc>
        <w:tc>
          <w:tcPr>
            <w:tcW w:w="0" w:type="auto"/>
            <w:hideMark/>
          </w:tcPr>
          <w:p w14:paraId="2AB0889A" w14:textId="0534940D" w:rsidR="0051530B" w:rsidRPr="0051530B" w:rsidRDefault="0051530B" w:rsidP="0051530B">
            <w:pPr>
              <w:spacing w:after="160" w:line="278" w:lineRule="auto"/>
            </w:pPr>
            <w:r>
              <w:rPr>
                <w:rFonts w:ascii="Segoe UI Emoji" w:hAnsi="Segoe UI Emoji" w:cs="Segoe UI Emoji"/>
              </w:rPr>
              <w:t>F</w:t>
            </w:r>
            <w:r w:rsidRPr="0051530B">
              <w:t>ácil de calcular</w:t>
            </w:r>
          </w:p>
        </w:tc>
        <w:tc>
          <w:tcPr>
            <w:tcW w:w="1221" w:type="dxa"/>
          </w:tcPr>
          <w:p w14:paraId="098819E2" w14:textId="34DB90B5" w:rsidR="0051530B" w:rsidRPr="0051530B" w:rsidRDefault="0051530B" w:rsidP="0051530B">
            <w:pPr>
              <w:rPr>
                <w:rFonts w:ascii="Segoe UI Emoji" w:hAnsi="Segoe UI Emoji" w:cs="Segoe UI Emoji"/>
              </w:rPr>
            </w:pPr>
            <w:r w:rsidRPr="0051530B">
              <w:t>No considera el tiempo de viaje, las redes viales ni la topografía.</w:t>
            </w:r>
          </w:p>
        </w:tc>
      </w:tr>
      <w:tr w:rsidR="0051530B" w:rsidRPr="0051530B" w14:paraId="650366AA" w14:textId="4555B4AA" w:rsidTr="0051530B">
        <w:tc>
          <w:tcPr>
            <w:tcW w:w="0" w:type="auto"/>
            <w:hideMark/>
          </w:tcPr>
          <w:p w14:paraId="1AD96F2E" w14:textId="77777777" w:rsidR="0051530B" w:rsidRPr="0051530B" w:rsidRDefault="0051530B" w:rsidP="0051530B">
            <w:pPr>
              <w:spacing w:after="160" w:line="278" w:lineRule="auto"/>
            </w:pPr>
            <w:proofErr w:type="spellStart"/>
            <w:r w:rsidRPr="0051530B">
              <w:rPr>
                <w:b/>
                <w:bCs/>
              </w:rPr>
              <w:t>Multiple</w:t>
            </w:r>
            <w:proofErr w:type="spellEnd"/>
            <w:r w:rsidRPr="0051530B">
              <w:rPr>
                <w:b/>
                <w:bCs/>
              </w:rPr>
              <w:t xml:space="preserve"> ring buffer</w:t>
            </w:r>
          </w:p>
        </w:tc>
        <w:tc>
          <w:tcPr>
            <w:tcW w:w="0" w:type="auto"/>
            <w:hideMark/>
          </w:tcPr>
          <w:p w14:paraId="228AFD9F" w14:textId="22592885" w:rsidR="0051530B" w:rsidRPr="0051530B" w:rsidRDefault="0051530B" w:rsidP="0051530B">
            <w:pPr>
              <w:spacing w:after="160" w:line="278" w:lineRule="auto"/>
            </w:pPr>
            <w:r w:rsidRPr="0051530B">
              <w:t>Crea varios anillos (buffers) a distancias fijas alrededor de un punto de interés (por ejemplo, un hospital).</w:t>
            </w:r>
            <w:r>
              <w:fldChar w:fldCharType="begin"/>
            </w:r>
            <w:r w:rsidR="00C60610">
              <w:instrText xml:space="preserve"> ADDIN ZOTERO_ITEM CSL_CITATION {"citationID":"pgmnyuIP","properties":{"formattedCitation":"\\super 12\\nosupersub{}","plainCitation":"12","noteIndex":0},"citationItems":[{"id":1141,"uris":["http://zotero.org/users/10450489/items/FJFPPN6A"],"itemData":{"id":1141,"type":"webpage","title":"Influence of socioeconomic factors and distance to radiotherapy on breast‐conserving surgery rates for early breast cancer in regional Australia; implications of change - Collins - 2018 - Asia-Pacific Journal of Clinical Oncology - Wiley Online Library","URL":"https://onlinelibrary.wiley.com/doi/abs/10.1111/ajco.12828","accessed":{"date-parts":[["2025",10,12]]},"citation-key":":InfluenceSocioeconomicFactors"}}],"schema":"https://github.com/citation-style-language/schema/raw/master/csl-citation.json"} </w:instrText>
            </w:r>
            <w:r>
              <w:fldChar w:fldCharType="separate"/>
            </w:r>
            <w:r w:rsidR="00C60610" w:rsidRPr="00C60610">
              <w:rPr>
                <w:rFonts w:ascii="Calibri" w:hAnsi="Calibri" w:cs="Calibri"/>
                <w:kern w:val="0"/>
                <w:vertAlign w:val="superscript"/>
              </w:rPr>
              <w:t>12</w:t>
            </w:r>
            <w:r>
              <w:fldChar w:fldCharType="end"/>
            </w:r>
          </w:p>
        </w:tc>
        <w:tc>
          <w:tcPr>
            <w:tcW w:w="0" w:type="auto"/>
            <w:hideMark/>
          </w:tcPr>
          <w:p w14:paraId="4930824C" w14:textId="668F0BA6" w:rsidR="0051530B" w:rsidRPr="0051530B" w:rsidRDefault="0051530B" w:rsidP="0051530B">
            <w:pPr>
              <w:spacing w:after="160" w:line="278" w:lineRule="auto"/>
            </w:pPr>
            <w:r w:rsidRPr="0051530B">
              <w:t>Permite analizar zonas por niveles de cercanía.</w:t>
            </w:r>
          </w:p>
        </w:tc>
        <w:tc>
          <w:tcPr>
            <w:tcW w:w="1221" w:type="dxa"/>
          </w:tcPr>
          <w:p w14:paraId="0400B521" w14:textId="18BEC31D" w:rsidR="0051530B" w:rsidRPr="0051530B" w:rsidRDefault="0051530B" w:rsidP="0051530B">
            <w:pPr>
              <w:rPr>
                <w:rFonts w:ascii="Segoe UI Emoji" w:hAnsi="Segoe UI Emoji" w:cs="Segoe UI Emoji"/>
              </w:rPr>
            </w:pPr>
            <w:r>
              <w:t>S</w:t>
            </w:r>
            <w:r w:rsidRPr="0051530B">
              <w:t xml:space="preserve">imilar a la distancia euclidiana: las distancias de los anillos pueden ser </w:t>
            </w:r>
            <w:r w:rsidRPr="0051530B">
              <w:rPr>
                <w:b/>
                <w:bCs/>
              </w:rPr>
              <w:t>arbitrarias</w:t>
            </w:r>
            <w:r w:rsidRPr="0051530B">
              <w:t xml:space="preserve"> y no reflejar rutas reales.</w:t>
            </w:r>
          </w:p>
        </w:tc>
      </w:tr>
      <w:tr w:rsidR="0051530B" w:rsidRPr="0051530B" w14:paraId="205BA5EF" w14:textId="2A315E86" w:rsidTr="0051530B">
        <w:tc>
          <w:tcPr>
            <w:tcW w:w="0" w:type="auto"/>
            <w:hideMark/>
          </w:tcPr>
          <w:p w14:paraId="4E86656B" w14:textId="77777777" w:rsidR="0051530B" w:rsidRPr="0051530B" w:rsidRDefault="0051530B" w:rsidP="0051530B">
            <w:pPr>
              <w:spacing w:after="160" w:line="278" w:lineRule="auto"/>
            </w:pPr>
            <w:r w:rsidRPr="0051530B">
              <w:rPr>
                <w:b/>
                <w:bCs/>
              </w:rPr>
              <w:t xml:space="preserve">Network </w:t>
            </w:r>
            <w:proofErr w:type="spellStart"/>
            <w:r w:rsidRPr="0051530B">
              <w:rPr>
                <w:b/>
                <w:bCs/>
              </w:rPr>
              <w:t>distance</w:t>
            </w:r>
            <w:proofErr w:type="spellEnd"/>
          </w:p>
        </w:tc>
        <w:tc>
          <w:tcPr>
            <w:tcW w:w="0" w:type="auto"/>
            <w:hideMark/>
          </w:tcPr>
          <w:p w14:paraId="14ED95A9" w14:textId="360034E3" w:rsidR="0051530B" w:rsidRPr="0051530B" w:rsidRDefault="0051530B" w:rsidP="0051530B">
            <w:pPr>
              <w:spacing w:after="160" w:line="278" w:lineRule="auto"/>
            </w:pPr>
            <w:r w:rsidRPr="0051530B">
              <w:t xml:space="preserve">Mide la distancia (en km o millas) entre dos lugares </w:t>
            </w:r>
            <w:r w:rsidRPr="0051530B">
              <w:rPr>
                <w:b/>
                <w:bCs/>
              </w:rPr>
              <w:t>siguiendo la red vial o de transporte público</w:t>
            </w:r>
            <w:r w:rsidRPr="0051530B">
              <w:t>.</w:t>
            </w:r>
            <w:r w:rsidR="000820B4">
              <w:fldChar w:fldCharType="begin"/>
            </w:r>
            <w:r w:rsidR="00C60610">
              <w:instrText xml:space="preserve"> ADDIN ZOTERO_ITEM CSL_CITATION {"citationID":"t2JYW1Of","properties":{"formattedCitation":"\\super 13\\nosupersub{}","plainCitation":"13","noteIndex":0},"citationItems":[{"id":1142,"uris":["http://zotero.org/users/10450489/items/MGN7JV4D"],"itemData":{"id":1142,"type":"article-journal","abstract":"Inequalities in geographic access to health care result from the configuration of facilities, population distribution, and the transportation infrastructure. In recent accessibility studies, the traditional distance measure (Euclidean) has been replaced with more plausible measures such as travel distance or time. Both network and raster-based methods are often utilized for estimating travel time in a Geographic Information System. Therefore, exploring the differences in the underlying data models and associated methods and their impact on geographic accessibility estimates is warranted.","container-title":"International Journal of Health Geographics","DOI":"10.1186/1476-072X-11-15","ISSN":"1476-072X","issue":"1","journalAbbreviation":"Int J Health Geogr","language":"en","page":"15","source":"Springer Link","title":"Measuring geographic access to health care: raster and network-based methods","title-short":"Measuring geographic access to health care","volume":"11","author":[{"family":"Delamater","given":"Paul L."},{"family":"Messina","given":"Joseph P."},{"family":"Shortridge","given":"Ashton M."},{"family":"Grady","given":"Sue C."}],"issued":{"date-parts":[["2012",5,15]]},"citation-key":"Delamater:MeasuringGeographicAccess2012"}}],"schema":"https://github.com/citation-style-language/schema/raw/master/csl-citation.json"} </w:instrText>
            </w:r>
            <w:r w:rsidR="000820B4">
              <w:fldChar w:fldCharType="separate"/>
            </w:r>
            <w:r w:rsidR="00C60610" w:rsidRPr="00C60610">
              <w:rPr>
                <w:rFonts w:ascii="Calibri" w:hAnsi="Calibri" w:cs="Calibri"/>
                <w:kern w:val="0"/>
                <w:vertAlign w:val="superscript"/>
              </w:rPr>
              <w:t>13</w:t>
            </w:r>
            <w:r w:rsidR="000820B4">
              <w:fldChar w:fldCharType="end"/>
            </w:r>
          </w:p>
        </w:tc>
        <w:tc>
          <w:tcPr>
            <w:tcW w:w="0" w:type="auto"/>
            <w:hideMark/>
          </w:tcPr>
          <w:p w14:paraId="79933B6C" w14:textId="3B5C9F37" w:rsidR="0051530B" w:rsidRPr="0051530B" w:rsidRDefault="0051530B" w:rsidP="0051530B">
            <w:pPr>
              <w:spacing w:after="160" w:line="278" w:lineRule="auto"/>
            </w:pPr>
            <w:r w:rsidRPr="0051530B">
              <w:t>Representa mejor la distancia real considerando infraestructura</w:t>
            </w:r>
          </w:p>
        </w:tc>
        <w:tc>
          <w:tcPr>
            <w:tcW w:w="1221" w:type="dxa"/>
          </w:tcPr>
          <w:p w14:paraId="4304029C" w14:textId="6B54CFCD" w:rsidR="0051530B" w:rsidRPr="0051530B" w:rsidRDefault="0051530B" w:rsidP="0051530B">
            <w:pPr>
              <w:rPr>
                <w:rFonts w:ascii="Segoe UI Emoji" w:hAnsi="Segoe UI Emoji" w:cs="Segoe UI Emoji"/>
              </w:rPr>
            </w:pPr>
            <w:r w:rsidRPr="0051530B">
              <w:t>No incorpora factores que afectan la velocidad (como tráfico o pendientes).</w:t>
            </w:r>
          </w:p>
        </w:tc>
      </w:tr>
      <w:tr w:rsidR="0051530B" w:rsidRPr="0051530B" w14:paraId="0805E8FC" w14:textId="0BE502E7" w:rsidTr="0051530B">
        <w:tc>
          <w:tcPr>
            <w:tcW w:w="0" w:type="auto"/>
            <w:hideMark/>
          </w:tcPr>
          <w:p w14:paraId="76F97380" w14:textId="77777777" w:rsidR="0051530B" w:rsidRPr="0051530B" w:rsidRDefault="0051530B" w:rsidP="0051530B">
            <w:pPr>
              <w:spacing w:after="160" w:line="278" w:lineRule="auto"/>
            </w:pPr>
            <w:proofErr w:type="spellStart"/>
            <w:r w:rsidRPr="0051530B">
              <w:rPr>
                <w:b/>
                <w:bCs/>
              </w:rPr>
              <w:t>Travel</w:t>
            </w:r>
            <w:proofErr w:type="spellEnd"/>
            <w:r w:rsidRPr="0051530B">
              <w:rPr>
                <w:b/>
                <w:bCs/>
              </w:rPr>
              <w:t xml:space="preserve"> time</w:t>
            </w:r>
          </w:p>
        </w:tc>
        <w:tc>
          <w:tcPr>
            <w:tcW w:w="0" w:type="auto"/>
            <w:hideMark/>
          </w:tcPr>
          <w:p w14:paraId="5AD0DFBF" w14:textId="404C0D48" w:rsidR="0051530B" w:rsidRPr="0051530B" w:rsidRDefault="0051530B" w:rsidP="0051530B">
            <w:pPr>
              <w:spacing w:after="160" w:line="278" w:lineRule="auto"/>
            </w:pPr>
            <w:r w:rsidRPr="0051530B">
              <w:t xml:space="preserve">Calcula el </w:t>
            </w:r>
            <w:r w:rsidRPr="0051530B">
              <w:rPr>
                <w:b/>
                <w:bCs/>
              </w:rPr>
              <w:t>tiempo de viaje</w:t>
            </w:r>
            <w:r w:rsidRPr="0051530B">
              <w:t xml:space="preserve"> (en minutos u horas) a lo largo de una red vial o ruta (carretera, senderos, transporte público).</w:t>
            </w:r>
            <w:r w:rsidR="000820B4">
              <w:fldChar w:fldCharType="begin"/>
            </w:r>
            <w:r w:rsidR="00C60610">
              <w:instrText xml:space="preserve"> ADDIN ZOTERO_ITEM CSL_CITATION {"citationID":"pg4o5FZj","properties":{"formattedCitation":"\\super 13\\nosupersub{}","plainCitation":"13","noteIndex":0},"citationItems":[{"id":1142,"uris":["http://zotero.org/users/10450489/items/MGN7JV4D"],"itemData":{"id":1142,"type":"article-journal","abstract":"Inequalities in geographic access to health care result from the configuration of facilities, population distribution, and the transportation infrastructure. In recent accessibility studies, the traditional distance measure (Euclidean) has been replaced with more plausible measures such as travel distance or time. Both network and raster-based methods are often utilized for estimating travel time in a Geographic Information System. Therefore, exploring the differences in the underlying data models and associated methods and their impact on geographic accessibility estimates is warranted.","container-title":"International Journal of Health Geographics","DOI":"10.1186/1476-072X-11-15","ISSN":"1476-072X","issue":"1","journalAbbreviation":"Int J Health Geogr","language":"en","page":"15","source":"Springer Link","title":"Measuring geographic access to health care: raster and network-based methods","title-short":"Measuring geographic access to health care","volume":"11","author":[{"family":"Delamater","given":"Paul L."},{"family":"Messina","given":"Joseph P."},{"family":"Shortridge","given":"Ashton M."},{"family":"Grady","given":"Sue C."}],"issued":{"date-parts":[["2012",5,15]]},"citation-key":"Delamater:MeasuringGeographicAccess2012"}}],"schema":"https://github.com/citation-style-language/schema/raw/master/csl-citation.json"} </w:instrText>
            </w:r>
            <w:r w:rsidR="000820B4">
              <w:fldChar w:fldCharType="separate"/>
            </w:r>
            <w:r w:rsidR="00C60610" w:rsidRPr="00C60610">
              <w:rPr>
                <w:rFonts w:ascii="Calibri" w:hAnsi="Calibri" w:cs="Calibri"/>
                <w:kern w:val="0"/>
                <w:vertAlign w:val="superscript"/>
              </w:rPr>
              <w:t>13</w:t>
            </w:r>
            <w:r w:rsidR="000820B4">
              <w:fldChar w:fldCharType="end"/>
            </w:r>
          </w:p>
        </w:tc>
        <w:tc>
          <w:tcPr>
            <w:tcW w:w="0" w:type="auto"/>
            <w:hideMark/>
          </w:tcPr>
          <w:p w14:paraId="1A24921C" w14:textId="79B7876A" w:rsidR="0051530B" w:rsidRPr="0051530B" w:rsidRDefault="0051530B" w:rsidP="0051530B">
            <w:pPr>
              <w:spacing w:after="160" w:line="278" w:lineRule="auto"/>
            </w:pPr>
            <w:r w:rsidRPr="0051530B">
              <w:t xml:space="preserve">Integra infraestructura y tiempo real de desplazamiento, ofreciendo una </w:t>
            </w:r>
            <w:r w:rsidRPr="0051530B">
              <w:rPr>
                <w:b/>
                <w:bCs/>
              </w:rPr>
              <w:t>medida más realista de accesibilidad</w:t>
            </w:r>
            <w:r w:rsidRPr="0051530B">
              <w:t>.</w:t>
            </w:r>
          </w:p>
        </w:tc>
        <w:tc>
          <w:tcPr>
            <w:tcW w:w="1221" w:type="dxa"/>
          </w:tcPr>
          <w:p w14:paraId="6BACFE6E" w14:textId="10D2E5D9" w:rsidR="0051530B" w:rsidRPr="0051530B" w:rsidRDefault="0051530B" w:rsidP="0051530B">
            <w:pPr>
              <w:rPr>
                <w:rFonts w:ascii="Segoe UI Emoji" w:hAnsi="Segoe UI Emoji" w:cs="Segoe UI Emoji"/>
              </w:rPr>
            </w:pPr>
            <w:r w:rsidRPr="0051530B">
              <w:t>Requiere datos más detallados y actualizados sobre red y velocidades.</w:t>
            </w:r>
          </w:p>
        </w:tc>
      </w:tr>
    </w:tbl>
    <w:p w14:paraId="742AFE51" w14:textId="77777777" w:rsidR="00CF4225" w:rsidRPr="00940851" w:rsidRDefault="00CF4225" w:rsidP="000F729C"/>
    <w:p w14:paraId="08AA988F" w14:textId="02492512" w:rsidR="002371C6" w:rsidRPr="00940851" w:rsidRDefault="00C60610" w:rsidP="000F729C">
      <w:r w:rsidRPr="00C60610">
        <w:t>La aplicación de medidas basadas en la distancia requiere hacer suposiciones sobre las poblaciones, incluyendo los vehículos y las características de conducción, así como las condiciones del tráfico local, y que las poblaciones recorran la ruta más corta</w:t>
      </w:r>
      <w:r w:rsidR="00854820">
        <w:t xml:space="preserve"> </w:t>
      </w:r>
      <w:r>
        <w:fldChar w:fldCharType="begin"/>
      </w:r>
      <w:r>
        <w:instrText xml:space="preserve"> ADDIN ZOTERO_ITEM CSL_CITATION {"citationID":"5NSEnx0i","properties":{"formattedCitation":"\\super 13\\nosupersub{}","plainCitation":"13","noteIndex":0},"citationItems":[{"id":1142,"uris":["http://zotero.org/users/10450489/items/MGN7JV4D"],"itemData":{"id":1142,"type":"article-journal","abstract":"Inequalities in geographic access to health care result from the configuration of facilities, population distribution, and the transportation infrastructure. In recent accessibility studies, the traditional distance measure (Euclidean) has been replaced with more plausible measures such as travel distance or time. Both network and raster-based methods are often utilized for estimating travel time in a Geographic Information System. Therefore, exploring the differences in the underlying data models and associated methods and their impact on geographic accessibility estimates is warranted.","container-title":"International Journal of Health Geographics","DOI":"10.1186/1476-072X-11-15","ISSN":"1476-072X","issue":"1","journalAbbreviation":"Int J Health Geogr","language":"en","page":"15","source":"Springer Link","title":"Measuring geographic access to health care: raster and network-based methods","title-short":"Measuring geographic access to health care","volume":"11","author":[{"family":"Delamater","given":"Paul L."},{"family":"Messina","given":"Joseph P."},{"family":"Shortridge","given":"Ashton M."},{"family":"Grady","given":"Sue C."}],"issued":{"date-parts":[["2012",5,15]]},"citation-key":"Delamater:MeasuringGeographicAccess2012"}}],"schema":"https://github.com/citation-style-language/schema/raw/master/csl-citation.json"} </w:instrText>
      </w:r>
      <w:r>
        <w:fldChar w:fldCharType="separate"/>
      </w:r>
      <w:r w:rsidRPr="00C60610">
        <w:rPr>
          <w:rFonts w:ascii="Calibri" w:hAnsi="Calibri" w:cs="Calibri"/>
          <w:kern w:val="0"/>
          <w:vertAlign w:val="superscript"/>
        </w:rPr>
        <w:t>13</w:t>
      </w:r>
      <w:r>
        <w:fldChar w:fldCharType="end"/>
      </w:r>
      <w:r w:rsidR="00854820">
        <w:t>.</w:t>
      </w:r>
    </w:p>
    <w:p w14:paraId="3989F6E2" w14:textId="77777777" w:rsidR="009A3604" w:rsidRPr="00940851" w:rsidRDefault="009A3604" w:rsidP="000F729C"/>
    <w:p w14:paraId="2BDD6412" w14:textId="6A3CC963" w:rsidR="00215176" w:rsidRPr="00650356" w:rsidRDefault="0076449D" w:rsidP="008F38F1">
      <w:pPr>
        <w:pStyle w:val="Heading1"/>
        <w:rPr>
          <w:lang w:val="en-US"/>
        </w:rPr>
      </w:pPr>
      <w:proofErr w:type="spellStart"/>
      <w:r w:rsidRPr="00650356">
        <w:rPr>
          <w:lang w:val="en-US"/>
        </w:rPr>
        <w:lastRenderedPageBreak/>
        <w:t>Bibliograf</w:t>
      </w:r>
      <w:r w:rsidR="004957CE" w:rsidRPr="00650356">
        <w:rPr>
          <w:lang w:val="en-US"/>
        </w:rPr>
        <w:t>ía</w:t>
      </w:r>
      <w:proofErr w:type="spellEnd"/>
      <w:r w:rsidR="004957CE" w:rsidRPr="00650356">
        <w:rPr>
          <w:lang w:val="en-US"/>
        </w:rPr>
        <w:t xml:space="preserve"> </w:t>
      </w:r>
      <w:r w:rsidR="008F38F1" w:rsidRPr="00650356">
        <w:rPr>
          <w:lang w:val="en-US"/>
        </w:rPr>
        <w:t xml:space="preserve"> </w:t>
      </w:r>
    </w:p>
    <w:p w14:paraId="2B74C008" w14:textId="77777777" w:rsidR="00C60610" w:rsidRPr="00C60610" w:rsidRDefault="00215176" w:rsidP="00C60610">
      <w:pPr>
        <w:pStyle w:val="Bibliography"/>
        <w:rPr>
          <w:rFonts w:ascii="Calibri" w:hAnsi="Calibri" w:cs="Calibri"/>
          <w:lang w:val="en-US"/>
        </w:rPr>
      </w:pPr>
      <w:r w:rsidRPr="00D162A1">
        <w:rPr>
          <w:rFonts w:ascii="Aptos Narrow" w:hAnsi="Aptos Narrow"/>
        </w:rPr>
        <w:fldChar w:fldCharType="begin"/>
      </w:r>
      <w:r w:rsidRPr="008F38F1">
        <w:rPr>
          <w:rFonts w:ascii="Aptos Narrow" w:hAnsi="Aptos Narrow"/>
          <w:lang w:val="en-US"/>
        </w:rPr>
        <w:instrText xml:space="preserve"> ADDIN ZOTERO_BIBL {"uncited":[],"omitted":[],"custom":[]} CSL_BIBLIOGRAPHY </w:instrText>
      </w:r>
      <w:r w:rsidRPr="00D162A1">
        <w:rPr>
          <w:rFonts w:ascii="Aptos Narrow" w:hAnsi="Aptos Narrow"/>
        </w:rPr>
        <w:fldChar w:fldCharType="separate"/>
      </w:r>
      <w:r w:rsidR="00C60610" w:rsidRPr="00C60610">
        <w:rPr>
          <w:rFonts w:ascii="Calibri" w:hAnsi="Calibri" w:cs="Calibri"/>
          <w:lang w:val="en-US"/>
        </w:rPr>
        <w:t>1.</w:t>
      </w:r>
      <w:r w:rsidR="00C60610" w:rsidRPr="00C60610">
        <w:rPr>
          <w:rFonts w:ascii="Calibri" w:hAnsi="Calibri" w:cs="Calibri"/>
          <w:lang w:val="en-US"/>
        </w:rPr>
        <w:tab/>
        <w:t>Levesque, J.-F., Harris, M. F. &amp; Russell, G. Patient-</w:t>
      </w:r>
      <w:proofErr w:type="spellStart"/>
      <w:r w:rsidR="00C60610" w:rsidRPr="00C60610">
        <w:rPr>
          <w:rFonts w:ascii="Calibri" w:hAnsi="Calibri" w:cs="Calibri"/>
          <w:lang w:val="en-US"/>
        </w:rPr>
        <w:t>centred</w:t>
      </w:r>
      <w:proofErr w:type="spellEnd"/>
      <w:r w:rsidR="00C60610" w:rsidRPr="00C60610">
        <w:rPr>
          <w:rFonts w:ascii="Calibri" w:hAnsi="Calibri" w:cs="Calibri"/>
          <w:lang w:val="en-US"/>
        </w:rPr>
        <w:t xml:space="preserve"> access to health care: </w:t>
      </w:r>
      <w:proofErr w:type="spellStart"/>
      <w:r w:rsidR="00C60610" w:rsidRPr="00C60610">
        <w:rPr>
          <w:rFonts w:ascii="Calibri" w:hAnsi="Calibri" w:cs="Calibri"/>
          <w:lang w:val="en-US"/>
        </w:rPr>
        <w:t>conceptualising</w:t>
      </w:r>
      <w:proofErr w:type="spellEnd"/>
      <w:r w:rsidR="00C60610" w:rsidRPr="00C60610">
        <w:rPr>
          <w:rFonts w:ascii="Calibri" w:hAnsi="Calibri" w:cs="Calibri"/>
          <w:lang w:val="en-US"/>
        </w:rPr>
        <w:t xml:space="preserve"> access at the interface of health systems and populations. </w:t>
      </w:r>
      <w:r w:rsidR="00C60610" w:rsidRPr="00C60610">
        <w:rPr>
          <w:rFonts w:ascii="Calibri" w:hAnsi="Calibri" w:cs="Calibri"/>
          <w:i/>
          <w:iCs/>
          <w:lang w:val="en-US"/>
        </w:rPr>
        <w:t>Int. J. Equity Health</w:t>
      </w:r>
      <w:r w:rsidR="00C60610" w:rsidRPr="00C60610">
        <w:rPr>
          <w:rFonts w:ascii="Calibri" w:hAnsi="Calibri" w:cs="Calibri"/>
          <w:lang w:val="en-US"/>
        </w:rPr>
        <w:t xml:space="preserve"> </w:t>
      </w:r>
      <w:r w:rsidR="00C60610" w:rsidRPr="00C60610">
        <w:rPr>
          <w:rFonts w:ascii="Calibri" w:hAnsi="Calibri" w:cs="Calibri"/>
          <w:b/>
          <w:bCs/>
          <w:lang w:val="en-US"/>
        </w:rPr>
        <w:t>12</w:t>
      </w:r>
      <w:r w:rsidR="00C60610" w:rsidRPr="00C60610">
        <w:rPr>
          <w:rFonts w:ascii="Calibri" w:hAnsi="Calibri" w:cs="Calibri"/>
          <w:lang w:val="en-US"/>
        </w:rPr>
        <w:t>, 18 (2013).</w:t>
      </w:r>
    </w:p>
    <w:p w14:paraId="38F7AB2E"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2.</w:t>
      </w:r>
      <w:r w:rsidRPr="00C60610">
        <w:rPr>
          <w:rFonts w:ascii="Calibri" w:hAnsi="Calibri" w:cs="Calibri"/>
          <w:lang w:val="en-US"/>
        </w:rPr>
        <w:tab/>
        <w:t xml:space="preserve">Luo, W. &amp; Wang, F. Measures of Spatial Accessibility to Healthcare in a GIS Environment: Synthesis and a Case Study in Chicago Region. </w:t>
      </w:r>
      <w:r w:rsidRPr="00C60610">
        <w:rPr>
          <w:rFonts w:ascii="Calibri" w:hAnsi="Calibri" w:cs="Calibri"/>
          <w:i/>
          <w:iCs/>
          <w:lang w:val="en-US"/>
        </w:rPr>
        <w:t>Environ. Plan. B Plan. Des.</w:t>
      </w:r>
      <w:r w:rsidRPr="00C60610">
        <w:rPr>
          <w:rFonts w:ascii="Calibri" w:hAnsi="Calibri" w:cs="Calibri"/>
          <w:lang w:val="en-US"/>
        </w:rPr>
        <w:t xml:space="preserve"> </w:t>
      </w:r>
      <w:r w:rsidRPr="00C60610">
        <w:rPr>
          <w:rFonts w:ascii="Calibri" w:hAnsi="Calibri" w:cs="Calibri"/>
          <w:b/>
          <w:bCs/>
          <w:lang w:val="en-US"/>
        </w:rPr>
        <w:t>30</w:t>
      </w:r>
      <w:r w:rsidRPr="00C60610">
        <w:rPr>
          <w:rFonts w:ascii="Calibri" w:hAnsi="Calibri" w:cs="Calibri"/>
          <w:lang w:val="en-US"/>
        </w:rPr>
        <w:t>, 865–884 (2003).</w:t>
      </w:r>
    </w:p>
    <w:p w14:paraId="106EC700"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3.</w:t>
      </w:r>
      <w:r w:rsidRPr="00C60610">
        <w:rPr>
          <w:rFonts w:ascii="Calibri" w:hAnsi="Calibri" w:cs="Calibri"/>
          <w:lang w:val="en-US"/>
        </w:rPr>
        <w:tab/>
        <w:t xml:space="preserve">Beks, H., Wood, S. M., Clark, R. A. &amp; Vincent, V. L. Spatial methods for measuring access to health care. </w:t>
      </w:r>
      <w:r w:rsidRPr="00C60610">
        <w:rPr>
          <w:rFonts w:ascii="Calibri" w:hAnsi="Calibri" w:cs="Calibri"/>
          <w:i/>
          <w:iCs/>
          <w:lang w:val="en-US"/>
        </w:rPr>
        <w:t>Eur. J. Cardiovasc. Nurs.</w:t>
      </w:r>
      <w:r w:rsidRPr="00C60610">
        <w:rPr>
          <w:rFonts w:ascii="Calibri" w:hAnsi="Calibri" w:cs="Calibri"/>
          <w:lang w:val="en-US"/>
        </w:rPr>
        <w:t xml:space="preserve"> </w:t>
      </w:r>
      <w:r w:rsidRPr="00C60610">
        <w:rPr>
          <w:rFonts w:ascii="Calibri" w:hAnsi="Calibri" w:cs="Calibri"/>
          <w:b/>
          <w:bCs/>
          <w:lang w:val="en-US"/>
        </w:rPr>
        <w:t>22</w:t>
      </w:r>
      <w:r w:rsidRPr="00C60610">
        <w:rPr>
          <w:rFonts w:ascii="Calibri" w:hAnsi="Calibri" w:cs="Calibri"/>
          <w:lang w:val="en-US"/>
        </w:rPr>
        <w:t>, 832–840 (2023).</w:t>
      </w:r>
    </w:p>
    <w:p w14:paraId="04D502D3"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4.</w:t>
      </w:r>
      <w:r w:rsidRPr="00C60610">
        <w:rPr>
          <w:rFonts w:ascii="Calibri" w:hAnsi="Calibri" w:cs="Calibri"/>
          <w:lang w:val="en-US"/>
        </w:rPr>
        <w:tab/>
        <w:t xml:space="preserve">Meade, M. S. &amp; Emch, M. </w:t>
      </w:r>
      <w:r w:rsidRPr="00C60610">
        <w:rPr>
          <w:rFonts w:ascii="Calibri" w:hAnsi="Calibri" w:cs="Calibri"/>
          <w:i/>
          <w:iCs/>
          <w:lang w:val="en-US"/>
        </w:rPr>
        <w:t>Medical Geography, Third Edition</w:t>
      </w:r>
      <w:r w:rsidRPr="00C60610">
        <w:rPr>
          <w:rFonts w:ascii="Calibri" w:hAnsi="Calibri" w:cs="Calibri"/>
          <w:lang w:val="en-US"/>
        </w:rPr>
        <w:t>. (Guilford Press, 2010).</w:t>
      </w:r>
    </w:p>
    <w:p w14:paraId="7ADA187D"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5.</w:t>
      </w:r>
      <w:r w:rsidRPr="00C60610">
        <w:rPr>
          <w:rFonts w:ascii="Calibri" w:hAnsi="Calibri" w:cs="Calibri"/>
          <w:lang w:val="en-US"/>
        </w:rPr>
        <w:tab/>
        <w:t xml:space="preserve">Khan, A. A. An integrated approach to measuring potential spatial access to health care services. </w:t>
      </w:r>
      <w:proofErr w:type="spellStart"/>
      <w:r w:rsidRPr="00C60610">
        <w:rPr>
          <w:rFonts w:ascii="Calibri" w:hAnsi="Calibri" w:cs="Calibri"/>
          <w:i/>
          <w:iCs/>
          <w:lang w:val="en-US"/>
        </w:rPr>
        <w:t>Socioecon</w:t>
      </w:r>
      <w:proofErr w:type="spellEnd"/>
      <w:r w:rsidRPr="00C60610">
        <w:rPr>
          <w:rFonts w:ascii="Calibri" w:hAnsi="Calibri" w:cs="Calibri"/>
          <w:i/>
          <w:iCs/>
          <w:lang w:val="en-US"/>
        </w:rPr>
        <w:t xml:space="preserve">. </w:t>
      </w:r>
      <w:proofErr w:type="spellStart"/>
      <w:r w:rsidRPr="00C60610">
        <w:rPr>
          <w:rFonts w:ascii="Calibri" w:hAnsi="Calibri" w:cs="Calibri"/>
          <w:i/>
          <w:iCs/>
          <w:lang w:val="en-US"/>
        </w:rPr>
        <w:t>Plann</w:t>
      </w:r>
      <w:proofErr w:type="spellEnd"/>
      <w:r w:rsidRPr="00C60610">
        <w:rPr>
          <w:rFonts w:ascii="Calibri" w:hAnsi="Calibri" w:cs="Calibri"/>
          <w:i/>
          <w:iCs/>
          <w:lang w:val="en-US"/>
        </w:rPr>
        <w:t>. Sci.</w:t>
      </w:r>
      <w:r w:rsidRPr="00C60610">
        <w:rPr>
          <w:rFonts w:ascii="Calibri" w:hAnsi="Calibri" w:cs="Calibri"/>
          <w:lang w:val="en-US"/>
        </w:rPr>
        <w:t xml:space="preserve"> </w:t>
      </w:r>
      <w:r w:rsidRPr="00C60610">
        <w:rPr>
          <w:rFonts w:ascii="Calibri" w:hAnsi="Calibri" w:cs="Calibri"/>
          <w:b/>
          <w:bCs/>
          <w:lang w:val="en-US"/>
        </w:rPr>
        <w:t>26</w:t>
      </w:r>
      <w:r w:rsidRPr="00C60610">
        <w:rPr>
          <w:rFonts w:ascii="Calibri" w:hAnsi="Calibri" w:cs="Calibri"/>
          <w:lang w:val="en-US"/>
        </w:rPr>
        <w:t>, 275–287 (1992).</w:t>
      </w:r>
    </w:p>
    <w:p w14:paraId="1BEA6A53"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6.</w:t>
      </w:r>
      <w:r w:rsidRPr="00C60610">
        <w:rPr>
          <w:rFonts w:ascii="Calibri" w:hAnsi="Calibri" w:cs="Calibri"/>
          <w:lang w:val="en-US"/>
        </w:rPr>
        <w:tab/>
        <w:t xml:space="preserve">Russell, D. J. </w:t>
      </w:r>
      <w:r w:rsidRPr="00C60610">
        <w:rPr>
          <w:rFonts w:ascii="Calibri" w:hAnsi="Calibri" w:cs="Calibri"/>
          <w:i/>
          <w:iCs/>
          <w:lang w:val="en-US"/>
        </w:rPr>
        <w:t>et al.</w:t>
      </w:r>
      <w:r w:rsidRPr="00C60610">
        <w:rPr>
          <w:rFonts w:ascii="Calibri" w:hAnsi="Calibri" w:cs="Calibri"/>
          <w:lang w:val="en-US"/>
        </w:rPr>
        <w:t xml:space="preserve"> Helping policy-makers address rural health access problems. </w:t>
      </w:r>
      <w:r w:rsidRPr="00C60610">
        <w:rPr>
          <w:rFonts w:ascii="Calibri" w:hAnsi="Calibri" w:cs="Calibri"/>
          <w:i/>
          <w:iCs/>
          <w:lang w:val="en-US"/>
        </w:rPr>
        <w:t>Aust. J. Rural Health</w:t>
      </w:r>
      <w:r w:rsidRPr="00C60610">
        <w:rPr>
          <w:rFonts w:ascii="Calibri" w:hAnsi="Calibri" w:cs="Calibri"/>
          <w:lang w:val="en-US"/>
        </w:rPr>
        <w:t xml:space="preserve"> </w:t>
      </w:r>
      <w:r w:rsidRPr="00C60610">
        <w:rPr>
          <w:rFonts w:ascii="Calibri" w:hAnsi="Calibri" w:cs="Calibri"/>
          <w:b/>
          <w:bCs/>
          <w:lang w:val="en-US"/>
        </w:rPr>
        <w:t>21</w:t>
      </w:r>
      <w:r w:rsidRPr="00C60610">
        <w:rPr>
          <w:rFonts w:ascii="Calibri" w:hAnsi="Calibri" w:cs="Calibri"/>
          <w:lang w:val="en-US"/>
        </w:rPr>
        <w:t>, 61–71 (2013).</w:t>
      </w:r>
    </w:p>
    <w:p w14:paraId="0AFDAFD2"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7.</w:t>
      </w:r>
      <w:r w:rsidRPr="00C60610">
        <w:rPr>
          <w:rFonts w:ascii="Calibri" w:hAnsi="Calibri" w:cs="Calibri"/>
          <w:lang w:val="en-US"/>
        </w:rPr>
        <w:tab/>
        <w:t xml:space="preserve">Wood, S. M. </w:t>
      </w:r>
      <w:r w:rsidRPr="00C60610">
        <w:rPr>
          <w:rFonts w:ascii="Calibri" w:hAnsi="Calibri" w:cs="Calibri"/>
          <w:i/>
          <w:iCs/>
          <w:lang w:val="en-US"/>
        </w:rPr>
        <w:t>et al.</w:t>
      </w:r>
      <w:r w:rsidRPr="00C60610">
        <w:rPr>
          <w:rFonts w:ascii="Calibri" w:hAnsi="Calibri" w:cs="Calibri"/>
          <w:lang w:val="en-US"/>
        </w:rPr>
        <w:t xml:space="preserve"> The application of spatial measures to </w:t>
      </w:r>
      <w:proofErr w:type="spellStart"/>
      <w:r w:rsidRPr="00C60610">
        <w:rPr>
          <w:rFonts w:ascii="Calibri" w:hAnsi="Calibri" w:cs="Calibri"/>
          <w:lang w:val="en-US"/>
        </w:rPr>
        <w:t>analyse</w:t>
      </w:r>
      <w:proofErr w:type="spellEnd"/>
      <w:r w:rsidRPr="00C60610">
        <w:rPr>
          <w:rFonts w:ascii="Calibri" w:hAnsi="Calibri" w:cs="Calibri"/>
          <w:lang w:val="en-US"/>
        </w:rPr>
        <w:t xml:space="preserve"> health service accessibility in Australia: a systematic review and recommendations for future practice. </w:t>
      </w:r>
      <w:r w:rsidRPr="00C60610">
        <w:rPr>
          <w:rFonts w:ascii="Calibri" w:hAnsi="Calibri" w:cs="Calibri"/>
          <w:i/>
          <w:iCs/>
          <w:lang w:val="en-US"/>
        </w:rPr>
        <w:t>BMC Health Serv. Res.</w:t>
      </w:r>
      <w:r w:rsidRPr="00C60610">
        <w:rPr>
          <w:rFonts w:ascii="Calibri" w:hAnsi="Calibri" w:cs="Calibri"/>
          <w:lang w:val="en-US"/>
        </w:rPr>
        <w:t xml:space="preserve"> </w:t>
      </w:r>
      <w:r w:rsidRPr="00C60610">
        <w:rPr>
          <w:rFonts w:ascii="Calibri" w:hAnsi="Calibri" w:cs="Calibri"/>
          <w:b/>
          <w:bCs/>
          <w:lang w:val="en-US"/>
        </w:rPr>
        <w:t>23</w:t>
      </w:r>
      <w:r w:rsidRPr="00C60610">
        <w:rPr>
          <w:rFonts w:ascii="Calibri" w:hAnsi="Calibri" w:cs="Calibri"/>
          <w:lang w:val="en-US"/>
        </w:rPr>
        <w:t>, 330 (2023).</w:t>
      </w:r>
    </w:p>
    <w:p w14:paraId="414ED192"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8.</w:t>
      </w:r>
      <w:r w:rsidRPr="00C60610">
        <w:rPr>
          <w:rFonts w:ascii="Calibri" w:hAnsi="Calibri" w:cs="Calibri"/>
          <w:lang w:val="en-US"/>
        </w:rPr>
        <w:tab/>
        <w:t xml:space="preserve">Drake, C. </w:t>
      </w:r>
      <w:r w:rsidRPr="00C60610">
        <w:rPr>
          <w:rFonts w:ascii="Calibri" w:hAnsi="Calibri" w:cs="Calibri"/>
          <w:i/>
          <w:iCs/>
          <w:lang w:val="en-US"/>
        </w:rPr>
        <w:t>et al.</w:t>
      </w:r>
      <w:r w:rsidRPr="00C60610">
        <w:rPr>
          <w:rFonts w:ascii="Calibri" w:hAnsi="Calibri" w:cs="Calibri"/>
          <w:lang w:val="en-US"/>
        </w:rPr>
        <w:t xml:space="preserve"> A comparison of methods for measuring spatial access to health care. </w:t>
      </w:r>
      <w:r w:rsidRPr="00C60610">
        <w:rPr>
          <w:rFonts w:ascii="Calibri" w:hAnsi="Calibri" w:cs="Calibri"/>
          <w:i/>
          <w:iCs/>
          <w:lang w:val="en-US"/>
        </w:rPr>
        <w:t>Health Serv. Res.</w:t>
      </w:r>
      <w:r w:rsidRPr="00C60610">
        <w:rPr>
          <w:rFonts w:ascii="Calibri" w:hAnsi="Calibri" w:cs="Calibri"/>
          <w:lang w:val="en-US"/>
        </w:rPr>
        <w:t xml:space="preserve"> </w:t>
      </w:r>
      <w:r w:rsidRPr="00C60610">
        <w:rPr>
          <w:rFonts w:ascii="Calibri" w:hAnsi="Calibri" w:cs="Calibri"/>
          <w:b/>
          <w:bCs/>
          <w:lang w:val="en-US"/>
        </w:rPr>
        <w:t>56</w:t>
      </w:r>
      <w:r w:rsidRPr="00C60610">
        <w:rPr>
          <w:rFonts w:ascii="Calibri" w:hAnsi="Calibri" w:cs="Calibri"/>
          <w:lang w:val="en-US"/>
        </w:rPr>
        <w:t>, 777–787 (2021).</w:t>
      </w:r>
    </w:p>
    <w:p w14:paraId="07CAB66B"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9.</w:t>
      </w:r>
      <w:r w:rsidRPr="00C60610">
        <w:rPr>
          <w:rFonts w:ascii="Calibri" w:hAnsi="Calibri" w:cs="Calibri"/>
          <w:lang w:val="en-US"/>
        </w:rPr>
        <w:tab/>
        <w:t xml:space="preserve">Luo, W. &amp; Qi, Y. An enhanced two-step floating catchment area (E2SFCA) method for measuring spatial accessibility to primary care physicians. </w:t>
      </w:r>
      <w:r w:rsidRPr="00C60610">
        <w:rPr>
          <w:rFonts w:ascii="Calibri" w:hAnsi="Calibri" w:cs="Calibri"/>
          <w:i/>
          <w:iCs/>
          <w:lang w:val="en-US"/>
        </w:rPr>
        <w:t>Health Place</w:t>
      </w:r>
      <w:r w:rsidRPr="00C60610">
        <w:rPr>
          <w:rFonts w:ascii="Calibri" w:hAnsi="Calibri" w:cs="Calibri"/>
          <w:lang w:val="en-US"/>
        </w:rPr>
        <w:t xml:space="preserve"> </w:t>
      </w:r>
      <w:r w:rsidRPr="00C60610">
        <w:rPr>
          <w:rFonts w:ascii="Calibri" w:hAnsi="Calibri" w:cs="Calibri"/>
          <w:b/>
          <w:bCs/>
          <w:lang w:val="en-US"/>
        </w:rPr>
        <w:t>15</w:t>
      </w:r>
      <w:r w:rsidRPr="00C60610">
        <w:rPr>
          <w:rFonts w:ascii="Calibri" w:hAnsi="Calibri" w:cs="Calibri"/>
          <w:lang w:val="en-US"/>
        </w:rPr>
        <w:t>, 1100–1107 (2009).</w:t>
      </w:r>
    </w:p>
    <w:p w14:paraId="06C4DB53" w14:textId="77777777" w:rsidR="00C60610" w:rsidRPr="00C60610" w:rsidRDefault="00C60610" w:rsidP="00C60610">
      <w:pPr>
        <w:pStyle w:val="Bibliography"/>
        <w:rPr>
          <w:rFonts w:ascii="Calibri" w:hAnsi="Calibri" w:cs="Calibri"/>
        </w:rPr>
      </w:pPr>
      <w:r w:rsidRPr="00C60610">
        <w:rPr>
          <w:rFonts w:ascii="Calibri" w:hAnsi="Calibri" w:cs="Calibri"/>
          <w:lang w:val="en-US"/>
        </w:rPr>
        <w:t>10.</w:t>
      </w:r>
      <w:r w:rsidRPr="00C60610">
        <w:rPr>
          <w:rFonts w:ascii="Calibri" w:hAnsi="Calibri" w:cs="Calibri"/>
          <w:lang w:val="en-US"/>
        </w:rPr>
        <w:tab/>
        <w:t xml:space="preserve">Buzzelli, M. Modifiable Areal Unit Problem. </w:t>
      </w:r>
      <w:r w:rsidRPr="00C60610">
        <w:rPr>
          <w:rFonts w:ascii="Calibri" w:hAnsi="Calibri" w:cs="Calibri"/>
          <w:i/>
          <w:iCs/>
          <w:lang w:val="en-US"/>
        </w:rPr>
        <w:t xml:space="preserve">Int. Encycl. </w:t>
      </w:r>
      <w:r w:rsidRPr="00C60610">
        <w:rPr>
          <w:rFonts w:ascii="Calibri" w:hAnsi="Calibri" w:cs="Calibri"/>
          <w:i/>
          <w:iCs/>
        </w:rPr>
        <w:t xml:space="preserve">Hum. </w:t>
      </w:r>
      <w:proofErr w:type="spellStart"/>
      <w:r w:rsidRPr="00C60610">
        <w:rPr>
          <w:rFonts w:ascii="Calibri" w:hAnsi="Calibri" w:cs="Calibri"/>
          <w:i/>
          <w:iCs/>
        </w:rPr>
        <w:t>Geogr</w:t>
      </w:r>
      <w:proofErr w:type="spellEnd"/>
      <w:r w:rsidRPr="00C60610">
        <w:rPr>
          <w:rFonts w:ascii="Calibri" w:hAnsi="Calibri" w:cs="Calibri"/>
          <w:i/>
          <w:iCs/>
        </w:rPr>
        <w:t>.</w:t>
      </w:r>
      <w:r w:rsidRPr="00C60610">
        <w:rPr>
          <w:rFonts w:ascii="Calibri" w:hAnsi="Calibri" w:cs="Calibri"/>
        </w:rPr>
        <w:t xml:space="preserve"> 169–173 (2020) doi:10.1016/B978-0-08-102295-5.10406-8.</w:t>
      </w:r>
    </w:p>
    <w:p w14:paraId="491EB853" w14:textId="77777777" w:rsidR="00C60610" w:rsidRPr="00C60610" w:rsidRDefault="00C60610" w:rsidP="00C60610">
      <w:pPr>
        <w:pStyle w:val="Bibliography"/>
        <w:rPr>
          <w:rFonts w:ascii="Calibri" w:hAnsi="Calibri" w:cs="Calibri"/>
          <w:lang w:val="en-US"/>
        </w:rPr>
      </w:pPr>
      <w:r w:rsidRPr="00C60610">
        <w:rPr>
          <w:rFonts w:ascii="Calibri" w:hAnsi="Calibri" w:cs="Calibri"/>
        </w:rPr>
        <w:lastRenderedPageBreak/>
        <w:t>11.</w:t>
      </w:r>
      <w:r w:rsidRPr="00C60610">
        <w:rPr>
          <w:rFonts w:ascii="Calibri" w:hAnsi="Calibri" w:cs="Calibri"/>
        </w:rPr>
        <w:tab/>
      </w:r>
      <w:proofErr w:type="spellStart"/>
      <w:r w:rsidRPr="00C60610">
        <w:rPr>
          <w:rFonts w:ascii="Calibri" w:hAnsi="Calibri" w:cs="Calibri"/>
        </w:rPr>
        <w:t>Apparicio</w:t>
      </w:r>
      <w:proofErr w:type="spellEnd"/>
      <w:r w:rsidRPr="00C60610">
        <w:rPr>
          <w:rFonts w:ascii="Calibri" w:hAnsi="Calibri" w:cs="Calibri"/>
        </w:rPr>
        <w:t xml:space="preserve">, P. </w:t>
      </w:r>
      <w:r w:rsidRPr="00C60610">
        <w:rPr>
          <w:rFonts w:ascii="Calibri" w:hAnsi="Calibri" w:cs="Calibri"/>
          <w:i/>
          <w:iCs/>
        </w:rPr>
        <w:t>et al.</w:t>
      </w:r>
      <w:r w:rsidRPr="00C60610">
        <w:rPr>
          <w:rFonts w:ascii="Calibri" w:hAnsi="Calibri" w:cs="Calibri"/>
        </w:rPr>
        <w:t xml:space="preserve"> </w:t>
      </w:r>
      <w:r w:rsidRPr="00C60610">
        <w:rPr>
          <w:rFonts w:ascii="Calibri" w:hAnsi="Calibri" w:cs="Calibri"/>
          <w:lang w:val="en-US"/>
        </w:rPr>
        <w:t xml:space="preserve">The approaches to measuring the potential spatial access to urban health services revisited: distance types and aggregation-error issues. </w:t>
      </w:r>
      <w:r w:rsidRPr="00C60610">
        <w:rPr>
          <w:rFonts w:ascii="Calibri" w:hAnsi="Calibri" w:cs="Calibri"/>
          <w:i/>
          <w:iCs/>
          <w:lang w:val="en-US"/>
        </w:rPr>
        <w:t xml:space="preserve">Int. J. Health </w:t>
      </w:r>
      <w:proofErr w:type="spellStart"/>
      <w:r w:rsidRPr="00C60610">
        <w:rPr>
          <w:rFonts w:ascii="Calibri" w:hAnsi="Calibri" w:cs="Calibri"/>
          <w:i/>
          <w:iCs/>
          <w:lang w:val="en-US"/>
        </w:rPr>
        <w:t>Geogr</w:t>
      </w:r>
      <w:proofErr w:type="spellEnd"/>
      <w:r w:rsidRPr="00C60610">
        <w:rPr>
          <w:rFonts w:ascii="Calibri" w:hAnsi="Calibri" w:cs="Calibri"/>
          <w:i/>
          <w:iCs/>
          <w:lang w:val="en-US"/>
        </w:rPr>
        <w:t>.</w:t>
      </w:r>
      <w:r w:rsidRPr="00C60610">
        <w:rPr>
          <w:rFonts w:ascii="Calibri" w:hAnsi="Calibri" w:cs="Calibri"/>
          <w:lang w:val="en-US"/>
        </w:rPr>
        <w:t xml:space="preserve"> </w:t>
      </w:r>
      <w:r w:rsidRPr="00C60610">
        <w:rPr>
          <w:rFonts w:ascii="Calibri" w:hAnsi="Calibri" w:cs="Calibri"/>
          <w:b/>
          <w:bCs/>
          <w:lang w:val="en-US"/>
        </w:rPr>
        <w:t>16</w:t>
      </w:r>
      <w:r w:rsidRPr="00C60610">
        <w:rPr>
          <w:rFonts w:ascii="Calibri" w:hAnsi="Calibri" w:cs="Calibri"/>
          <w:lang w:val="en-US"/>
        </w:rPr>
        <w:t>, 32 (2017).</w:t>
      </w:r>
    </w:p>
    <w:p w14:paraId="3A921255" w14:textId="77777777" w:rsidR="00C60610" w:rsidRPr="00C60610" w:rsidRDefault="00C60610" w:rsidP="00C60610">
      <w:pPr>
        <w:pStyle w:val="Bibliography"/>
        <w:rPr>
          <w:rFonts w:ascii="Calibri" w:hAnsi="Calibri" w:cs="Calibri"/>
          <w:lang w:val="en-US"/>
        </w:rPr>
      </w:pPr>
      <w:r w:rsidRPr="00C60610">
        <w:rPr>
          <w:rFonts w:ascii="Calibri" w:hAnsi="Calibri" w:cs="Calibri"/>
          <w:lang w:val="en-US"/>
        </w:rPr>
        <w:t>12.</w:t>
      </w:r>
      <w:r w:rsidRPr="00C60610">
        <w:rPr>
          <w:rFonts w:ascii="Calibri" w:hAnsi="Calibri" w:cs="Calibri"/>
          <w:lang w:val="en-US"/>
        </w:rPr>
        <w:tab/>
        <w:t>Influence of socioeconomic factors and distance to radiotherapy on breast‐conserving surgery rates for early breast cancer in regional Australia; implications of change - Collins - 2018 - Asia-Pacific Journal of Clinical Oncology - Wiley Online Library. https://onlinelibrary.wiley.com/doi/abs/10.1111/ajco.12828.</w:t>
      </w:r>
    </w:p>
    <w:p w14:paraId="10D619FA" w14:textId="77777777" w:rsidR="00C60610" w:rsidRPr="00C60610" w:rsidRDefault="00C60610" w:rsidP="00C60610">
      <w:pPr>
        <w:pStyle w:val="Bibliography"/>
        <w:rPr>
          <w:rFonts w:ascii="Calibri" w:hAnsi="Calibri" w:cs="Calibri"/>
        </w:rPr>
      </w:pPr>
      <w:r w:rsidRPr="00C60610">
        <w:rPr>
          <w:rFonts w:ascii="Calibri" w:hAnsi="Calibri" w:cs="Calibri"/>
          <w:lang w:val="en-US"/>
        </w:rPr>
        <w:t>13.</w:t>
      </w:r>
      <w:r w:rsidRPr="00C60610">
        <w:rPr>
          <w:rFonts w:ascii="Calibri" w:hAnsi="Calibri" w:cs="Calibri"/>
          <w:lang w:val="en-US"/>
        </w:rPr>
        <w:tab/>
        <w:t xml:space="preserve">Delamater, P. L., Messina, J. P., Shortridge, A. M. &amp; Grady, S. C. Measuring geographic access to health care: raster and network-based methods. </w:t>
      </w:r>
      <w:proofErr w:type="spellStart"/>
      <w:r w:rsidRPr="00C60610">
        <w:rPr>
          <w:rFonts w:ascii="Calibri" w:hAnsi="Calibri" w:cs="Calibri"/>
          <w:i/>
          <w:iCs/>
        </w:rPr>
        <w:t>Int</w:t>
      </w:r>
      <w:proofErr w:type="spellEnd"/>
      <w:r w:rsidRPr="00C60610">
        <w:rPr>
          <w:rFonts w:ascii="Calibri" w:hAnsi="Calibri" w:cs="Calibri"/>
          <w:i/>
          <w:iCs/>
        </w:rPr>
        <w:t xml:space="preserve">. J. </w:t>
      </w:r>
      <w:proofErr w:type="spellStart"/>
      <w:r w:rsidRPr="00C60610">
        <w:rPr>
          <w:rFonts w:ascii="Calibri" w:hAnsi="Calibri" w:cs="Calibri"/>
          <w:i/>
          <w:iCs/>
        </w:rPr>
        <w:t>Health</w:t>
      </w:r>
      <w:proofErr w:type="spellEnd"/>
      <w:r w:rsidRPr="00C60610">
        <w:rPr>
          <w:rFonts w:ascii="Calibri" w:hAnsi="Calibri" w:cs="Calibri"/>
          <w:i/>
          <w:iCs/>
        </w:rPr>
        <w:t xml:space="preserve"> </w:t>
      </w:r>
      <w:proofErr w:type="spellStart"/>
      <w:r w:rsidRPr="00C60610">
        <w:rPr>
          <w:rFonts w:ascii="Calibri" w:hAnsi="Calibri" w:cs="Calibri"/>
          <w:i/>
          <w:iCs/>
        </w:rPr>
        <w:t>Geogr</w:t>
      </w:r>
      <w:proofErr w:type="spellEnd"/>
      <w:r w:rsidRPr="00C60610">
        <w:rPr>
          <w:rFonts w:ascii="Calibri" w:hAnsi="Calibri" w:cs="Calibri"/>
          <w:i/>
          <w:iCs/>
        </w:rPr>
        <w:t>.</w:t>
      </w:r>
      <w:r w:rsidRPr="00C60610">
        <w:rPr>
          <w:rFonts w:ascii="Calibri" w:hAnsi="Calibri" w:cs="Calibri"/>
        </w:rPr>
        <w:t xml:space="preserve"> </w:t>
      </w:r>
      <w:r w:rsidRPr="00C60610">
        <w:rPr>
          <w:rFonts w:ascii="Calibri" w:hAnsi="Calibri" w:cs="Calibri"/>
          <w:b/>
          <w:bCs/>
        </w:rPr>
        <w:t>11</w:t>
      </w:r>
      <w:r w:rsidRPr="00C60610">
        <w:rPr>
          <w:rFonts w:ascii="Calibri" w:hAnsi="Calibri" w:cs="Calibri"/>
        </w:rPr>
        <w:t>, 15 (2012).</w:t>
      </w:r>
    </w:p>
    <w:p w14:paraId="3D2846CF" w14:textId="62BF6CF2" w:rsidR="00215176" w:rsidRPr="001F2765" w:rsidRDefault="00215176" w:rsidP="00215176">
      <w:pPr>
        <w:rPr>
          <w:rFonts w:ascii="Aptos Narrow" w:hAnsi="Aptos Narrow"/>
          <w:lang w:val="en-US"/>
        </w:rPr>
      </w:pPr>
      <w:r w:rsidRPr="00D162A1">
        <w:rPr>
          <w:rFonts w:ascii="Aptos Narrow" w:hAnsi="Aptos Narrow"/>
        </w:rPr>
        <w:fldChar w:fldCharType="end"/>
      </w:r>
    </w:p>
    <w:sectPr w:rsidR="00215176" w:rsidRPr="001F276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D76A6"/>
    <w:multiLevelType w:val="hybridMultilevel"/>
    <w:tmpl w:val="02247D5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25DD3CDE"/>
    <w:multiLevelType w:val="hybridMultilevel"/>
    <w:tmpl w:val="E7984B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38804820"/>
    <w:multiLevelType w:val="hybridMultilevel"/>
    <w:tmpl w:val="136A118A"/>
    <w:lvl w:ilvl="0" w:tplc="C3CCE2FA">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756027C1"/>
    <w:multiLevelType w:val="hybridMultilevel"/>
    <w:tmpl w:val="354AAC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946542323">
    <w:abstractNumId w:val="3"/>
  </w:num>
  <w:num w:numId="2" w16cid:durableId="1147627305">
    <w:abstractNumId w:val="1"/>
  </w:num>
  <w:num w:numId="3" w16cid:durableId="1205018139">
    <w:abstractNumId w:val="0"/>
  </w:num>
  <w:num w:numId="4" w16cid:durableId="15260938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1C7"/>
    <w:rsid w:val="000820B4"/>
    <w:rsid w:val="000E64A9"/>
    <w:rsid w:val="000F729C"/>
    <w:rsid w:val="001906E3"/>
    <w:rsid w:val="001F2765"/>
    <w:rsid w:val="00215176"/>
    <w:rsid w:val="002173A6"/>
    <w:rsid w:val="002371C6"/>
    <w:rsid w:val="00250DDF"/>
    <w:rsid w:val="003E6FB2"/>
    <w:rsid w:val="004957CE"/>
    <w:rsid w:val="0051530B"/>
    <w:rsid w:val="00650356"/>
    <w:rsid w:val="00683480"/>
    <w:rsid w:val="00707987"/>
    <w:rsid w:val="0076449D"/>
    <w:rsid w:val="007C7DC4"/>
    <w:rsid w:val="007D69B8"/>
    <w:rsid w:val="007F7A5E"/>
    <w:rsid w:val="00827FEA"/>
    <w:rsid w:val="00854820"/>
    <w:rsid w:val="008F38F1"/>
    <w:rsid w:val="00940851"/>
    <w:rsid w:val="009921C7"/>
    <w:rsid w:val="009A3604"/>
    <w:rsid w:val="009D2D18"/>
    <w:rsid w:val="009F0E86"/>
    <w:rsid w:val="00B71576"/>
    <w:rsid w:val="00B87824"/>
    <w:rsid w:val="00BD6F92"/>
    <w:rsid w:val="00C60610"/>
    <w:rsid w:val="00C7166F"/>
    <w:rsid w:val="00CF4225"/>
    <w:rsid w:val="00D01E23"/>
    <w:rsid w:val="00D162A1"/>
    <w:rsid w:val="00F913F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17CC0"/>
  <w15:chartTrackingRefBased/>
  <w15:docId w15:val="{E0AEA209-6130-42BF-8309-2E8F6E57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21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21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21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21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21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21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21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21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21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21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21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21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21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21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21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21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21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21C7"/>
    <w:rPr>
      <w:rFonts w:eastAsiaTheme="majorEastAsia" w:cstheme="majorBidi"/>
      <w:color w:val="272727" w:themeColor="text1" w:themeTint="D8"/>
    </w:rPr>
  </w:style>
  <w:style w:type="paragraph" w:styleId="Title">
    <w:name w:val="Title"/>
    <w:basedOn w:val="Normal"/>
    <w:next w:val="Normal"/>
    <w:link w:val="TitleChar"/>
    <w:uiPriority w:val="10"/>
    <w:qFormat/>
    <w:rsid w:val="009921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21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21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21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21C7"/>
    <w:pPr>
      <w:spacing w:before="160"/>
      <w:jc w:val="center"/>
    </w:pPr>
    <w:rPr>
      <w:i/>
      <w:iCs/>
      <w:color w:val="404040" w:themeColor="text1" w:themeTint="BF"/>
    </w:rPr>
  </w:style>
  <w:style w:type="character" w:customStyle="1" w:styleId="QuoteChar">
    <w:name w:val="Quote Char"/>
    <w:basedOn w:val="DefaultParagraphFont"/>
    <w:link w:val="Quote"/>
    <w:uiPriority w:val="29"/>
    <w:rsid w:val="009921C7"/>
    <w:rPr>
      <w:i/>
      <w:iCs/>
      <w:color w:val="404040" w:themeColor="text1" w:themeTint="BF"/>
    </w:rPr>
  </w:style>
  <w:style w:type="paragraph" w:styleId="ListParagraph">
    <w:name w:val="List Paragraph"/>
    <w:basedOn w:val="Normal"/>
    <w:uiPriority w:val="34"/>
    <w:qFormat/>
    <w:rsid w:val="009921C7"/>
    <w:pPr>
      <w:ind w:left="720"/>
      <w:contextualSpacing/>
    </w:pPr>
  </w:style>
  <w:style w:type="character" w:styleId="IntenseEmphasis">
    <w:name w:val="Intense Emphasis"/>
    <w:basedOn w:val="DefaultParagraphFont"/>
    <w:uiPriority w:val="21"/>
    <w:qFormat/>
    <w:rsid w:val="009921C7"/>
    <w:rPr>
      <w:i/>
      <w:iCs/>
      <w:color w:val="2F5496" w:themeColor="accent1" w:themeShade="BF"/>
    </w:rPr>
  </w:style>
  <w:style w:type="paragraph" w:styleId="IntenseQuote">
    <w:name w:val="Intense Quote"/>
    <w:basedOn w:val="Normal"/>
    <w:next w:val="Normal"/>
    <w:link w:val="IntenseQuoteChar"/>
    <w:uiPriority w:val="30"/>
    <w:qFormat/>
    <w:rsid w:val="009921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21C7"/>
    <w:rPr>
      <w:i/>
      <w:iCs/>
      <w:color w:val="2F5496" w:themeColor="accent1" w:themeShade="BF"/>
    </w:rPr>
  </w:style>
  <w:style w:type="character" w:styleId="IntenseReference">
    <w:name w:val="Intense Reference"/>
    <w:basedOn w:val="DefaultParagraphFont"/>
    <w:uiPriority w:val="32"/>
    <w:qFormat/>
    <w:rsid w:val="009921C7"/>
    <w:rPr>
      <w:b/>
      <w:bCs/>
      <w:smallCaps/>
      <w:color w:val="2F5496" w:themeColor="accent1" w:themeShade="BF"/>
      <w:spacing w:val="5"/>
    </w:rPr>
  </w:style>
  <w:style w:type="paragraph" w:styleId="Bibliography">
    <w:name w:val="Bibliography"/>
    <w:basedOn w:val="Normal"/>
    <w:next w:val="Normal"/>
    <w:uiPriority w:val="37"/>
    <w:unhideWhenUsed/>
    <w:rsid w:val="00215176"/>
    <w:pPr>
      <w:tabs>
        <w:tab w:val="left" w:pos="264"/>
      </w:tabs>
      <w:spacing w:after="0" w:line="480" w:lineRule="auto"/>
      <w:ind w:left="264" w:hanging="264"/>
    </w:pPr>
  </w:style>
  <w:style w:type="table" w:styleId="TableGrid">
    <w:name w:val="Table Grid"/>
    <w:basedOn w:val="TableNormal"/>
    <w:uiPriority w:val="39"/>
    <w:rsid w:val="009F0E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C716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6</Pages>
  <Words>6306</Words>
  <Characters>34689</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Sarango</dc:creator>
  <cp:keywords/>
  <dc:description/>
  <cp:lastModifiedBy>Pablo Sarango</cp:lastModifiedBy>
  <cp:revision>27</cp:revision>
  <dcterms:created xsi:type="dcterms:W3CDTF">2025-10-12T21:57:00Z</dcterms:created>
  <dcterms:modified xsi:type="dcterms:W3CDTF">2025-10-13T00:32:00Z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id="5xg3hmm1"/&gt;&lt;style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