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6E1AE" w14:textId="77777777" w:rsidR="00796ED6" w:rsidRPr="00635639" w:rsidRDefault="00796ED6" w:rsidP="00635639">
      <w:pPr>
        <w:spacing w:line="360" w:lineRule="auto"/>
        <w:rPr>
          <w:rFonts w:ascii="Arial" w:hAnsi="Arial" w:cs="Arial"/>
        </w:rPr>
      </w:pPr>
      <w:bookmarkStart w:id="0" w:name="índice-general"/>
      <w:bookmarkStart w:id="1" w:name="informe-académico-del-proyecto-final"/>
    </w:p>
    <w:p w14:paraId="566A18F9" w14:textId="77777777" w:rsidR="00F92085" w:rsidRPr="00F92085" w:rsidRDefault="00F92085" w:rsidP="00F92085">
      <w:pPr>
        <w:widowControl w:val="0"/>
        <w:autoSpaceDE w:val="0"/>
        <w:autoSpaceDN w:val="0"/>
        <w:spacing w:after="0"/>
        <w:ind w:left="2053"/>
        <w:rPr>
          <w:rFonts w:ascii="Arial" w:eastAsia="Arial" w:hAnsi="Arial" w:cs="Arial"/>
          <w:sz w:val="22"/>
          <w:szCs w:val="22"/>
          <w:lang w:eastAsia="en-US"/>
        </w:rPr>
      </w:pPr>
      <w:bookmarkStart w:id="2" w:name="objetivos"/>
      <w:bookmarkEnd w:id="0"/>
      <w:r w:rsidRPr="00F92085">
        <w:rPr>
          <w:rFonts w:ascii="Arial" w:eastAsia="Arial" w:hAnsi="Arial" w:cs="Arial"/>
          <w:noProof/>
          <w:sz w:val="22"/>
          <w:szCs w:val="22"/>
          <w:lang w:eastAsia="en-US"/>
        </w:rPr>
        <w:drawing>
          <wp:inline distT="0" distB="0" distL="0" distR="0" wp14:anchorId="20614D5E" wp14:editId="4FE1E10B">
            <wp:extent cx="2781300" cy="800100"/>
            <wp:effectExtent l="0" t="0" r="0" b="0"/>
            <wp:docPr id="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CE764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0455C67E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69AC771C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186254E0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0F5ED7D7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448B0B01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2531EC2C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073E206A" w14:textId="77777777" w:rsidR="00F92085" w:rsidRPr="00F92085" w:rsidRDefault="00F92085" w:rsidP="00F92085">
      <w:pPr>
        <w:widowControl w:val="0"/>
        <w:autoSpaceDE w:val="0"/>
        <w:autoSpaceDN w:val="0"/>
        <w:spacing w:before="8"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756E4078" w14:textId="77777777" w:rsidR="00F92085" w:rsidRPr="00F92085" w:rsidRDefault="00F92085" w:rsidP="00F92085">
      <w:pPr>
        <w:widowControl w:val="0"/>
        <w:autoSpaceDE w:val="0"/>
        <w:autoSpaceDN w:val="0"/>
        <w:spacing w:after="0" w:line="480" w:lineRule="auto"/>
        <w:jc w:val="center"/>
        <w:rPr>
          <w:rFonts w:ascii="Arial" w:eastAsia="Arial" w:hAnsi="Arial" w:cs="Arial"/>
          <w:b/>
          <w:bCs/>
          <w:sz w:val="22"/>
          <w:szCs w:val="22"/>
          <w:lang w:eastAsia="en-US"/>
        </w:rPr>
      </w:pPr>
      <w:r w:rsidRPr="00F92085">
        <w:rPr>
          <w:rFonts w:ascii="Arial" w:eastAsia="Arial" w:hAnsi="Arial" w:cs="Arial"/>
          <w:b/>
          <w:bCs/>
          <w:sz w:val="22"/>
          <w:szCs w:val="22"/>
          <w:lang w:eastAsia="en-US"/>
        </w:rPr>
        <w:t>Facultad de Ingeniería</w:t>
      </w:r>
    </w:p>
    <w:p w14:paraId="21AC441E" w14:textId="77777777" w:rsidR="00F92085" w:rsidRPr="00F92085" w:rsidRDefault="00F92085" w:rsidP="00F92085">
      <w:pPr>
        <w:widowControl w:val="0"/>
        <w:autoSpaceDE w:val="0"/>
        <w:autoSpaceDN w:val="0"/>
        <w:spacing w:after="0" w:line="480" w:lineRule="auto"/>
        <w:jc w:val="center"/>
        <w:rPr>
          <w:rFonts w:ascii="Arial" w:eastAsia="Arial" w:hAnsi="Arial" w:cs="Arial"/>
          <w:b/>
          <w:bCs/>
          <w:sz w:val="22"/>
          <w:szCs w:val="22"/>
          <w:lang w:eastAsia="en-US"/>
        </w:rPr>
      </w:pPr>
      <w:r w:rsidRPr="00F92085">
        <w:rPr>
          <w:rFonts w:ascii="Arial" w:eastAsia="Arial" w:hAnsi="Arial" w:cs="Arial"/>
          <w:b/>
          <w:bCs/>
          <w:sz w:val="22"/>
          <w:szCs w:val="22"/>
          <w:lang w:eastAsia="en-US"/>
        </w:rPr>
        <w:t>Ingeniería de Sistemas e Informática</w:t>
      </w:r>
    </w:p>
    <w:p w14:paraId="68BDE493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57F6C5A6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310960E0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4FD6369C" w14:textId="77777777" w:rsidR="00F92085" w:rsidRPr="00F92085" w:rsidRDefault="00F92085" w:rsidP="00F92085">
      <w:pPr>
        <w:widowControl w:val="0"/>
        <w:autoSpaceDE w:val="0"/>
        <w:autoSpaceDN w:val="0"/>
        <w:spacing w:before="8"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67F9D237" w14:textId="77777777" w:rsidR="00F92085" w:rsidRPr="00EF0622" w:rsidRDefault="00F92085" w:rsidP="00F92085">
      <w:pPr>
        <w:widowControl w:val="0"/>
        <w:autoSpaceDE w:val="0"/>
        <w:autoSpaceDN w:val="0"/>
        <w:spacing w:before="1" w:after="0"/>
        <w:ind w:left="492" w:right="489"/>
        <w:jc w:val="center"/>
        <w:rPr>
          <w:rFonts w:ascii="Arial" w:eastAsia="Arial" w:hAnsi="Arial" w:cs="Arial"/>
          <w:b/>
          <w:bCs/>
          <w:sz w:val="22"/>
          <w:szCs w:val="22"/>
          <w:lang w:eastAsia="en-US"/>
        </w:rPr>
      </w:pPr>
      <w:r w:rsidRPr="00EF0622">
        <w:rPr>
          <w:rFonts w:ascii="Arial" w:eastAsia="Arial" w:hAnsi="Arial" w:cs="Arial"/>
          <w:b/>
          <w:bCs/>
          <w:sz w:val="22"/>
          <w:szCs w:val="22"/>
          <w:lang w:eastAsia="en-US"/>
        </w:rPr>
        <w:t>Trabajo Final:</w:t>
      </w:r>
    </w:p>
    <w:p w14:paraId="7602761F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12237D34" w14:textId="4DA3E645" w:rsidR="00F92085" w:rsidRPr="00F92085" w:rsidRDefault="00F92085" w:rsidP="00F92085">
      <w:pPr>
        <w:widowControl w:val="0"/>
        <w:autoSpaceDE w:val="0"/>
        <w:autoSpaceDN w:val="0"/>
        <w:spacing w:after="0"/>
        <w:jc w:val="center"/>
        <w:rPr>
          <w:rFonts w:ascii="Arial" w:eastAsia="Arial" w:hAnsi="Arial" w:cs="Arial"/>
          <w:sz w:val="22"/>
          <w:szCs w:val="22"/>
          <w:lang w:eastAsia="en-US"/>
        </w:rPr>
      </w:pPr>
      <w:r w:rsidRPr="00F92085">
        <w:rPr>
          <w:rFonts w:ascii="Arial" w:eastAsia="Arial" w:hAnsi="Arial" w:cs="Arial"/>
          <w:sz w:val="22"/>
          <w:szCs w:val="22"/>
          <w:lang w:eastAsia="en-US"/>
        </w:rPr>
        <w:t>Sistema web para el control financiero y análisis de riesgo en casas de apuestas</w:t>
      </w:r>
    </w:p>
    <w:p w14:paraId="7686FB85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336C1008" w14:textId="211FC477" w:rsidR="00F92085" w:rsidRPr="00F92085" w:rsidRDefault="00F92085" w:rsidP="00F92085">
      <w:pPr>
        <w:widowControl w:val="0"/>
        <w:autoSpaceDE w:val="0"/>
        <w:autoSpaceDN w:val="0"/>
        <w:spacing w:before="227" w:after="0"/>
        <w:ind w:left="492" w:right="491"/>
        <w:jc w:val="center"/>
        <w:rPr>
          <w:rFonts w:ascii="Arial" w:eastAsia="Arial" w:hAnsi="Arial" w:cs="Arial"/>
          <w:sz w:val="22"/>
          <w:szCs w:val="22"/>
          <w:lang w:eastAsia="en-US"/>
        </w:rPr>
      </w:pPr>
      <w:r w:rsidRPr="00EF0622">
        <w:rPr>
          <w:rFonts w:ascii="Arial" w:eastAsia="Arial" w:hAnsi="Arial" w:cs="Arial"/>
          <w:b/>
          <w:bCs/>
          <w:sz w:val="22"/>
          <w:szCs w:val="22"/>
          <w:lang w:eastAsia="en-US"/>
        </w:rPr>
        <w:t>Nombre de los Estudiantes:</w:t>
      </w:r>
      <w:r w:rsidRPr="00F92085">
        <w:rPr>
          <w:rFonts w:ascii="Arial" w:eastAsia="Arial" w:hAnsi="Arial" w:cs="Arial"/>
          <w:sz w:val="22"/>
          <w:szCs w:val="22"/>
          <w:lang w:eastAsia="en-US"/>
        </w:rPr>
        <w:t xml:space="preserve"> </w:t>
      </w:r>
      <w:r>
        <w:rPr>
          <w:rFonts w:ascii="Arial" w:eastAsia="Arial" w:hAnsi="Arial" w:cs="Arial"/>
          <w:sz w:val="22"/>
          <w:szCs w:val="22"/>
          <w:lang w:eastAsia="en-US"/>
        </w:rPr>
        <w:t>Girao Breña Pablo Humberto</w:t>
      </w:r>
    </w:p>
    <w:p w14:paraId="53AFE057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1D3E56DA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7B96BC96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60CDCD10" w14:textId="3BFDCBD7" w:rsidR="00F92085" w:rsidRPr="00F92085" w:rsidRDefault="00F92085" w:rsidP="00F92085">
      <w:pPr>
        <w:widowControl w:val="0"/>
        <w:autoSpaceDE w:val="0"/>
        <w:autoSpaceDN w:val="0"/>
        <w:spacing w:before="204" w:after="0"/>
        <w:ind w:left="492" w:right="492"/>
        <w:jc w:val="center"/>
        <w:rPr>
          <w:rFonts w:ascii="Arial" w:eastAsia="Arial" w:hAnsi="Arial" w:cs="Arial"/>
          <w:sz w:val="22"/>
          <w:szCs w:val="22"/>
          <w:lang w:eastAsia="en-US"/>
        </w:rPr>
      </w:pPr>
      <w:r w:rsidRPr="00EF0622">
        <w:rPr>
          <w:rFonts w:ascii="Arial" w:eastAsia="Arial" w:hAnsi="Arial" w:cs="Arial"/>
          <w:b/>
          <w:bCs/>
          <w:sz w:val="22"/>
          <w:szCs w:val="22"/>
          <w:lang w:eastAsia="en-US"/>
        </w:rPr>
        <w:t>Asignatura</w:t>
      </w:r>
      <w:r w:rsidRPr="00F92085">
        <w:rPr>
          <w:rFonts w:ascii="Arial" w:eastAsia="Arial" w:hAnsi="Arial" w:cs="Arial"/>
          <w:sz w:val="22"/>
          <w:szCs w:val="22"/>
          <w:lang w:eastAsia="en-US"/>
        </w:rPr>
        <w:t>:</w:t>
      </w:r>
      <w:r w:rsidRPr="00F92085">
        <w:rPr>
          <w:rFonts w:ascii="Arial" w:eastAsia="Arial" w:hAnsi="Arial" w:cs="Arial"/>
          <w:sz w:val="22"/>
          <w:szCs w:val="22"/>
          <w:lang w:eastAsia="en-US"/>
        </w:rPr>
        <w:t xml:space="preserve"> </w:t>
      </w:r>
      <w:r>
        <w:rPr>
          <w:rFonts w:ascii="Arial" w:eastAsia="Arial" w:hAnsi="Arial" w:cs="Arial"/>
          <w:sz w:val="22"/>
          <w:szCs w:val="22"/>
          <w:lang w:eastAsia="en-US"/>
        </w:rPr>
        <w:t>Lenguajes de Programación</w:t>
      </w:r>
    </w:p>
    <w:p w14:paraId="5240C158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19462157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3279CE50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6801216D" w14:textId="77777777" w:rsidR="00EF0622" w:rsidRPr="00F92085" w:rsidRDefault="00EF0622" w:rsidP="00EF0622">
      <w:pPr>
        <w:widowControl w:val="0"/>
        <w:autoSpaceDE w:val="0"/>
        <w:autoSpaceDN w:val="0"/>
        <w:spacing w:before="210" w:after="0"/>
        <w:ind w:left="492" w:right="492"/>
        <w:jc w:val="center"/>
        <w:rPr>
          <w:rFonts w:ascii="Arial" w:eastAsia="Arial" w:hAnsi="Arial" w:cs="Arial"/>
          <w:sz w:val="22"/>
          <w:szCs w:val="22"/>
          <w:lang w:eastAsia="en-US"/>
        </w:rPr>
      </w:pPr>
      <w:r w:rsidRPr="00CA4CE3">
        <w:rPr>
          <w:rFonts w:ascii="Arial" w:eastAsia="Arial" w:hAnsi="Arial" w:cs="Arial"/>
          <w:b/>
          <w:bCs/>
          <w:sz w:val="22"/>
          <w:szCs w:val="22"/>
          <w:lang w:eastAsia="en-US"/>
        </w:rPr>
        <w:t>Docente</w:t>
      </w:r>
      <w:r w:rsidRPr="00F92085">
        <w:rPr>
          <w:rFonts w:ascii="Arial" w:eastAsia="Arial" w:hAnsi="Arial" w:cs="Arial"/>
          <w:sz w:val="22"/>
          <w:szCs w:val="22"/>
          <w:lang w:eastAsia="en-US"/>
        </w:rPr>
        <w:t xml:space="preserve">: </w:t>
      </w:r>
      <w:r w:rsidRPr="00CA4CE3">
        <w:rPr>
          <w:rFonts w:ascii="Arial" w:eastAsia="Arial" w:hAnsi="Arial" w:cs="Arial"/>
          <w:sz w:val="22"/>
          <w:szCs w:val="22"/>
          <w:lang w:eastAsia="en-US"/>
        </w:rPr>
        <w:t>CARLOS ALFONSO OLIVARES CASAPIA</w:t>
      </w:r>
    </w:p>
    <w:p w14:paraId="62B7D6D7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41B9DCC2" w14:textId="77777777" w:rsidR="00F92085" w:rsidRPr="00F92085" w:rsidRDefault="00F92085" w:rsidP="00F92085">
      <w:pPr>
        <w:widowControl w:val="0"/>
        <w:autoSpaceDE w:val="0"/>
        <w:autoSpaceDN w:val="0"/>
        <w:spacing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1256D279" w14:textId="77777777" w:rsidR="00F92085" w:rsidRPr="00F92085" w:rsidRDefault="00F92085" w:rsidP="00F92085">
      <w:pPr>
        <w:widowControl w:val="0"/>
        <w:autoSpaceDE w:val="0"/>
        <w:autoSpaceDN w:val="0"/>
        <w:spacing w:before="6" w:after="0"/>
        <w:rPr>
          <w:rFonts w:ascii="Arial" w:eastAsia="Arial" w:hAnsi="Arial" w:cs="Arial"/>
          <w:sz w:val="22"/>
          <w:szCs w:val="22"/>
          <w:lang w:eastAsia="en-US"/>
        </w:rPr>
      </w:pPr>
    </w:p>
    <w:p w14:paraId="27D53730" w14:textId="17B876EB" w:rsidR="00F92085" w:rsidRDefault="00F92085" w:rsidP="00F92085">
      <w:pPr>
        <w:widowControl w:val="0"/>
        <w:autoSpaceDE w:val="0"/>
        <w:autoSpaceDN w:val="0"/>
        <w:spacing w:after="0" w:line="274" w:lineRule="exact"/>
        <w:ind w:left="3626" w:right="3621"/>
        <w:jc w:val="center"/>
        <w:rPr>
          <w:rFonts w:ascii="Arial" w:eastAsia="Arial" w:hAnsi="Arial" w:cs="Arial"/>
          <w:sz w:val="22"/>
          <w:szCs w:val="22"/>
          <w:lang w:eastAsia="en-US"/>
        </w:rPr>
      </w:pPr>
      <w:r w:rsidRPr="00F92085">
        <w:rPr>
          <w:rFonts w:ascii="Arial" w:eastAsia="Arial" w:hAnsi="Arial" w:cs="Arial"/>
          <w:sz w:val="22"/>
          <w:szCs w:val="22"/>
          <w:lang w:eastAsia="en-US"/>
        </w:rPr>
        <w:t>Lima – Perú 202</w:t>
      </w:r>
      <w:r>
        <w:rPr>
          <w:rFonts w:ascii="Arial" w:eastAsia="Arial" w:hAnsi="Arial" w:cs="Arial"/>
          <w:sz w:val="22"/>
          <w:szCs w:val="22"/>
          <w:lang w:eastAsia="en-US"/>
        </w:rPr>
        <w:t>6</w:t>
      </w:r>
    </w:p>
    <w:p w14:paraId="4A6F998A" w14:textId="77777777" w:rsidR="00F92085" w:rsidRDefault="00F92085">
      <w:pPr>
        <w:rPr>
          <w:rFonts w:ascii="Arial" w:eastAsia="Arial" w:hAnsi="Arial" w:cs="Arial"/>
          <w:sz w:val="22"/>
          <w:szCs w:val="22"/>
          <w:lang w:eastAsia="en-US"/>
        </w:rPr>
      </w:pPr>
      <w:r>
        <w:rPr>
          <w:rFonts w:ascii="Arial" w:eastAsia="Arial" w:hAnsi="Arial" w:cs="Arial"/>
          <w:sz w:val="22"/>
          <w:szCs w:val="22"/>
          <w:lang w:eastAsia="en-US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s-ES"/>
        </w:rPr>
        <w:id w:val="346685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391436" w14:textId="2140905A" w:rsidR="004D4F47" w:rsidRPr="004D4F47" w:rsidRDefault="004D4F47">
          <w:pPr>
            <w:pStyle w:val="TtuloTDC"/>
            <w:rPr>
              <w:color w:val="000000" w:themeColor="text1"/>
            </w:rPr>
          </w:pPr>
          <w:r w:rsidRPr="004D4F47">
            <w:rPr>
              <w:color w:val="000000" w:themeColor="text1"/>
              <w:lang w:val="es-ES"/>
            </w:rPr>
            <w:t>Índice</w:t>
          </w:r>
        </w:p>
        <w:p w14:paraId="7C86CDB0" w14:textId="1C663D47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08367" w:history="1">
            <w:r w:rsidRPr="00816955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DCD99" w14:textId="34E73BF0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68" w:history="1">
            <w:r w:rsidRPr="00816955">
              <w:rPr>
                <w:rStyle w:val="Hipervnculo"/>
                <w:rFonts w:ascii="Arial" w:hAnsi="Arial" w:cs="Arial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55FBF" w14:textId="7C34A905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69" w:history="1">
            <w:r w:rsidRPr="00816955">
              <w:rPr>
                <w:rStyle w:val="Hipervnculo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6CADA" w14:textId="740C40C5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0" w:history="1">
            <w:r w:rsidRPr="00816955">
              <w:rPr>
                <w:rStyle w:val="Hipervnculo"/>
                <w:rFonts w:ascii="Arial" w:hAnsi="Arial" w:cs="Arial"/>
                <w:noProof/>
              </w:rPr>
              <w:t>Proceso para automatizar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0C3F9" w14:textId="2EA9B163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1" w:history="1">
            <w:r w:rsidRPr="00816955">
              <w:rPr>
                <w:rStyle w:val="Hipervnculo"/>
                <w:rFonts w:ascii="Arial" w:hAnsi="Arial" w:cs="Arial"/>
                <w:noProof/>
              </w:rPr>
              <w:t>Flujo del proceso 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AD277" w14:textId="06B083F5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2" w:history="1">
            <w:r w:rsidRPr="00816955">
              <w:rPr>
                <w:rStyle w:val="Hipervnculo"/>
                <w:rFonts w:ascii="Arial" w:hAnsi="Arial" w:cs="Arial"/>
                <w:noProof/>
              </w:rPr>
              <w:t>Entradas, procesamiento y salidas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9031D" w14:textId="1EAF8DC8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3" w:history="1">
            <w:r w:rsidRPr="00816955">
              <w:rPr>
                <w:rStyle w:val="Hipervnculo"/>
                <w:rFonts w:ascii="Arial" w:hAnsi="Arial" w:cs="Arial"/>
                <w:noProof/>
              </w:rPr>
              <w:t>Diagrama de actividades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927E3" w14:textId="38A99140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4" w:history="1">
            <w:r w:rsidRPr="00816955">
              <w:rPr>
                <w:rStyle w:val="Hipervnculo"/>
                <w:rFonts w:ascii="Arial" w:hAnsi="Arial" w:cs="Arial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D35B" w14:textId="24D976C2" w:rsidR="004D4F47" w:rsidRPr="004D4F47" w:rsidRDefault="004D4F47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5" w:history="1">
            <w:r w:rsidRPr="00816955">
              <w:rPr>
                <w:rStyle w:val="Hipervnculo"/>
                <w:rFonts w:ascii="Arial" w:hAnsi="Arial" w:cs="Arial"/>
                <w:noProof/>
              </w:rPr>
              <w:t>CAPÍTULO I: CONTEXTO Y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82421" w14:textId="371D7843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6" w:history="1">
            <w:r w:rsidRPr="00816955">
              <w:rPr>
                <w:rStyle w:val="Hipervnculo"/>
                <w:rFonts w:ascii="Arial" w:hAnsi="Arial" w:cs="Arial"/>
                <w:noProof/>
              </w:rPr>
              <w:t>1.1 Informe situacional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B6D7" w14:textId="67B5A55B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7" w:history="1">
            <w:r w:rsidRPr="00816955">
              <w:rPr>
                <w:rStyle w:val="Hipervnculo"/>
                <w:rFonts w:ascii="Arial" w:hAnsi="Arial" w:cs="Arial"/>
                <w:noProof/>
              </w:rPr>
              <w:t>1.1.1 Alcance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9406D" w14:textId="08496F4D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8" w:history="1">
            <w:r w:rsidRPr="00816955">
              <w:rPr>
                <w:rStyle w:val="Hipervnculo"/>
                <w:rFonts w:ascii="Arial" w:hAnsi="Arial" w:cs="Arial"/>
                <w:noProof/>
              </w:rPr>
              <w:t>1.1.2 Ubicación e historia de la iniciativa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8C23" w14:textId="18A8FA04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79" w:history="1">
            <w:r w:rsidRPr="00816955">
              <w:rPr>
                <w:rStyle w:val="Hipervnculo"/>
                <w:rFonts w:ascii="Arial" w:hAnsi="Arial" w:cs="Arial"/>
                <w:noProof/>
              </w:rPr>
              <w:t>1.1.3 Descripción de la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DBD5" w14:textId="0EBBBD68" w:rsidR="004D4F47" w:rsidRPr="004D4F47" w:rsidRDefault="004D4F47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0" w:history="1">
            <w:r w:rsidRPr="00816955">
              <w:rPr>
                <w:rStyle w:val="Hipervnculo"/>
                <w:rFonts w:ascii="Arial" w:hAnsi="Arial" w:cs="Arial"/>
                <w:noProof/>
              </w:rPr>
              <w:t>CAPÍTULO II: SITUACIÓN PROBLEMÁTICA Y PROPUESTA DE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B27F0" w14:textId="58E6BFD5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1" w:history="1">
            <w:r w:rsidRPr="00816955">
              <w:rPr>
                <w:rStyle w:val="Hipervnculo"/>
                <w:rFonts w:ascii="Arial" w:hAnsi="Arial" w:cs="Arial"/>
                <w:noProof/>
              </w:rPr>
              <w:t>2.1 Situación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7E672" w14:textId="4C0198C5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2" w:history="1">
            <w:r w:rsidRPr="00816955">
              <w:rPr>
                <w:rStyle w:val="Hipervnculo"/>
                <w:rFonts w:ascii="Arial" w:hAnsi="Arial" w:cs="Arial"/>
                <w:noProof/>
              </w:rPr>
              <w:t>2.1.1 Opacidad transaccional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08F77" w14:textId="065DFF18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3" w:history="1">
            <w:r w:rsidRPr="00816955">
              <w:rPr>
                <w:rStyle w:val="Hipervnculo"/>
                <w:rFonts w:ascii="Arial" w:hAnsi="Arial" w:cs="Arial"/>
                <w:noProof/>
              </w:rPr>
              <w:t>2.1.2 Congelamiento asimétrico por rollover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C78DC" w14:textId="027795E8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4" w:history="1">
            <w:r w:rsidRPr="00816955">
              <w:rPr>
                <w:rStyle w:val="Hipervnculo"/>
                <w:rFonts w:ascii="Arial" w:hAnsi="Arial" w:cs="Arial"/>
                <w:noProof/>
              </w:rPr>
              <w:t>2.1.3 Sesgo de ilusión de ganancia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56557" w14:textId="6C614BDA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5" w:history="1">
            <w:r w:rsidRPr="00816955">
              <w:rPr>
                <w:rStyle w:val="Hipervnculo"/>
                <w:rFonts w:ascii="Arial" w:hAnsi="Arial" w:cs="Arial"/>
                <w:noProof/>
              </w:rPr>
              <w:t>2.1.4 Otros riesgos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D9725" w14:textId="2425B963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6" w:history="1">
            <w:r w:rsidRPr="00816955">
              <w:rPr>
                <w:rStyle w:val="Hipervnculo"/>
                <w:rFonts w:ascii="Arial" w:hAnsi="Arial" w:cs="Arial"/>
                <w:noProof/>
              </w:rPr>
              <w:t>2.2 Proceso a solucionar mediante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C266F" w14:textId="4F42A8B8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7" w:history="1">
            <w:r w:rsidRPr="00816955">
              <w:rPr>
                <w:rStyle w:val="Hipervnculo"/>
                <w:rFonts w:ascii="Arial" w:hAnsi="Arial" w:cs="Arial"/>
                <w:noProof/>
              </w:rPr>
              <w:t>2.2.1 Flujo 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B2872" w14:textId="429DEAD9" w:rsidR="004D4F47" w:rsidRPr="004D4F47" w:rsidRDefault="004D4F47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8" w:history="1">
            <w:r w:rsidRPr="00816955">
              <w:rPr>
                <w:rStyle w:val="Hipervnculo"/>
                <w:rFonts w:ascii="Arial" w:hAnsi="Arial" w:cs="Arial"/>
                <w:noProof/>
              </w:rPr>
              <w:t>CAPÍTULO III: MODELAMIENTO ORIENTADO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7920" w14:textId="3242E1EA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89" w:history="1">
            <w:r w:rsidRPr="00816955">
              <w:rPr>
                <w:rStyle w:val="Hipervnculo"/>
                <w:rFonts w:ascii="Arial" w:hAnsi="Arial" w:cs="Arial"/>
                <w:noProof/>
              </w:rPr>
              <w:t>3.1 Descripción de componentes POO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A70E" w14:textId="4B2261D6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90" w:history="1">
            <w:r w:rsidRPr="00816955">
              <w:rPr>
                <w:rStyle w:val="Hipervnculo"/>
                <w:rFonts w:ascii="Arial" w:hAnsi="Arial" w:cs="Arial"/>
                <w:noProof/>
              </w:rPr>
              <w:t>3.1.1 Modelo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F832D" w14:textId="630BB825" w:rsidR="004D4F47" w:rsidRPr="004D4F47" w:rsidRDefault="004D4F47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91" w:history="1">
            <w:r w:rsidRPr="00816955">
              <w:rPr>
                <w:rStyle w:val="Hipervnculo"/>
                <w:rFonts w:ascii="Arial" w:hAnsi="Arial" w:cs="Arial"/>
                <w:noProof/>
              </w:rPr>
              <w:t>3.2 Modelamiento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2CF0" w14:textId="622869C0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92" w:history="1">
            <w:r w:rsidRPr="00816955">
              <w:rPr>
                <w:rStyle w:val="Hipervnculo"/>
                <w:rFonts w:ascii="Arial" w:hAnsi="Arial" w:cs="Arial"/>
                <w:noProof/>
              </w:rPr>
              <w:t>3.2.1 UML conceptual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D9FD" w14:textId="698553B3" w:rsidR="004D4F47" w:rsidRPr="004D4F47" w:rsidRDefault="004D4F47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393" w:history="1">
            <w:r w:rsidRPr="00816955">
              <w:rPr>
                <w:rStyle w:val="Hipervnculo"/>
                <w:rFonts w:ascii="Arial" w:hAnsi="Arial" w:cs="Arial"/>
                <w:noProof/>
              </w:rPr>
              <w:t>3.2.2 UML de trazabilidad de la implementación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0653" w14:textId="3AE8F177" w:rsidR="004D4F47" w:rsidRDefault="004D4F47">
          <w:r>
            <w:rPr>
              <w:b/>
              <w:bCs/>
              <w:lang w:val="es-ES"/>
            </w:rPr>
            <w:fldChar w:fldCharType="end"/>
          </w:r>
        </w:p>
      </w:sdtContent>
    </w:sdt>
    <w:p w14:paraId="2204ADBB" w14:textId="758561CA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3" w:name="_Toc235008367"/>
      <w:r w:rsidRPr="00635639">
        <w:rPr>
          <w:rFonts w:ascii="Arial" w:hAnsi="Arial" w:cs="Arial"/>
          <w:color w:val="auto"/>
        </w:rPr>
        <w:lastRenderedPageBreak/>
        <w:t>Objetivos</w:t>
      </w:r>
      <w:bookmarkEnd w:id="3"/>
    </w:p>
    <w:p w14:paraId="2889AC9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4" w:name="_Toc235008368"/>
      <w:bookmarkStart w:id="5" w:name="objetivo-general"/>
      <w:r w:rsidRPr="00635639">
        <w:rPr>
          <w:rFonts w:ascii="Arial" w:hAnsi="Arial" w:cs="Arial"/>
          <w:color w:val="auto"/>
        </w:rPr>
        <w:t>Objetivo general</w:t>
      </w:r>
      <w:bookmarkEnd w:id="4"/>
    </w:p>
    <w:p w14:paraId="44ADCAAF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Desarrollar una aplicación web multiusuario que permita registrar, auditar y analizar operaciones realizadas en casas de apuestas, diferenciando saldos propios, bonos, fondos retirables y obligaciones de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>, con el propósito de generar indicadores y alertas automáticas de riesgo.</w:t>
      </w:r>
    </w:p>
    <w:p w14:paraId="5A456228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6" w:name="_Toc235008369"/>
      <w:bookmarkStart w:id="7" w:name="objetivos-específicos"/>
      <w:bookmarkEnd w:id="5"/>
      <w:r w:rsidRPr="00635639">
        <w:rPr>
          <w:rFonts w:ascii="Arial" w:hAnsi="Arial" w:cs="Arial"/>
          <w:color w:val="auto"/>
        </w:rPr>
        <w:t>Objetivos específicos</w:t>
      </w:r>
      <w:bookmarkEnd w:id="6"/>
    </w:p>
    <w:p w14:paraId="32D3766B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Implementar un registro transaccional ordenado para depósitos, bonos, apuestas, liquidaciones,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y retiros.</w:t>
      </w:r>
    </w:p>
    <w:p w14:paraId="7572B132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Mantener billeteras independientes por usuario y casa de apuestas.</w:t>
      </w:r>
    </w:p>
    <w:p w14:paraId="4C04D28F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Aplicar reglas de negocio para actualizar saldos y calcular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700E9A7A" w14:textId="2F1D81D1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Construir indicadores de rentabilidad, exposición,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="00F832FF">
        <w:rPr>
          <w:rFonts w:ascii="Arial" w:hAnsi="Arial" w:cs="Arial"/>
        </w:rPr>
        <w:t xml:space="preserve"> (</w:t>
      </w:r>
      <w:r w:rsidR="00F832FF" w:rsidRPr="00F832FF">
        <w:rPr>
          <w:rFonts w:ascii="Arial" w:hAnsi="Arial" w:cs="Arial"/>
        </w:rPr>
        <w:t>caída máxima</w:t>
      </w:r>
      <w:r w:rsidR="00F832FF">
        <w:rPr>
          <w:rFonts w:ascii="Arial" w:hAnsi="Arial" w:cs="Arial"/>
        </w:rPr>
        <w:t>)</w:t>
      </w:r>
      <w:r w:rsidRPr="00635639">
        <w:rPr>
          <w:rFonts w:ascii="Arial" w:hAnsi="Arial" w:cs="Arial"/>
        </w:rPr>
        <w:t xml:space="preserve">, concentración y comportamiento mediante Pandas y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>.</w:t>
      </w:r>
    </w:p>
    <w:p w14:paraId="7B49350D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Emitir mensajes automáticos cuando se detecten patrones financieros o conductuales de riesgo.</w:t>
      </w:r>
    </w:p>
    <w:p w14:paraId="428521F1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Proteger las credenciales con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 xml:space="preserve"> y conservar sesiones persistentes sin almacenar contraseñas ni tokens en texto plano.</w:t>
      </w:r>
    </w:p>
    <w:p w14:paraId="0873FBE3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Garantizar integridad referencial, transaccionalidad y aislamiento multiusuario en MySQL.</w:t>
      </w:r>
    </w:p>
    <w:p w14:paraId="6492E511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Evidenciar los fundamentos de programación y POO exigidos por el sílabo del curso.</w:t>
      </w:r>
    </w:p>
    <w:p w14:paraId="726AA074" w14:textId="4B519274" w:rsidR="00796ED6" w:rsidRPr="00635639" w:rsidRDefault="00F832FF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8" w:name="_Toc235008370"/>
      <w:bookmarkStart w:id="9" w:name="proceso-a-automatizar"/>
      <w:bookmarkEnd w:id="2"/>
      <w:bookmarkEnd w:id="7"/>
      <w:r w:rsidRPr="00635639">
        <w:rPr>
          <w:rFonts w:ascii="Arial" w:hAnsi="Arial" w:cs="Arial"/>
          <w:color w:val="auto"/>
        </w:rPr>
        <w:t>Proceso para automatizar</w:t>
      </w:r>
      <w:bookmarkEnd w:id="8"/>
    </w:p>
    <w:p w14:paraId="7F9A75D4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proceso seleccionado para la automatización es el registro, conciliación y análisis financiero de las operaciones que un usuario realiza en diferentes casas de apuestas. En un escenario manual, la persona debe consultar historiales separados, distinguir entre dinero depositado y bonos promocionales, calcular el </w:t>
      </w:r>
      <w:proofErr w:type="spellStart"/>
      <w:r w:rsidRPr="00635639">
        <w:rPr>
          <w:rFonts w:ascii="Arial" w:hAnsi="Arial" w:cs="Arial"/>
        </w:rPr>
        <w:lastRenderedPageBreak/>
        <w:t>rollover</w:t>
      </w:r>
      <w:proofErr w:type="spellEnd"/>
      <w:r w:rsidRPr="00635639">
        <w:rPr>
          <w:rFonts w:ascii="Arial" w:hAnsi="Arial" w:cs="Arial"/>
        </w:rPr>
        <w:t xml:space="preserve"> pendiente, reconstruir ganancias o pérdidas y comparar resultados entre plataformas. Esta labor demanda tiempo, es susceptible a errores aritméticos y puede producir una percepción equivocada sobre la disponibilidad real del capital.</w:t>
      </w:r>
    </w:p>
    <w:p w14:paraId="63A7313C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aplicación automatiza el proceso desde la recepción de la información hasta la presentación de indicadores y alertas. Cada operación se vincula con el usuario autenticado y con la casa seleccionada, lo que garantiza que los movimientos, saldos y resultados permanezcan separados entre cuentas.</w:t>
      </w:r>
    </w:p>
    <w:p w14:paraId="2018C84E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0" w:name="_Toc235008371"/>
      <w:bookmarkStart w:id="11" w:name="flujo-del-proceso-automatizado"/>
      <w:r w:rsidRPr="00635639">
        <w:rPr>
          <w:rFonts w:ascii="Arial" w:hAnsi="Arial" w:cs="Arial"/>
          <w:color w:val="auto"/>
        </w:rPr>
        <w:t>Flujo del proceso automatizado</w:t>
      </w:r>
      <w:bookmarkEnd w:id="10"/>
    </w:p>
    <w:p w14:paraId="71C91553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Autenticación del usuario.</w:t>
      </w:r>
      <w:r w:rsidRPr="00635639">
        <w:rPr>
          <w:rFonts w:ascii="Arial" w:hAnsi="Arial" w:cs="Arial"/>
        </w:rPr>
        <w:t xml:space="preserve"> El sistema valida las credenciales mediante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 xml:space="preserve"> o recupera una sesión vigente. Si la autenticación no es válida, se impide el acceso a la información financiera.</w:t>
      </w:r>
    </w:p>
    <w:p w14:paraId="4A440BCF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Selección de la operación.</w:t>
      </w:r>
      <w:r w:rsidRPr="00635639">
        <w:rPr>
          <w:rFonts w:ascii="Arial" w:hAnsi="Arial" w:cs="Arial"/>
        </w:rPr>
        <w:t xml:space="preserve"> El usuario elige registrar una recarga, bono, apuesta, liquidación,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o retiro.</w:t>
      </w:r>
    </w:p>
    <w:p w14:paraId="2F85EB60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Ingreso de datos.</w:t>
      </w:r>
      <w:r w:rsidRPr="00635639">
        <w:rPr>
          <w:rFonts w:ascii="Arial" w:hAnsi="Arial" w:cs="Arial"/>
        </w:rPr>
        <w:t xml:space="preserve"> La interfaz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recibe la casa, el monto, la cuota, el tipo de saldo y los demás datos requeridos por la operación.</w:t>
      </w:r>
    </w:p>
    <w:p w14:paraId="3FA3A049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Normalización y validación.</w:t>
      </w:r>
      <w:r w:rsidRPr="00635639">
        <w:rPr>
          <w:rFonts w:ascii="Arial" w:hAnsi="Arial" w:cs="Arial"/>
        </w:rPr>
        <w:t xml:space="preserve"> El sistema convierte textos y valores numéricos a los tipos correspondientes, comprueba campos obligatorios, montos positivos, cuotas válidas, límites personales y disponibilidad de saldo.</w:t>
      </w:r>
    </w:p>
    <w:p w14:paraId="0348E544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Aplicación de reglas de negocio.</w:t>
      </w:r>
      <w:r w:rsidRPr="00635639">
        <w:rPr>
          <w:rFonts w:ascii="Arial" w:hAnsi="Arial" w:cs="Arial"/>
        </w:rPr>
        <w:t xml:space="preserve"> Según la operación, se actualizan el saldo depositado, saldo de bono, saldo retirable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. Una apuesta pendiente se registra como capital expuesto; una liquidación determina el retorno y libera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aplicable.</w:t>
      </w:r>
    </w:p>
    <w:p w14:paraId="1E9025E4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Persistencia transaccional.</w:t>
      </w:r>
      <w:r w:rsidRPr="00635639">
        <w:rPr>
          <w:rFonts w:ascii="Arial" w:hAnsi="Arial" w:cs="Arial"/>
        </w:rPr>
        <w:t xml:space="preserve"> Los cambios se almacenan en MySQL mediante consultas parametrizadas. Si toda la operación finaliza correctamente, se ejecuta </w:t>
      </w:r>
      <w:proofErr w:type="spellStart"/>
      <w:r w:rsidRPr="00635639">
        <w:rPr>
          <w:rStyle w:val="VerbatimChar"/>
          <w:rFonts w:ascii="Arial" w:hAnsi="Arial" w:cs="Arial"/>
        </w:rPr>
        <w:t>commit</w:t>
      </w:r>
      <w:proofErr w:type="spellEnd"/>
      <w:r w:rsidRPr="00635639">
        <w:rPr>
          <w:rFonts w:ascii="Arial" w:hAnsi="Arial" w:cs="Arial"/>
        </w:rPr>
        <w:t xml:space="preserve">; ante una excepción, se ejecuta </w:t>
      </w:r>
      <w:proofErr w:type="spellStart"/>
      <w:r w:rsidRPr="00635639">
        <w:rPr>
          <w:rStyle w:val="VerbatimChar"/>
          <w:rFonts w:ascii="Arial" w:hAnsi="Arial" w:cs="Arial"/>
        </w:rPr>
        <w:t>rollback</w:t>
      </w:r>
      <w:proofErr w:type="spellEnd"/>
      <w:r w:rsidRPr="00635639">
        <w:rPr>
          <w:rFonts w:ascii="Arial" w:hAnsi="Arial" w:cs="Arial"/>
        </w:rPr>
        <w:t xml:space="preserve"> para evitar datos parciales.</w:t>
      </w:r>
    </w:p>
    <w:p w14:paraId="1B0A5A8C" w14:textId="621AE9E3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Construcción analítica.</w:t>
      </w:r>
      <w:r w:rsidRPr="00635639">
        <w:rPr>
          <w:rFonts w:ascii="Arial" w:hAnsi="Arial" w:cs="Arial"/>
        </w:rPr>
        <w:t xml:space="preserve"> Las consultas se convierten en estructuras intermedias y </w:t>
      </w:r>
      <w:proofErr w:type="spellStart"/>
      <w:r w:rsidRPr="00635639">
        <w:rPr>
          <w:rFonts w:ascii="Arial" w:hAnsi="Arial" w:cs="Arial"/>
        </w:rPr>
        <w:t>DataFrames</w:t>
      </w:r>
      <w:proofErr w:type="spellEnd"/>
      <w:r w:rsidRPr="00635639">
        <w:rPr>
          <w:rFonts w:ascii="Arial" w:hAnsi="Arial" w:cs="Arial"/>
        </w:rPr>
        <w:t xml:space="preserve"> de Pandas.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calcula totales, medias, ROI</w:t>
      </w:r>
      <w:r w:rsidR="00241357">
        <w:rPr>
          <w:rFonts w:ascii="Arial" w:hAnsi="Arial" w:cs="Arial"/>
        </w:rPr>
        <w:t xml:space="preserve"> </w:t>
      </w:r>
      <w:r w:rsidR="00241357">
        <w:rPr>
          <w:rFonts w:ascii="Arial" w:hAnsi="Arial" w:cs="Arial"/>
        </w:rPr>
        <w:lastRenderedPageBreak/>
        <w:t>(</w:t>
      </w:r>
      <w:r w:rsidR="00241357" w:rsidRPr="00241357">
        <w:rPr>
          <w:rFonts w:ascii="Arial" w:hAnsi="Arial" w:cs="Arial"/>
        </w:rPr>
        <w:t>Retorno de la Inversión</w:t>
      </w:r>
      <w:r w:rsidR="00241357">
        <w:rPr>
          <w:rFonts w:ascii="Arial" w:hAnsi="Arial" w:cs="Arial"/>
        </w:rPr>
        <w:t>)</w:t>
      </w:r>
      <w:r w:rsidRPr="00635639">
        <w:rPr>
          <w:rFonts w:ascii="Arial" w:hAnsi="Arial" w:cs="Arial"/>
        </w:rPr>
        <w:t xml:space="preserve">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>, concentración, rachas y otras métricas vectorizadas.</w:t>
      </w:r>
    </w:p>
    <w:p w14:paraId="7740789C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Evaluación del riesgo.</w:t>
      </w:r>
      <w:r w:rsidRPr="00635639">
        <w:rPr>
          <w:rFonts w:ascii="Arial" w:hAnsi="Arial" w:cs="Arial"/>
        </w:rPr>
        <w:t xml:space="preserve"> Los indicadores se comparan con reglas preventivas para detectar descapitalización, ilusión de ganancia, persecución de pérdidas, concentración excesiva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7F5FEB02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Presentación del resultado.</w:t>
      </w:r>
      <w:r w:rsidRPr="00635639">
        <w:rPr>
          <w:rFonts w:ascii="Arial" w:hAnsi="Arial" w:cs="Arial"/>
        </w:rPr>
        <w:t xml:space="preserve"> El </w:t>
      </w:r>
      <w:proofErr w:type="spellStart"/>
      <w:r w:rsidRPr="00635639">
        <w:rPr>
          <w:rFonts w:ascii="Arial" w:hAnsi="Arial" w:cs="Arial"/>
        </w:rPr>
        <w:t>dashboard</w:t>
      </w:r>
      <w:proofErr w:type="spellEnd"/>
      <w:r w:rsidRPr="00635639">
        <w:rPr>
          <w:rFonts w:ascii="Arial" w:hAnsi="Arial" w:cs="Arial"/>
        </w:rPr>
        <w:t xml:space="preserve"> muestra saldos, movimientos, métricas y mensajes de alerta según su nivel de severidad.</w:t>
      </w:r>
    </w:p>
    <w:p w14:paraId="1DC7B32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2" w:name="_Toc235008372"/>
      <w:bookmarkStart w:id="13" w:name="entradas-procesamiento-y-salidas"/>
      <w:bookmarkEnd w:id="11"/>
      <w:r w:rsidRPr="00635639">
        <w:rPr>
          <w:rFonts w:ascii="Arial" w:hAnsi="Arial" w:cs="Arial"/>
          <w:color w:val="auto"/>
        </w:rPr>
        <w:t>Entradas, procesamiento y salidas</w:t>
      </w:r>
      <w:bookmarkEnd w:id="12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796ED6" w:rsidRPr="00635639" w14:paraId="7174049A" w14:textId="77777777" w:rsidTr="00241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  <w:tcBorders>
              <w:bottom w:val="none" w:sz="0" w:space="0" w:color="auto"/>
            </w:tcBorders>
          </w:tcPr>
          <w:p w14:paraId="112F8ECC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Etapa</w:t>
            </w:r>
          </w:p>
        </w:tc>
        <w:tc>
          <w:tcPr>
            <w:tcW w:w="3960" w:type="dxa"/>
            <w:tcBorders>
              <w:bottom w:val="none" w:sz="0" w:space="0" w:color="auto"/>
            </w:tcBorders>
          </w:tcPr>
          <w:p w14:paraId="6885D61D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Elementos principales</w:t>
            </w:r>
          </w:p>
        </w:tc>
      </w:tr>
      <w:tr w:rsidR="00796ED6" w:rsidRPr="00635639" w14:paraId="3AD88439" w14:textId="77777777" w:rsidTr="00241357">
        <w:tc>
          <w:tcPr>
            <w:tcW w:w="3960" w:type="dxa"/>
          </w:tcPr>
          <w:p w14:paraId="0AE181A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Entradas</w:t>
            </w:r>
          </w:p>
        </w:tc>
        <w:tc>
          <w:tcPr>
            <w:tcW w:w="3960" w:type="dxa"/>
          </w:tcPr>
          <w:p w14:paraId="0836D6BB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Usuario autenticado, casa, tipo de movimiento, monto, cuota, saldo utilizado, evento y estado</w:t>
            </w:r>
          </w:p>
        </w:tc>
      </w:tr>
      <w:tr w:rsidR="00796ED6" w:rsidRPr="00635639" w14:paraId="25362B53" w14:textId="77777777" w:rsidTr="00241357">
        <w:tc>
          <w:tcPr>
            <w:tcW w:w="3960" w:type="dxa"/>
          </w:tcPr>
          <w:p w14:paraId="1F5552B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Procesamiento transaccional</w:t>
            </w:r>
          </w:p>
        </w:tc>
        <w:tc>
          <w:tcPr>
            <w:tcW w:w="3960" w:type="dxa"/>
          </w:tcPr>
          <w:p w14:paraId="27528E9F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 xml:space="preserve">Validación, conciliación de billeteras, cálculo del retorno, actualización del </w:t>
            </w:r>
            <w:proofErr w:type="spellStart"/>
            <w:r w:rsidRPr="00635639">
              <w:rPr>
                <w:rFonts w:ascii="Arial" w:hAnsi="Arial" w:cs="Arial"/>
              </w:rPr>
              <w:t>rollover</w:t>
            </w:r>
            <w:proofErr w:type="spellEnd"/>
            <w:r w:rsidRPr="00635639">
              <w:rPr>
                <w:rFonts w:ascii="Arial" w:hAnsi="Arial" w:cs="Arial"/>
              </w:rPr>
              <w:t xml:space="preserve"> y control de límites</w:t>
            </w:r>
          </w:p>
        </w:tc>
      </w:tr>
      <w:tr w:rsidR="00796ED6" w:rsidRPr="00635639" w14:paraId="38655BEA" w14:textId="77777777" w:rsidTr="00241357">
        <w:tc>
          <w:tcPr>
            <w:tcW w:w="3960" w:type="dxa"/>
          </w:tcPr>
          <w:p w14:paraId="2A28E685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Procesamiento analítico</w:t>
            </w:r>
          </w:p>
        </w:tc>
        <w:tc>
          <w:tcPr>
            <w:tcW w:w="3960" w:type="dxa"/>
          </w:tcPr>
          <w:p w14:paraId="7E204E36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Fonts w:ascii="Arial" w:hAnsi="Arial" w:cs="Arial"/>
              </w:rPr>
              <w:t>DataFrames</w:t>
            </w:r>
            <w:proofErr w:type="spellEnd"/>
            <w:r w:rsidRPr="00635639">
              <w:rPr>
                <w:rFonts w:ascii="Arial" w:hAnsi="Arial" w:cs="Arial"/>
              </w:rPr>
              <w:t xml:space="preserve">, agregaciones, vectores </w:t>
            </w:r>
            <w:proofErr w:type="spellStart"/>
            <w:r w:rsidRPr="00635639">
              <w:rPr>
                <w:rFonts w:ascii="Arial" w:hAnsi="Arial" w:cs="Arial"/>
              </w:rPr>
              <w:t>NumPy</w:t>
            </w:r>
            <w:proofErr w:type="spellEnd"/>
            <w:r w:rsidRPr="00635639">
              <w:rPr>
                <w:rFonts w:ascii="Arial" w:hAnsi="Arial" w:cs="Arial"/>
              </w:rPr>
              <w:t xml:space="preserve">, ROI, </w:t>
            </w:r>
            <w:proofErr w:type="spellStart"/>
            <w:r w:rsidRPr="00635639">
              <w:rPr>
                <w:rFonts w:ascii="Arial" w:hAnsi="Arial" w:cs="Arial"/>
              </w:rPr>
              <w:t>drawdown</w:t>
            </w:r>
            <w:proofErr w:type="spellEnd"/>
            <w:r w:rsidRPr="00635639">
              <w:rPr>
                <w:rFonts w:ascii="Arial" w:hAnsi="Arial" w:cs="Arial"/>
              </w:rPr>
              <w:t>, concentración y patrones de comportamiento</w:t>
            </w:r>
          </w:p>
        </w:tc>
      </w:tr>
      <w:tr w:rsidR="00796ED6" w:rsidRPr="00635639" w14:paraId="75CB903D" w14:textId="77777777" w:rsidTr="00241357">
        <w:tc>
          <w:tcPr>
            <w:tcW w:w="3960" w:type="dxa"/>
          </w:tcPr>
          <w:p w14:paraId="2383E1DF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Salidas</w:t>
            </w:r>
          </w:p>
        </w:tc>
        <w:tc>
          <w:tcPr>
            <w:tcW w:w="3960" w:type="dxa"/>
          </w:tcPr>
          <w:p w14:paraId="157CF4E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 xml:space="preserve">Saldos actualizados, historial auditable, </w:t>
            </w:r>
            <w:proofErr w:type="spellStart"/>
            <w:r w:rsidRPr="00635639">
              <w:rPr>
                <w:rFonts w:ascii="Arial" w:hAnsi="Arial" w:cs="Arial"/>
              </w:rPr>
              <w:t>dashboard</w:t>
            </w:r>
            <w:proofErr w:type="spellEnd"/>
            <w:r w:rsidRPr="00635639">
              <w:rPr>
                <w:rFonts w:ascii="Arial" w:hAnsi="Arial" w:cs="Arial"/>
              </w:rPr>
              <w:t xml:space="preserve"> individual y alertas automáticas de riesgo</w:t>
            </w:r>
          </w:p>
        </w:tc>
      </w:tr>
    </w:tbl>
    <w:p w14:paraId="1DDBC663" w14:textId="77777777" w:rsidR="00241357" w:rsidRDefault="00241357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4" w:name="diagrama-de-actividades-del-proceso"/>
      <w:bookmarkEnd w:id="13"/>
    </w:p>
    <w:p w14:paraId="79A67F66" w14:textId="77777777" w:rsidR="00241357" w:rsidRDefault="00241357">
      <w:pPr>
        <w:rPr>
          <w:rFonts w:ascii="Arial" w:eastAsiaTheme="majorEastAsia" w:hAnsi="Arial" w:cs="Arial"/>
          <w:sz w:val="28"/>
          <w:szCs w:val="28"/>
        </w:rPr>
      </w:pPr>
      <w:r>
        <w:rPr>
          <w:rFonts w:ascii="Arial" w:hAnsi="Arial" w:cs="Arial"/>
        </w:rPr>
        <w:br w:type="page"/>
      </w:r>
    </w:p>
    <w:p w14:paraId="1D6963F5" w14:textId="135687DA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5" w:name="_Toc235008373"/>
      <w:r w:rsidRPr="00635639">
        <w:rPr>
          <w:rFonts w:ascii="Arial" w:hAnsi="Arial" w:cs="Arial"/>
          <w:color w:val="auto"/>
        </w:rPr>
        <w:lastRenderedPageBreak/>
        <w:t>Diagrama de actividades del proceso</w:t>
      </w:r>
      <w:bookmarkEnd w:id="15"/>
    </w:p>
    <w:p w14:paraId="1D1CD7D5" w14:textId="77777777" w:rsidR="00687B19" w:rsidRDefault="00687B19" w:rsidP="00635639">
      <w:pPr>
        <w:pStyle w:val="FirstParagraph"/>
        <w:spacing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8575807" wp14:editId="3EAF8E6A">
            <wp:extent cx="5772003" cy="6572250"/>
            <wp:effectExtent l="0" t="0" r="0" b="0"/>
            <wp:docPr id="1215631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31092" name=""/>
                    <pic:cNvPicPr/>
                  </pic:nvPicPr>
                  <pic:blipFill rotWithShape="1">
                    <a:blip r:embed="rId7"/>
                    <a:srcRect t="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980" cy="6580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FFCD7" w14:textId="1D2E87CF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flujo es cíclico: después de registrar una operación, el usuario puede ingresar una nueva transacción y el sistema recalcula automáticamente su posición consolidada. No se requiere intervención manual para actualizar las métricas ni para decidir qué alertas deben mostrarse.</w:t>
      </w:r>
    </w:p>
    <w:p w14:paraId="3E838D29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16" w:name="_Toc235008374"/>
      <w:bookmarkStart w:id="17" w:name="metodología-de-desarrollo"/>
      <w:bookmarkEnd w:id="9"/>
      <w:bookmarkEnd w:id="14"/>
      <w:r w:rsidRPr="00635639">
        <w:rPr>
          <w:rFonts w:ascii="Arial" w:hAnsi="Arial" w:cs="Arial"/>
          <w:color w:val="auto"/>
        </w:rPr>
        <w:lastRenderedPageBreak/>
        <w:t>Metodología de desarrollo</w:t>
      </w:r>
      <w:bookmarkEnd w:id="16"/>
    </w:p>
    <w:p w14:paraId="57CB3B8E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proyecto adopta una metodología incremental y orientada a componentes. En una primera etapa se identificó la problemática y se modelaron las entidades del dominio. En una segunda etapa se construyeron la persistencia relacional, las reglas transaccionales y la interfaz. Finalmente, se incorporaron autenticación, aislamiento multiusuario, analítica vectorizada, alertas y pruebas de integración.</w:t>
      </w:r>
    </w:p>
    <w:p w14:paraId="2AB89260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trabajo se organizó en cinco actividades:</w:t>
      </w:r>
    </w:p>
    <w:p w14:paraId="05D433E9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Análisis:</w:t>
      </w:r>
      <w:r w:rsidRPr="00635639">
        <w:rPr>
          <w:rFonts w:ascii="Arial" w:hAnsi="Arial" w:cs="Arial"/>
        </w:rPr>
        <w:t xml:space="preserve"> delimitación del problema, actores, operaciones y reglas de negocio.</w:t>
      </w:r>
    </w:p>
    <w:p w14:paraId="38D82C9D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Diseño:</w:t>
      </w:r>
      <w:r w:rsidRPr="00635639">
        <w:rPr>
          <w:rFonts w:ascii="Arial" w:hAnsi="Arial" w:cs="Arial"/>
        </w:rPr>
        <w:t xml:space="preserve"> elaboración del modelo orientado a objetos, esquema relacional y arquitectura por capas.</w:t>
      </w:r>
    </w:p>
    <w:p w14:paraId="58345B00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Implementación:</w:t>
      </w:r>
      <w:r w:rsidRPr="00635639">
        <w:rPr>
          <w:rFonts w:ascii="Arial" w:hAnsi="Arial" w:cs="Arial"/>
        </w:rPr>
        <w:t xml:space="preserve"> desarrollo modular de vistas, controladores, entidades y repositorios.</w:t>
      </w:r>
    </w:p>
    <w:p w14:paraId="6B93F247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Validación:</w:t>
      </w:r>
      <w:r w:rsidRPr="00635639">
        <w:rPr>
          <w:rFonts w:ascii="Arial" w:hAnsi="Arial" w:cs="Arial"/>
        </w:rPr>
        <w:t xml:space="preserve"> ejecución de pruebas funcionales, transaccionales y de aislamiento entre usuarios.</w:t>
      </w:r>
    </w:p>
    <w:p w14:paraId="31EE36E8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metodología es aplicada, porque produce un software funcional; descriptiva, porque caracteriza el comportamiento financiero registrado; e incremental, porque cada avance incorpora nuevas capacidades sobre una base previamente validada.</w:t>
      </w:r>
    </w:p>
    <w:p w14:paraId="0FBF5643" w14:textId="664E972D" w:rsidR="00796ED6" w:rsidRPr="00635639" w:rsidRDefault="00796ED6" w:rsidP="00635639">
      <w:pPr>
        <w:spacing w:line="360" w:lineRule="auto"/>
        <w:rPr>
          <w:rFonts w:ascii="Arial" w:hAnsi="Arial" w:cs="Arial"/>
        </w:rPr>
      </w:pPr>
      <w:bookmarkStart w:id="18" w:name="estructura-del-informe"/>
      <w:bookmarkEnd w:id="17"/>
    </w:p>
    <w:p w14:paraId="6214827D" w14:textId="77777777" w:rsidR="00117542" w:rsidRDefault="00117542">
      <w:pPr>
        <w:rPr>
          <w:rFonts w:ascii="Arial" w:eastAsiaTheme="majorEastAsia" w:hAnsi="Arial" w:cs="Arial"/>
          <w:sz w:val="40"/>
          <w:szCs w:val="40"/>
        </w:rPr>
      </w:pPr>
      <w:bookmarkStart w:id="19" w:name="_Toc235008375"/>
      <w:bookmarkStart w:id="20" w:name="X33bb39cb7dd17c67bedae4d8f6f66bd266f1e4a"/>
      <w:bookmarkEnd w:id="1"/>
      <w:bookmarkEnd w:id="18"/>
      <w:r>
        <w:rPr>
          <w:rFonts w:ascii="Arial" w:hAnsi="Arial" w:cs="Arial"/>
        </w:rPr>
        <w:br w:type="page"/>
      </w:r>
    </w:p>
    <w:p w14:paraId="3A5D08B4" w14:textId="2130A41C" w:rsidR="00796ED6" w:rsidRPr="00635639" w:rsidRDefault="00000000" w:rsidP="00364A5A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r w:rsidRPr="00635639">
        <w:rPr>
          <w:rFonts w:ascii="Arial" w:hAnsi="Arial" w:cs="Arial"/>
          <w:color w:val="auto"/>
        </w:rPr>
        <w:lastRenderedPageBreak/>
        <w:t>CAPÍTULO I: CONTEXTO Y ALCANCE DEL PROYECTO</w:t>
      </w:r>
      <w:bookmarkEnd w:id="19"/>
    </w:p>
    <w:p w14:paraId="1E23BC5B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21" w:name="_Toc235008376"/>
      <w:bookmarkStart w:id="22" w:name="informe-situacional-de-la-solución"/>
      <w:r w:rsidRPr="00635639">
        <w:rPr>
          <w:rFonts w:ascii="Arial" w:hAnsi="Arial" w:cs="Arial"/>
          <w:color w:val="auto"/>
        </w:rPr>
        <w:t>1.1 Informe situacional de la solución</w:t>
      </w:r>
      <w:bookmarkEnd w:id="21"/>
    </w:p>
    <w:p w14:paraId="5BFDB62A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23" w:name="_Toc235008377"/>
      <w:bookmarkStart w:id="24" w:name="alcance-del-negocio"/>
      <w:r w:rsidRPr="00635639">
        <w:rPr>
          <w:rFonts w:ascii="Arial" w:hAnsi="Arial" w:cs="Arial"/>
          <w:color w:val="auto"/>
        </w:rPr>
        <w:t>1.1.1 Alcance del negocio</w:t>
      </w:r>
      <w:bookmarkEnd w:id="23"/>
    </w:p>
    <w:p w14:paraId="2F42518F" w14:textId="700A82C5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propuesta se formula como Asesoría y Auditoría de Inversiones Alternativas de Alto Riesgo, orientada al consumidor de entretenimiento digital de Lima Metropolitana. Su producto central es una plataforma web que permite reconstruir y analizar la posición financiera real del usuario frente a distintas casas de apuestas.</w:t>
      </w:r>
    </w:p>
    <w:p w14:paraId="1E3FAECC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alcance funcional comprende:</w:t>
      </w:r>
    </w:p>
    <w:p w14:paraId="0C218567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Registro y autenticación individual de usuarios.</w:t>
      </w:r>
    </w:p>
    <w:p w14:paraId="7D078A38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Configuración independiente de casas de apuestas.</w:t>
      </w:r>
    </w:p>
    <w:p w14:paraId="254E8353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Registro de depósitos, bonos, apuestas,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y retiros.</w:t>
      </w:r>
    </w:p>
    <w:p w14:paraId="5010E017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Separación contable entre saldo depositado, saldo de bono y saldo retirable.</w:t>
      </w:r>
    </w:p>
    <w:p w14:paraId="3271C380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Cálculo y seguimiento de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por casa.</w:t>
      </w:r>
    </w:p>
    <w:p w14:paraId="5165C39D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Registro de apuestas pendientes y de su exposición potencial.</w:t>
      </w:r>
    </w:p>
    <w:p w14:paraId="480E4E21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Cálculo de resultados, ROI,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>, tasa de acierto y concentración de capital.</w:t>
      </w:r>
    </w:p>
    <w:p w14:paraId="67D817A3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Detección de patrones conductuales de riesgo.</w:t>
      </w:r>
    </w:p>
    <w:p w14:paraId="680FA546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Emisión automática de advertencias y recomendaciones conservadoras.</w:t>
      </w:r>
    </w:p>
    <w:p w14:paraId="3B445F33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Aislamiento total de datos entre usuarios.</w:t>
      </w:r>
    </w:p>
    <w:p w14:paraId="4904E92A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producto no se conecta directamente con las plataformas de apuestas ni ejecuta operaciones monetarias. La información es ingresada por el propio usuario y se utiliza con fines de control, trazabilidad y educación financiera preventiva.</w:t>
      </w:r>
    </w:p>
    <w:p w14:paraId="5C71CE97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25" w:name="_Toc235008378"/>
      <w:bookmarkStart w:id="26" w:name="ubicación-e-historia-de-la-iniciativa"/>
      <w:bookmarkEnd w:id="24"/>
      <w:r w:rsidRPr="00635639">
        <w:rPr>
          <w:rFonts w:ascii="Arial" w:hAnsi="Arial" w:cs="Arial"/>
          <w:color w:val="auto"/>
        </w:rPr>
        <w:lastRenderedPageBreak/>
        <w:t>1.1.2 Ubicación e historia de la iniciativa</w:t>
      </w:r>
      <w:bookmarkEnd w:id="25"/>
    </w:p>
    <w:p w14:paraId="150F6AFF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iniciativa se sitúa teóricamente en Lima, Perú, como respuesta al crecimiento acelerado de las plataformas de apuestas y entretenimiento digital. La disponibilidad permanente de estas aplicaciones ha incrementado la frecuencia con la que los usuarios realizan depósitos, reciben promociones, aceptan bonos y ejecutan apuestas sin disponer necesariamente de un sistema independiente de control.</w:t>
      </w:r>
    </w:p>
    <w:p w14:paraId="0B8880F2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idea de negocio surge al observar tres carencias:</w:t>
      </w:r>
    </w:p>
    <w:p w14:paraId="0EC78242" w14:textId="77777777" w:rsidR="00796ED6" w:rsidRPr="00635639" w:rsidRDefault="00000000" w:rsidP="00635639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Los historiales proporcionados por las casas priorizan el detalle operativo, pero no siempre presentan una lectura consolidada del capital propio.</w:t>
      </w:r>
    </w:p>
    <w:p w14:paraId="16DCD640" w14:textId="77777777" w:rsidR="00796ED6" w:rsidRPr="00635639" w:rsidRDefault="00000000" w:rsidP="00635639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Los bonos pueden incrementar el saldo visible sin representar dinero inmediatamente retirable.</w:t>
      </w:r>
    </w:p>
    <w:p w14:paraId="31141889" w14:textId="77777777" w:rsidR="00796ED6" w:rsidRPr="00635639" w:rsidRDefault="00000000" w:rsidP="00635639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evaluación intuitiva del usuario suele concentrarse en apuestas ganadas de manera aislada y no en el resultado neto total.</w:t>
      </w:r>
    </w:p>
    <w:p w14:paraId="6AFE1DF4" w14:textId="70617B0E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Frente a ello, </w:t>
      </w:r>
      <w:r w:rsidR="009B086A">
        <w:rPr>
          <w:rFonts w:ascii="Arial" w:hAnsi="Arial" w:cs="Arial"/>
        </w:rPr>
        <w:t xml:space="preserve">se </w:t>
      </w:r>
      <w:r w:rsidRPr="00635639">
        <w:rPr>
          <w:rFonts w:ascii="Arial" w:hAnsi="Arial" w:cs="Arial"/>
        </w:rPr>
        <w:t>propone una capa independiente de auditoría personal que centraliza información, manteniendo a la vez la posibilidad de agregar otras casas con sus propias condiciones.</w:t>
      </w:r>
    </w:p>
    <w:p w14:paraId="31CFFFD8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27" w:name="_Toc235008379"/>
      <w:bookmarkStart w:id="28" w:name="descripción-de-la-operación"/>
      <w:bookmarkEnd w:id="26"/>
      <w:r w:rsidRPr="00635639">
        <w:rPr>
          <w:rFonts w:ascii="Arial" w:hAnsi="Arial" w:cs="Arial"/>
          <w:color w:val="auto"/>
        </w:rPr>
        <w:t>1.1.3 Descripción de la operación</w:t>
      </w:r>
      <w:bookmarkEnd w:id="27"/>
    </w:p>
    <w:p w14:paraId="1396D205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operación del servicio se basa en un ciclo de auditoría continua:</w:t>
      </w:r>
    </w:p>
    <w:p w14:paraId="1C03C769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usuario crea una cuenta protegida mediante contraseña cifrada con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>.</w:t>
      </w:r>
    </w:p>
    <w:p w14:paraId="5805C675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aplicación crea para ese usuario las casas predeterminadas y sus billeteras lógicas.</w:t>
      </w:r>
    </w:p>
    <w:p w14:paraId="709B62FF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registra depósitos y bonos recibidos.</w:t>
      </w:r>
    </w:p>
    <w:p w14:paraId="1431D171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sistema calcula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generado de acuerdo con la regla particular de la casa.</w:t>
      </w:r>
    </w:p>
    <w:p w14:paraId="563C98D1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lastRenderedPageBreak/>
        <w:t>El usuario registra apuestas indicando monto, cuota, origen del saldo y estado.</w:t>
      </w:r>
    </w:p>
    <w:p w14:paraId="6DBF6FAD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aplicación concilia el capital utilizado con las billeteras registradas.</w:t>
      </w:r>
    </w:p>
    <w:p w14:paraId="642C334F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Las apuestas pendientes se mantienen como exposición sin considerarse todavía ganancia o pérdida realizada.</w:t>
      </w:r>
    </w:p>
    <w:p w14:paraId="0EB95A75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Al liquidar una apuesta, se actualizan saldos, retornos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>.</w:t>
      </w:r>
    </w:p>
    <w:p w14:paraId="77CFFE89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Pandas estructura el historial y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calcula métricas vectorizadas.</w:t>
      </w:r>
    </w:p>
    <w:p w14:paraId="0164CB47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</w:t>
      </w:r>
      <w:proofErr w:type="spellStart"/>
      <w:r w:rsidRPr="00635639">
        <w:rPr>
          <w:rFonts w:ascii="Arial" w:hAnsi="Arial" w:cs="Arial"/>
        </w:rPr>
        <w:t>dashboard</w:t>
      </w:r>
      <w:proofErr w:type="spellEnd"/>
      <w:r w:rsidRPr="00635639">
        <w:rPr>
          <w:rFonts w:ascii="Arial" w:hAnsi="Arial" w:cs="Arial"/>
        </w:rPr>
        <w:t xml:space="preserve"> presenta resultados, alertas, exposición y disponibilidad de retiro.</w:t>
      </w:r>
    </w:p>
    <w:p w14:paraId="12D71FDD" w14:textId="33D6DADE" w:rsidR="009B086A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propuesta de valor consiste en mostrar la diferencia entre saldo visible, dinero propio, bono condicionado y capital realmente retirable.</w:t>
      </w:r>
    </w:p>
    <w:p w14:paraId="5497453F" w14:textId="77777777" w:rsidR="009B086A" w:rsidRDefault="009B086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1EE162F" w14:textId="77777777" w:rsidR="00796ED6" w:rsidRPr="00635639" w:rsidRDefault="00000000" w:rsidP="009B086A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bookmarkStart w:id="29" w:name="_Toc235008380"/>
      <w:bookmarkStart w:id="30" w:name="X0fe16e3269e88892dddfd8759d94872f9cf2271"/>
      <w:bookmarkEnd w:id="20"/>
      <w:bookmarkEnd w:id="22"/>
      <w:bookmarkEnd w:id="28"/>
      <w:r w:rsidRPr="00635639">
        <w:rPr>
          <w:rFonts w:ascii="Arial" w:hAnsi="Arial" w:cs="Arial"/>
          <w:color w:val="auto"/>
        </w:rPr>
        <w:lastRenderedPageBreak/>
        <w:t>CAPÍTULO II: SITUACIÓN PROBLEMÁTICA Y PROPUESTA DE AUTOMATIZACIÓN</w:t>
      </w:r>
      <w:bookmarkEnd w:id="29"/>
    </w:p>
    <w:p w14:paraId="05D5F78F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31" w:name="_Toc235008381"/>
      <w:bookmarkStart w:id="32" w:name="situación-problemática"/>
      <w:r w:rsidRPr="00635639">
        <w:rPr>
          <w:rFonts w:ascii="Arial" w:hAnsi="Arial" w:cs="Arial"/>
          <w:color w:val="auto"/>
        </w:rPr>
        <w:t>2.1 Situación problemática</w:t>
      </w:r>
      <w:bookmarkEnd w:id="31"/>
    </w:p>
    <w:p w14:paraId="7C86E916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3" w:name="_Toc235008382"/>
      <w:bookmarkStart w:id="34" w:name="opacidad-transaccional"/>
      <w:r w:rsidRPr="00635639">
        <w:rPr>
          <w:rFonts w:ascii="Arial" w:hAnsi="Arial" w:cs="Arial"/>
          <w:color w:val="auto"/>
        </w:rPr>
        <w:t>2.1.1 Opacidad transaccional</w:t>
      </w:r>
      <w:bookmarkEnd w:id="33"/>
    </w:p>
    <w:p w14:paraId="5EA8DD69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puede mantener actividad simultánea en varias plataformas. Cada una presenta sus movimientos con formatos, conceptos y reglas particulares. Como consecuencia, la persona no dispone de una visión consolidada de cuánto depositó, cuánto retiró, cuánto mantiene expuesto y cuál es su resultado neto real.</w:t>
      </w:r>
    </w:p>
    <w:p w14:paraId="0F42FF0E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fragmentación de la información produce una opacidad práctica: los datos existen, pero no se transforman automáticamente en una explicación financiera comprensible. El usuario debe reconstruir manualmente el historial, distinguir capital propio de fondos promocionales y comparar movimientos entre plataformas.</w:t>
      </w:r>
    </w:p>
    <w:p w14:paraId="183F83DF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5" w:name="_Toc235008383"/>
      <w:bookmarkStart w:id="36" w:name="congelamiento-asimétrico-por-rollover"/>
      <w:bookmarkEnd w:id="34"/>
      <w:r w:rsidRPr="00635639">
        <w:rPr>
          <w:rFonts w:ascii="Arial" w:hAnsi="Arial" w:cs="Arial"/>
          <w:color w:val="auto"/>
        </w:rPr>
        <w:t xml:space="preserve">2.1.2 Congelamiento asimétrico por </w:t>
      </w:r>
      <w:proofErr w:type="spellStart"/>
      <w:r w:rsidRPr="00635639">
        <w:rPr>
          <w:rFonts w:ascii="Arial" w:hAnsi="Arial" w:cs="Arial"/>
          <w:color w:val="auto"/>
        </w:rPr>
        <w:t>rollover</w:t>
      </w:r>
      <w:bookmarkEnd w:id="35"/>
      <w:proofErr w:type="spellEnd"/>
    </w:p>
    <w:p w14:paraId="57B2B5F0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es una condición que obliga a apostar un volumen determinado antes de habilitar el retiro de ciertos fondos. Esta regla puede afectar depósitos, bonos o ambos, dependiendo de la casa.</w:t>
      </w:r>
    </w:p>
    <w:p w14:paraId="7DFA8D4D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problema se vuelve asimétrico cuando:</w:t>
      </w:r>
    </w:p>
    <w:p w14:paraId="100BD05E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percibe el saldo como disponible, aunque esté condicionado.</w:t>
      </w:r>
    </w:p>
    <w:p w14:paraId="30455056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Una nueva recarga incrementa nuevamente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6E27B0D5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bono eleva el saldo nominal, pero no necesariamente el dinero propio.</w:t>
      </w:r>
    </w:p>
    <w:p w14:paraId="03B7C110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cuota de una apuesta puede no ser suficiente para liberar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>.</w:t>
      </w:r>
    </w:p>
    <w:p w14:paraId="3B7622A8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intenta recuperar pérdidas mediante nuevas exposiciones.</w:t>
      </w:r>
    </w:p>
    <w:p w14:paraId="3E1C6870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solución separa el saldo de depósito, el bono y el saldo retirable; además, muestra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generado, liberado y pendiente por casa.</w:t>
      </w:r>
    </w:p>
    <w:p w14:paraId="62DF6F9F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7" w:name="_Toc235008384"/>
      <w:bookmarkStart w:id="38" w:name="sesgo-de-ilusión-de-ganancia"/>
      <w:bookmarkEnd w:id="36"/>
      <w:r w:rsidRPr="00635639">
        <w:rPr>
          <w:rFonts w:ascii="Arial" w:hAnsi="Arial" w:cs="Arial"/>
          <w:color w:val="auto"/>
        </w:rPr>
        <w:lastRenderedPageBreak/>
        <w:t>2.1.3 Sesgo de ilusión de ganancia</w:t>
      </w:r>
      <w:bookmarkEnd w:id="37"/>
    </w:p>
    <w:p w14:paraId="30CA05E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sesgo de ilusión de ganancia ocurre cuando el usuario interpreta una alta cantidad de aciertos como evidencia de rentabilidad. Es posible ganar varias apuestas pequeñas y perder una apuesta de mayor monto, obteniendo una tasa de acierto alta y, al mismo tiempo, un balance negativo.</w:t>
      </w:r>
    </w:p>
    <w:p w14:paraId="5151FC6F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Ejemplo conceptual:</w:t>
      </w:r>
    </w:p>
    <w:p w14:paraId="514E1606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Ganancia 1: S/ 4.00.</w:t>
      </w:r>
    </w:p>
    <w:p w14:paraId="3BAFCD01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Ganancia 2: S/ 5.00.</w:t>
      </w:r>
    </w:p>
    <w:p w14:paraId="62587D9F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Ganancia 3: S/ 3.00.</w:t>
      </w:r>
    </w:p>
    <w:p w14:paraId="77D829EE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Pérdida posterior: S/ 30.00.</w:t>
      </w:r>
    </w:p>
    <w:p w14:paraId="3ACD8240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Resultado neto: pérdida de S/ 18.00.</w:t>
      </w:r>
    </w:p>
    <w:p w14:paraId="790AB59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Aunque existan tres decisiones ganadoras y una perdedora, el capital se ha reducido. El sistema detecta este patrón comparando la tasa de acierto con el flujo efectivo acumulado.</w:t>
      </w:r>
    </w:p>
    <w:p w14:paraId="2AE4D0EC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9" w:name="_Toc235008385"/>
      <w:bookmarkStart w:id="40" w:name="otros-riesgos-identificados"/>
      <w:bookmarkEnd w:id="38"/>
      <w:r w:rsidRPr="00635639">
        <w:rPr>
          <w:rFonts w:ascii="Arial" w:hAnsi="Arial" w:cs="Arial"/>
          <w:color w:val="auto"/>
        </w:rPr>
        <w:t>2.1.4 Otros riesgos identificados</w:t>
      </w:r>
      <w:bookmarkEnd w:id="39"/>
    </w:p>
    <w:p w14:paraId="272FC5C7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Persecución de pérdidas mediante incremento del monto apostado.</w:t>
      </w:r>
    </w:p>
    <w:p w14:paraId="6EC3272D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Rachas consecutivas de resultados negativos.</w:t>
      </w:r>
    </w:p>
    <w:p w14:paraId="4FC2D8EA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 xml:space="preserve"> elevado respecto del capital expuesto.</w:t>
      </w:r>
    </w:p>
    <w:p w14:paraId="010874AF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Concentración de la mayor parte del saldo en una sola casa.</w:t>
      </w:r>
    </w:p>
    <w:p w14:paraId="3C7111BA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Bonos que camuflan un flujo de caja negativo.</w:t>
      </w:r>
    </w:p>
    <w:p w14:paraId="58C1D03B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Apuestas registradas sin respaldo completo en las billeteras.</w:t>
      </w:r>
    </w:p>
    <w:p w14:paraId="1E5E4D90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Confusión entre retorno total y ganancia neta.</w:t>
      </w:r>
    </w:p>
    <w:p w14:paraId="22D256E5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Confusión entre saldo para jugar y saldo retirable.</w:t>
      </w:r>
    </w:p>
    <w:p w14:paraId="7A5C50E6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41" w:name="_Toc235008386"/>
      <w:bookmarkStart w:id="42" w:name="X7b6929ad6a630cd1d5a04e6731961e6e7051e5f"/>
      <w:bookmarkEnd w:id="32"/>
      <w:bookmarkEnd w:id="40"/>
      <w:r w:rsidRPr="00635639">
        <w:rPr>
          <w:rFonts w:ascii="Arial" w:hAnsi="Arial" w:cs="Arial"/>
          <w:color w:val="auto"/>
        </w:rPr>
        <w:lastRenderedPageBreak/>
        <w:t>2.2 Proceso a solucionar mediante automatización</w:t>
      </w:r>
      <w:bookmarkEnd w:id="41"/>
    </w:p>
    <w:p w14:paraId="42989339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43" w:name="_Toc235008387"/>
      <w:bookmarkStart w:id="44" w:name="flujo-automatizado"/>
      <w:r w:rsidRPr="00635639">
        <w:rPr>
          <w:rFonts w:ascii="Arial" w:hAnsi="Arial" w:cs="Arial"/>
          <w:color w:val="auto"/>
        </w:rPr>
        <w:t>2.2.1 Flujo automatizado</w:t>
      </w:r>
      <w:bookmarkEnd w:id="43"/>
    </w:p>
    <w:p w14:paraId="7254BB5C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5" w:name="etapa-1-recepción-de-datos"/>
      <w:r w:rsidRPr="00635639">
        <w:rPr>
          <w:rFonts w:ascii="Arial" w:hAnsi="Arial" w:cs="Arial"/>
          <w:color w:val="auto"/>
        </w:rPr>
        <w:t>Etapa 1: recepción de datos</w:t>
      </w:r>
    </w:p>
    <w:p w14:paraId="37A4A777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capa de presentación muestra formularios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para registrar:</w:t>
      </w:r>
    </w:p>
    <w:p w14:paraId="42B96190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Casa de apuestas.</w:t>
      </w:r>
    </w:p>
    <w:p w14:paraId="5CE0A947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Monto depositado.</w:t>
      </w:r>
    </w:p>
    <w:p w14:paraId="31CAEC13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Bono recibido.</w:t>
      </w:r>
    </w:p>
    <w:p w14:paraId="50CF623A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Monto apostado.</w:t>
      </w:r>
    </w:p>
    <w:p w14:paraId="3EF8364B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Cuota decimal.</w:t>
      </w:r>
    </w:p>
    <w:p w14:paraId="5347B250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Origen del saldo.</w:t>
      </w:r>
    </w:p>
    <w:p w14:paraId="00908374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Deporte, liga, evento y detalle.</w:t>
      </w:r>
    </w:p>
    <w:p w14:paraId="430FAB31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Fecha del evento.</w:t>
      </w:r>
    </w:p>
    <w:p w14:paraId="4B275D87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Resultado o estado pendiente.</w:t>
      </w:r>
    </w:p>
    <w:p w14:paraId="403BEA78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Monto de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>.</w:t>
      </w:r>
    </w:p>
    <w:p w14:paraId="559EE30C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Retiro solicitado.</w:t>
      </w:r>
    </w:p>
    <w:p w14:paraId="4B791AF3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6" w:name="X4adb03265adf92e0cb2b30bb2cce8b1d0269a0d"/>
      <w:bookmarkEnd w:id="45"/>
      <w:r w:rsidRPr="00635639">
        <w:rPr>
          <w:rFonts w:ascii="Arial" w:hAnsi="Arial" w:cs="Arial"/>
          <w:color w:val="auto"/>
        </w:rPr>
        <w:t xml:space="preserve">Etapa 2: </w:t>
      </w:r>
      <w:proofErr w:type="spellStart"/>
      <w:r w:rsidRPr="00635639">
        <w:rPr>
          <w:rFonts w:ascii="Arial" w:hAnsi="Arial" w:cs="Arial"/>
          <w:color w:val="auto"/>
        </w:rPr>
        <w:t>parsing</w:t>
      </w:r>
      <w:proofErr w:type="spellEnd"/>
      <w:r w:rsidRPr="00635639">
        <w:rPr>
          <w:rFonts w:ascii="Arial" w:hAnsi="Arial" w:cs="Arial"/>
          <w:color w:val="auto"/>
        </w:rPr>
        <w:t>, normalización y conversión</w:t>
      </w:r>
    </w:p>
    <w:p w14:paraId="000BC315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Los valores ingresados se convierten a tipos concretos de Python:</w:t>
      </w:r>
    </w:p>
    <w:p w14:paraId="5E47B832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Identificadores y descripciones: </w:t>
      </w:r>
      <w:proofErr w:type="spellStart"/>
      <w:r w:rsidRPr="00635639">
        <w:rPr>
          <w:rStyle w:val="VerbatimChar"/>
          <w:rFonts w:ascii="Arial" w:hAnsi="Arial" w:cs="Arial"/>
        </w:rPr>
        <w:t>str</w:t>
      </w:r>
      <w:proofErr w:type="spellEnd"/>
      <w:r w:rsidRPr="00635639">
        <w:rPr>
          <w:rFonts w:ascii="Arial" w:hAnsi="Arial" w:cs="Arial"/>
        </w:rPr>
        <w:t>.</w:t>
      </w:r>
    </w:p>
    <w:p w14:paraId="00723F85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Identificador de usuario y apuesta: </w:t>
      </w:r>
      <w:proofErr w:type="spellStart"/>
      <w:r w:rsidRPr="00635639">
        <w:rPr>
          <w:rStyle w:val="VerbatimChar"/>
          <w:rFonts w:ascii="Arial" w:hAnsi="Arial" w:cs="Arial"/>
        </w:rPr>
        <w:t>int</w:t>
      </w:r>
      <w:proofErr w:type="spellEnd"/>
      <w:r w:rsidRPr="00635639">
        <w:rPr>
          <w:rFonts w:ascii="Arial" w:hAnsi="Arial" w:cs="Arial"/>
        </w:rPr>
        <w:t>.</w:t>
      </w:r>
    </w:p>
    <w:p w14:paraId="39FB7AE7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Montos, cuotas, saldos y métricas: </w:t>
      </w:r>
      <w:proofErr w:type="spellStart"/>
      <w:r w:rsidRPr="00635639">
        <w:rPr>
          <w:rStyle w:val="VerbatimChar"/>
          <w:rFonts w:ascii="Arial" w:hAnsi="Arial" w:cs="Arial"/>
        </w:rPr>
        <w:t>float</w:t>
      </w:r>
      <w:proofErr w:type="spellEnd"/>
      <w:r w:rsidRPr="00635639">
        <w:rPr>
          <w:rFonts w:ascii="Arial" w:hAnsi="Arial" w:cs="Arial"/>
        </w:rPr>
        <w:t xml:space="preserve"> durante el cálculo.</w:t>
      </w:r>
    </w:p>
    <w:p w14:paraId="7FA6C27D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Confirmaciones y estados de control: </w:t>
      </w:r>
      <w:proofErr w:type="spellStart"/>
      <w:r w:rsidRPr="00635639">
        <w:rPr>
          <w:rStyle w:val="VerbatimChar"/>
          <w:rFonts w:ascii="Arial" w:hAnsi="Arial" w:cs="Arial"/>
        </w:rPr>
        <w:t>bool</w:t>
      </w:r>
      <w:proofErr w:type="spellEnd"/>
      <w:r w:rsidRPr="00635639">
        <w:rPr>
          <w:rFonts w:ascii="Arial" w:hAnsi="Arial" w:cs="Arial"/>
        </w:rPr>
        <w:t>.</w:t>
      </w:r>
    </w:p>
    <w:p w14:paraId="3B802128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Los textos son limpiados con operaciones como eliminación de espacios, conversión a mayúsculas y separación por comas. Las fechas se normalizan al formato ISO </w:t>
      </w:r>
      <w:r w:rsidRPr="00635639">
        <w:rPr>
          <w:rStyle w:val="VerbatimChar"/>
          <w:rFonts w:ascii="Arial" w:hAnsi="Arial" w:cs="Arial"/>
        </w:rPr>
        <w:t>AAAA-MM-DD</w:t>
      </w:r>
      <w:r w:rsidRPr="00635639">
        <w:rPr>
          <w:rFonts w:ascii="Arial" w:hAnsi="Arial" w:cs="Arial"/>
        </w:rPr>
        <w:t>.</w:t>
      </w:r>
    </w:p>
    <w:p w14:paraId="3D84DD2A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7" w:name="etapa-3-validación-de-la-entidad"/>
      <w:bookmarkEnd w:id="46"/>
      <w:r w:rsidRPr="00635639">
        <w:rPr>
          <w:rFonts w:ascii="Arial" w:hAnsi="Arial" w:cs="Arial"/>
          <w:color w:val="auto"/>
        </w:rPr>
        <w:lastRenderedPageBreak/>
        <w:t>Etapa 3: validación de la entidad</w:t>
      </w:r>
    </w:p>
    <w:p w14:paraId="2D2561B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información de una apuesta es convertida en un objeto </w:t>
      </w:r>
      <w:proofErr w:type="spellStart"/>
      <w:r w:rsidRPr="00635639">
        <w:rPr>
          <w:rStyle w:val="VerbatimChar"/>
          <w:rFonts w:ascii="Arial" w:hAnsi="Arial" w:cs="Arial"/>
        </w:rPr>
        <w:t>RegistroApuesta</w:t>
      </w:r>
      <w:proofErr w:type="spellEnd"/>
      <w:r w:rsidRPr="00635639">
        <w:rPr>
          <w:rFonts w:ascii="Arial" w:hAnsi="Arial" w:cs="Arial"/>
        </w:rPr>
        <w:t>. El constructor valida que el monto sea positivo, que exista una casa, que la cuota sea mayor que 1.00, que el tipo de saldo sea válido y que los campos deportivos estén completos.</w:t>
      </w:r>
    </w:p>
    <w:p w14:paraId="0E233C19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8" w:name="etapa-4-aplicación-de-reglas-financieras"/>
      <w:bookmarkEnd w:id="47"/>
      <w:r w:rsidRPr="00635639">
        <w:rPr>
          <w:rFonts w:ascii="Arial" w:hAnsi="Arial" w:cs="Arial"/>
          <w:color w:val="auto"/>
        </w:rPr>
        <w:t>Etapa 4: aplicación de reglas financieras</w:t>
      </w:r>
    </w:p>
    <w:p w14:paraId="78C5338A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</w:t>
      </w:r>
      <w:proofErr w:type="spellStart"/>
      <w:r w:rsidRPr="00635639">
        <w:rPr>
          <w:rFonts w:ascii="Arial" w:hAnsi="Arial" w:cs="Arial"/>
        </w:rPr>
        <w:t>backend</w:t>
      </w:r>
      <w:proofErr w:type="spellEnd"/>
      <w:r w:rsidRPr="00635639">
        <w:rPr>
          <w:rFonts w:ascii="Arial" w:hAnsi="Arial" w:cs="Arial"/>
        </w:rPr>
        <w:t xml:space="preserve"> ejecuta, entre otras, las siguientes reglas:</w:t>
      </w:r>
    </w:p>
    <w:p w14:paraId="405738A2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depósito aumenta la billetera de depósito.</w:t>
      </w:r>
    </w:p>
    <w:p w14:paraId="6D24704C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bono aumenta exclusivamente la billetera promocional.</w:t>
      </w:r>
    </w:p>
    <w:p w14:paraId="29F4FE75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Cada recarga genera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según los multiplicadores de la casa.</w:t>
      </w:r>
    </w:p>
    <w:p w14:paraId="36D2A93E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pendiente reserva exposición, pero no se considera resultado realizado.</w:t>
      </w:r>
    </w:p>
    <w:p w14:paraId="4AB38817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perdida descuenta el capital conciliado.</w:t>
      </w:r>
    </w:p>
    <w:p w14:paraId="6478A8A7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ganada acredita el retorno al saldo retirable.</w:t>
      </w:r>
    </w:p>
    <w:p w14:paraId="03EB07C2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Cuando se apuesta con bono, solo la ganancia neta se transforma en retirable.</w:t>
      </w:r>
    </w:p>
    <w:p w14:paraId="6A953EF8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anulada restituye el monto conciliado.</w:t>
      </w:r>
    </w:p>
    <w:p w14:paraId="7A9D9159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registra exactamente el monto recibido.</w:t>
      </w:r>
    </w:p>
    <w:p w14:paraId="09DDFAB2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retiro exige saldo suficiente, mínimo alcanzado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igual a cero.</w:t>
      </w:r>
    </w:p>
    <w:p w14:paraId="23E73FC7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9" w:name="etapa-5-persistencia-transaccional"/>
      <w:bookmarkEnd w:id="48"/>
      <w:r w:rsidRPr="00635639">
        <w:rPr>
          <w:rFonts w:ascii="Arial" w:hAnsi="Arial" w:cs="Arial"/>
          <w:color w:val="auto"/>
        </w:rPr>
        <w:t>Etapa 5: persistencia transaccional</w:t>
      </w:r>
    </w:p>
    <w:p w14:paraId="79868936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Las operaciones se ejecutan dentro de </w:t>
      </w:r>
      <w:proofErr w:type="spellStart"/>
      <w:r w:rsidRPr="00635639">
        <w:rPr>
          <w:rFonts w:ascii="Arial" w:hAnsi="Arial" w:cs="Arial"/>
        </w:rPr>
        <w:t>context</w:t>
      </w:r>
      <w:proofErr w:type="spellEnd"/>
      <w:r w:rsidRPr="00635639">
        <w:rPr>
          <w:rFonts w:ascii="Arial" w:hAnsi="Arial" w:cs="Arial"/>
        </w:rPr>
        <w:t xml:space="preserve"> managers de conexión. Si todas las instrucciones terminan correctamente, se confirma la transacción mediante </w:t>
      </w:r>
      <w:proofErr w:type="spellStart"/>
      <w:r w:rsidRPr="00635639">
        <w:rPr>
          <w:rStyle w:val="VerbatimChar"/>
          <w:rFonts w:ascii="Arial" w:hAnsi="Arial" w:cs="Arial"/>
        </w:rPr>
        <w:t>commit</w:t>
      </w:r>
      <w:proofErr w:type="spellEnd"/>
      <w:r w:rsidRPr="00635639">
        <w:rPr>
          <w:rFonts w:ascii="Arial" w:hAnsi="Arial" w:cs="Arial"/>
        </w:rPr>
        <w:t xml:space="preserve">. Si ocurre una excepción, se ejecuta </w:t>
      </w:r>
      <w:proofErr w:type="spellStart"/>
      <w:r w:rsidRPr="00635639">
        <w:rPr>
          <w:rStyle w:val="VerbatimChar"/>
          <w:rFonts w:ascii="Arial" w:hAnsi="Arial" w:cs="Arial"/>
        </w:rPr>
        <w:t>rollback</w:t>
      </w:r>
      <w:proofErr w:type="spellEnd"/>
      <w:r w:rsidRPr="00635639">
        <w:rPr>
          <w:rFonts w:ascii="Arial" w:hAnsi="Arial" w:cs="Arial"/>
        </w:rPr>
        <w:t>, evitando actualizaciones parciales de saldos e historial.</w:t>
      </w:r>
    </w:p>
    <w:p w14:paraId="394AC73E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0" w:name="etapa-6-construcción-analítica"/>
      <w:bookmarkEnd w:id="49"/>
      <w:r w:rsidRPr="00635639">
        <w:rPr>
          <w:rFonts w:ascii="Arial" w:hAnsi="Arial" w:cs="Arial"/>
          <w:color w:val="auto"/>
        </w:rPr>
        <w:lastRenderedPageBreak/>
        <w:t>Etapa 6: construcción analítica</w:t>
      </w:r>
    </w:p>
    <w:p w14:paraId="04CA5B49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Las consultas MySQL se transforman en listas de diccionarios y posteriormente en </w:t>
      </w:r>
      <w:proofErr w:type="spellStart"/>
      <w:r w:rsidRPr="00635639">
        <w:rPr>
          <w:rFonts w:ascii="Arial" w:hAnsi="Arial" w:cs="Arial"/>
        </w:rPr>
        <w:t>DataFrames</w:t>
      </w:r>
      <w:proofErr w:type="spellEnd"/>
      <w:r w:rsidRPr="00635639">
        <w:rPr>
          <w:rFonts w:ascii="Arial" w:hAnsi="Arial" w:cs="Arial"/>
        </w:rPr>
        <w:t>. Pandas limpia fechas, descarta registros incompletos, ordena cronológicamente y agrupa resultados por casa.</w:t>
      </w:r>
    </w:p>
    <w:p w14:paraId="621CB71D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convierte las columnas numéricas en arreglos y calcula sumas, medias, mínimos, máximos, acumulados, máscaras booleanas, ROI,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 xml:space="preserve"> y concentración.</w:t>
      </w:r>
    </w:p>
    <w:p w14:paraId="02A9CB33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1" w:name="etapa-7-activación-de-alertas"/>
      <w:bookmarkEnd w:id="50"/>
      <w:r w:rsidRPr="00635639">
        <w:rPr>
          <w:rFonts w:ascii="Arial" w:hAnsi="Arial" w:cs="Arial"/>
          <w:color w:val="auto"/>
        </w:rPr>
        <w:t>Etapa 7: activación de alertas</w:t>
      </w:r>
    </w:p>
    <w:p w14:paraId="46E51A1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Los resultados estadísticos se contrastan con umbrales de riesgo. Cuando se cumple una condición, se agrega un mensaje estructurado con código, nivel y descripción.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representa las alertas como mensajes informativos, advertencias o errores según su severidad.</w:t>
      </w:r>
    </w:p>
    <w:p w14:paraId="25A21118" w14:textId="77777777" w:rsidR="009B086A" w:rsidRDefault="009B086A">
      <w:pPr>
        <w:rPr>
          <w:rFonts w:ascii="Arial" w:eastAsiaTheme="majorEastAsia" w:hAnsi="Arial" w:cs="Arial"/>
          <w:sz w:val="40"/>
          <w:szCs w:val="40"/>
        </w:rPr>
      </w:pPr>
      <w:bookmarkStart w:id="52" w:name="X14af0279e0539d2412a53943b1e33dd760378a2"/>
      <w:bookmarkEnd w:id="30"/>
      <w:bookmarkEnd w:id="42"/>
      <w:bookmarkEnd w:id="44"/>
      <w:bookmarkEnd w:id="51"/>
      <w:r>
        <w:rPr>
          <w:rFonts w:ascii="Arial" w:hAnsi="Arial" w:cs="Arial"/>
        </w:rPr>
        <w:br w:type="page"/>
      </w:r>
    </w:p>
    <w:p w14:paraId="5E262DBC" w14:textId="7FC0E1C4" w:rsidR="00796ED6" w:rsidRPr="00635639" w:rsidRDefault="00000000" w:rsidP="009B1CC4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bookmarkStart w:id="53" w:name="_Toc235008388"/>
      <w:r w:rsidRPr="00635639">
        <w:rPr>
          <w:rFonts w:ascii="Arial" w:hAnsi="Arial" w:cs="Arial"/>
          <w:color w:val="auto"/>
        </w:rPr>
        <w:lastRenderedPageBreak/>
        <w:t>CAPÍTULO III: MODELAMIENTO ORIENTADO A OBJETOS</w:t>
      </w:r>
      <w:bookmarkEnd w:id="53"/>
    </w:p>
    <w:p w14:paraId="79B5662D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54" w:name="_Toc235008389"/>
      <w:bookmarkStart w:id="55" w:name="descripción-de-componentes-poo"/>
      <w:r w:rsidRPr="00635639">
        <w:rPr>
          <w:rFonts w:ascii="Arial" w:hAnsi="Arial" w:cs="Arial"/>
          <w:color w:val="auto"/>
        </w:rPr>
        <w:t>3.1 Descripción de componentes POO</w:t>
      </w:r>
      <w:bookmarkEnd w:id="54"/>
    </w:p>
    <w:p w14:paraId="3F1DC73B" w14:textId="2CDB1628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56" w:name="_Toc235008390"/>
      <w:bookmarkStart w:id="57" w:name="modelo-conceptual-académico"/>
      <w:r w:rsidRPr="00635639">
        <w:rPr>
          <w:rFonts w:ascii="Arial" w:hAnsi="Arial" w:cs="Arial"/>
          <w:color w:val="auto"/>
        </w:rPr>
        <w:t>3.1.1 Modelo conceptual</w:t>
      </w:r>
      <w:bookmarkEnd w:id="56"/>
      <w:r w:rsidRPr="00635639">
        <w:rPr>
          <w:rFonts w:ascii="Arial" w:hAnsi="Arial" w:cs="Arial"/>
          <w:color w:val="auto"/>
        </w:rPr>
        <w:t xml:space="preserve"> </w:t>
      </w:r>
    </w:p>
    <w:p w14:paraId="7470F81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modelo conceptual solicitado considera tres clases principales.</w:t>
      </w:r>
    </w:p>
    <w:p w14:paraId="2CE9E258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8" w:name="clase-padre-transaccion"/>
      <w:r w:rsidRPr="00635639">
        <w:rPr>
          <w:rFonts w:ascii="Arial" w:hAnsi="Arial" w:cs="Arial"/>
          <w:color w:val="auto"/>
        </w:rPr>
        <w:t xml:space="preserve">Clase padre </w:t>
      </w:r>
      <w:proofErr w:type="spellStart"/>
      <w:r w:rsidRPr="00635639">
        <w:rPr>
          <w:rStyle w:val="VerbatimChar"/>
          <w:rFonts w:ascii="Arial" w:hAnsi="Arial" w:cs="Arial"/>
          <w:color w:val="auto"/>
        </w:rPr>
        <w:t>Transaccion</w:t>
      </w:r>
      <w:proofErr w:type="spellEnd"/>
    </w:p>
    <w:p w14:paraId="239D241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Representa una operación financiera genérica asociada a una casa.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1706"/>
        <w:gridCol w:w="5512"/>
      </w:tblGrid>
      <w:tr w:rsidR="00796ED6" w:rsidRPr="00635639" w14:paraId="50EA312B" w14:textId="77777777" w:rsidTr="009B1C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06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E7F0D5A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</w:t>
            </w:r>
          </w:p>
        </w:tc>
        <w:tc>
          <w:tcPr>
            <w:tcW w:w="1492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4B3024F7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Tipo</w:t>
            </w:r>
          </w:p>
        </w:tc>
        <w:tc>
          <w:tcPr>
            <w:tcW w:w="482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1106E775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Finalidad</w:t>
            </w:r>
          </w:p>
        </w:tc>
      </w:tr>
      <w:tr w:rsidR="00796ED6" w:rsidRPr="00635639" w14:paraId="4F7F88CC" w14:textId="77777777" w:rsidTr="009B1CC4">
        <w:tc>
          <w:tcPr>
            <w:tcW w:w="1606" w:type="dxa"/>
          </w:tcPr>
          <w:p w14:paraId="436D2B4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id_casa</w:t>
            </w:r>
            <w:proofErr w:type="spellEnd"/>
          </w:p>
        </w:tc>
        <w:tc>
          <w:tcPr>
            <w:tcW w:w="1492" w:type="dxa"/>
          </w:tcPr>
          <w:p w14:paraId="4E21B81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str</w:t>
            </w:r>
            <w:proofErr w:type="spellEnd"/>
          </w:p>
        </w:tc>
        <w:tc>
          <w:tcPr>
            <w:tcW w:w="4820" w:type="dxa"/>
          </w:tcPr>
          <w:p w14:paraId="7E9FB213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Identifica la casa de apuestas.</w:t>
            </w:r>
          </w:p>
        </w:tc>
      </w:tr>
      <w:tr w:rsidR="00796ED6" w:rsidRPr="00635639" w14:paraId="491A7510" w14:textId="77777777" w:rsidTr="009B1CC4">
        <w:tc>
          <w:tcPr>
            <w:tcW w:w="1606" w:type="dxa"/>
          </w:tcPr>
          <w:p w14:paraId="6AAFEAB9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monto</w:t>
            </w:r>
          </w:p>
        </w:tc>
        <w:tc>
          <w:tcPr>
            <w:tcW w:w="1492" w:type="dxa"/>
          </w:tcPr>
          <w:p w14:paraId="79CCBBA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4820" w:type="dxa"/>
          </w:tcPr>
          <w:p w14:paraId="3E471C6E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Representa el importe de la operación.</w:t>
            </w:r>
          </w:p>
        </w:tc>
      </w:tr>
      <w:tr w:rsidR="00796ED6" w:rsidRPr="00635639" w14:paraId="6A82BD7B" w14:textId="77777777" w:rsidTr="009B1CC4">
        <w:tc>
          <w:tcPr>
            <w:tcW w:w="1606" w:type="dxa"/>
          </w:tcPr>
          <w:p w14:paraId="1709BD2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tipo_saldo</w:t>
            </w:r>
            <w:proofErr w:type="spellEnd"/>
          </w:p>
        </w:tc>
        <w:tc>
          <w:tcPr>
            <w:tcW w:w="1492" w:type="dxa"/>
          </w:tcPr>
          <w:p w14:paraId="6BA97E6A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str</w:t>
            </w:r>
            <w:proofErr w:type="spellEnd"/>
          </w:p>
        </w:tc>
        <w:tc>
          <w:tcPr>
            <w:tcW w:w="4820" w:type="dxa"/>
          </w:tcPr>
          <w:p w14:paraId="6063AA2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Indica depósito, bono o saldo retirable.</w:t>
            </w:r>
          </w:p>
        </w:tc>
      </w:tr>
      <w:tr w:rsidR="00796ED6" w:rsidRPr="00635639" w14:paraId="18117376" w14:textId="77777777" w:rsidTr="009B1CC4">
        <w:tc>
          <w:tcPr>
            <w:tcW w:w="1606" w:type="dxa"/>
          </w:tcPr>
          <w:p w14:paraId="34ABFD70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__</w:t>
            </w:r>
            <w:proofErr w:type="spellStart"/>
            <w:r w:rsidRPr="00635639">
              <w:rPr>
                <w:rStyle w:val="VerbatimChar"/>
                <w:rFonts w:ascii="Arial" w:hAnsi="Arial" w:cs="Arial"/>
              </w:rPr>
              <w:t>init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_(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1492" w:type="dxa"/>
          </w:tcPr>
          <w:p w14:paraId="45267ECA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Constructor</w:t>
            </w:r>
          </w:p>
        </w:tc>
        <w:tc>
          <w:tcPr>
            <w:tcW w:w="4820" w:type="dxa"/>
          </w:tcPr>
          <w:p w14:paraId="70DAE1B3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Normaliza atributos y valida el monto.</w:t>
            </w:r>
          </w:p>
        </w:tc>
      </w:tr>
    </w:tbl>
    <w:p w14:paraId="70872AD7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9" w:name="clase-hija-conceptual-registroapuesta"/>
      <w:bookmarkEnd w:id="58"/>
      <w:r w:rsidRPr="00635639">
        <w:rPr>
          <w:rFonts w:ascii="Arial" w:hAnsi="Arial" w:cs="Arial"/>
          <w:color w:val="auto"/>
        </w:rPr>
        <w:t xml:space="preserve">Clase hija conceptual </w:t>
      </w:r>
      <w:proofErr w:type="spellStart"/>
      <w:r w:rsidRPr="00635639">
        <w:rPr>
          <w:rStyle w:val="VerbatimChar"/>
          <w:rFonts w:ascii="Arial" w:hAnsi="Arial" w:cs="Arial"/>
          <w:color w:val="auto"/>
        </w:rPr>
        <w:t>RegistroApuesta</w:t>
      </w:r>
      <w:proofErr w:type="spellEnd"/>
    </w:p>
    <w:p w14:paraId="0C83640F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Especializa una transacción para representar una apuesta.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796ED6" w:rsidRPr="00635639" w14:paraId="6D3FB601" w14:textId="77777777" w:rsidTr="009B1C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27A240EF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16A1CE1E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Tipo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86D1EB4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Finalidad</w:t>
            </w:r>
          </w:p>
        </w:tc>
      </w:tr>
      <w:tr w:rsidR="00796ED6" w:rsidRPr="00635639" w14:paraId="1303820B" w14:textId="77777777" w:rsidTr="009B1CC4">
        <w:tc>
          <w:tcPr>
            <w:tcW w:w="2640" w:type="dxa"/>
          </w:tcPr>
          <w:p w14:paraId="403643AB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cuota</w:t>
            </w:r>
          </w:p>
        </w:tc>
        <w:tc>
          <w:tcPr>
            <w:tcW w:w="2640" w:type="dxa"/>
          </w:tcPr>
          <w:p w14:paraId="7CCEC1F9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2640" w:type="dxa"/>
          </w:tcPr>
          <w:p w14:paraId="22F458E8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Cuota decimal de la apuesta.</w:t>
            </w:r>
          </w:p>
        </w:tc>
      </w:tr>
      <w:tr w:rsidR="00796ED6" w:rsidRPr="00635639" w14:paraId="62A6E01D" w14:textId="77777777" w:rsidTr="009B1CC4">
        <w:tc>
          <w:tcPr>
            <w:tcW w:w="2640" w:type="dxa"/>
          </w:tcPr>
          <w:p w14:paraId="08A09799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resultado</w:t>
            </w:r>
          </w:p>
        </w:tc>
        <w:tc>
          <w:tcPr>
            <w:tcW w:w="2640" w:type="dxa"/>
          </w:tcPr>
          <w:p w14:paraId="13E47385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str</w:t>
            </w:r>
            <w:proofErr w:type="spellEnd"/>
          </w:p>
        </w:tc>
        <w:tc>
          <w:tcPr>
            <w:tcW w:w="2640" w:type="dxa"/>
          </w:tcPr>
          <w:p w14:paraId="3E306BDD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 xml:space="preserve">Resultado conceptual: pendiente, ganada, perdida, anulada o cash </w:t>
            </w:r>
            <w:proofErr w:type="spellStart"/>
            <w:r w:rsidRPr="00635639">
              <w:rPr>
                <w:rFonts w:ascii="Arial" w:hAnsi="Arial" w:cs="Arial"/>
              </w:rPr>
              <w:t>out</w:t>
            </w:r>
            <w:proofErr w:type="spellEnd"/>
            <w:r w:rsidRPr="00635639">
              <w:rPr>
                <w:rFonts w:ascii="Arial" w:hAnsi="Arial" w:cs="Arial"/>
              </w:rPr>
              <w:t>.</w:t>
            </w:r>
          </w:p>
        </w:tc>
      </w:tr>
      <w:tr w:rsidR="00796ED6" w:rsidRPr="00635639" w14:paraId="5A7CC41A" w14:textId="77777777" w:rsidTr="009B1CC4">
        <w:tc>
          <w:tcPr>
            <w:tcW w:w="2640" w:type="dxa"/>
          </w:tcPr>
          <w:p w14:paraId="36F0A8C7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calcular_flujo_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neto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2640" w:type="dxa"/>
          </w:tcPr>
          <w:p w14:paraId="4987B7E1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Método conceptual</w:t>
            </w:r>
          </w:p>
        </w:tc>
        <w:tc>
          <w:tcPr>
            <w:tcW w:w="2640" w:type="dxa"/>
          </w:tcPr>
          <w:p w14:paraId="76A6078E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Calcula ganancia neta o pérdida según monto, cuota y resultado.</w:t>
            </w:r>
          </w:p>
        </w:tc>
      </w:tr>
    </w:tbl>
    <w:p w14:paraId="7F7BFA79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60" w:name="Xc37ed8755e83ebf2fe4693aadb76a265d0718ae"/>
      <w:bookmarkEnd w:id="59"/>
      <w:r w:rsidRPr="00635639">
        <w:rPr>
          <w:rFonts w:ascii="Arial" w:hAnsi="Arial" w:cs="Arial"/>
          <w:color w:val="auto"/>
        </w:rPr>
        <w:lastRenderedPageBreak/>
        <w:t xml:space="preserve">Servicio conceptual </w:t>
      </w:r>
      <w:proofErr w:type="spellStart"/>
      <w:r w:rsidRPr="00635639">
        <w:rPr>
          <w:rStyle w:val="VerbatimChar"/>
          <w:rFonts w:ascii="Arial" w:hAnsi="Arial" w:cs="Arial"/>
          <w:color w:val="auto"/>
        </w:rPr>
        <w:t>AnalizadorInversiones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796ED6" w:rsidRPr="00635639" w14:paraId="51E5E380" w14:textId="77777777" w:rsidTr="009B1C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244FCC6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3BA22BD8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Tipo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778D73B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Finalidad</w:t>
            </w:r>
          </w:p>
        </w:tc>
      </w:tr>
      <w:tr w:rsidR="00796ED6" w:rsidRPr="00635639" w14:paraId="34A7EA1B" w14:textId="77777777" w:rsidTr="009B1CC4">
        <w:tc>
          <w:tcPr>
            <w:tcW w:w="2640" w:type="dxa"/>
          </w:tcPr>
          <w:p w14:paraId="7B55830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id_usuario</w:t>
            </w:r>
            <w:proofErr w:type="spellEnd"/>
          </w:p>
        </w:tc>
        <w:tc>
          <w:tcPr>
            <w:tcW w:w="2640" w:type="dxa"/>
          </w:tcPr>
          <w:p w14:paraId="1A8FD7F1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int</w:t>
            </w:r>
            <w:proofErr w:type="spellEnd"/>
          </w:p>
        </w:tc>
        <w:tc>
          <w:tcPr>
            <w:tcW w:w="2640" w:type="dxa"/>
          </w:tcPr>
          <w:p w14:paraId="1B5C07E7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Delimita los datos que pueden ser analizados.</w:t>
            </w:r>
          </w:p>
        </w:tc>
      </w:tr>
      <w:tr w:rsidR="00796ED6" w:rsidRPr="00635639" w14:paraId="1B25D4AF" w14:textId="77777777" w:rsidTr="009B1CC4">
        <w:tc>
          <w:tcPr>
            <w:tcW w:w="2640" w:type="dxa"/>
          </w:tcPr>
          <w:p w14:paraId="28CCE8B3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evaluar_riesgo_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numpy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2640" w:type="dxa"/>
          </w:tcPr>
          <w:p w14:paraId="5807DB2A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Método conceptual</w:t>
            </w:r>
          </w:p>
        </w:tc>
        <w:tc>
          <w:tcPr>
            <w:tcW w:w="2640" w:type="dxa"/>
          </w:tcPr>
          <w:p w14:paraId="406FC6AE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Ejecuta métricas vectorizadas y reglas de alerta.</w:t>
            </w:r>
          </w:p>
        </w:tc>
      </w:tr>
      <w:tr w:rsidR="00796ED6" w:rsidRPr="00635639" w14:paraId="7216DCF2" w14:textId="77777777" w:rsidTr="009B1CC4">
        <w:tc>
          <w:tcPr>
            <w:tcW w:w="2640" w:type="dxa"/>
          </w:tcPr>
          <w:p w14:paraId="155CFE6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generar_reporte_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pandas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2640" w:type="dxa"/>
          </w:tcPr>
          <w:p w14:paraId="2B97FA60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Método conceptual</w:t>
            </w:r>
          </w:p>
        </w:tc>
        <w:tc>
          <w:tcPr>
            <w:tcW w:w="2640" w:type="dxa"/>
          </w:tcPr>
          <w:p w14:paraId="006D09A0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Construye el reporte tabular del usuario.</w:t>
            </w:r>
          </w:p>
        </w:tc>
      </w:tr>
    </w:tbl>
    <w:p w14:paraId="2D2E8674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61" w:name="_Toc235008391"/>
      <w:bookmarkStart w:id="62" w:name="modelamiento-uml"/>
      <w:bookmarkEnd w:id="55"/>
      <w:bookmarkEnd w:id="57"/>
      <w:bookmarkEnd w:id="60"/>
      <w:r w:rsidRPr="00635639">
        <w:rPr>
          <w:rFonts w:ascii="Arial" w:hAnsi="Arial" w:cs="Arial"/>
          <w:color w:val="auto"/>
        </w:rPr>
        <w:t>3.2 Modelamiento UML</w:t>
      </w:r>
      <w:bookmarkEnd w:id="61"/>
    </w:p>
    <w:p w14:paraId="6CE8D49F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63" w:name="_Toc235008392"/>
      <w:bookmarkStart w:id="64" w:name="uml-conceptual-del-proyecto"/>
      <w:r w:rsidRPr="00635639">
        <w:rPr>
          <w:rFonts w:ascii="Arial" w:hAnsi="Arial" w:cs="Arial"/>
          <w:color w:val="auto"/>
        </w:rPr>
        <w:t>3.2.1 UML conceptual del proyecto</w:t>
      </w:r>
      <w:bookmarkEnd w:id="63"/>
    </w:p>
    <w:p w14:paraId="3B31D8B7" w14:textId="1767D0A3" w:rsidR="00796ED6" w:rsidRPr="00635639" w:rsidRDefault="00000000" w:rsidP="009B1CC4">
      <w:pPr>
        <w:pStyle w:val="SourceCode"/>
        <w:spacing w:line="360" w:lineRule="auto"/>
        <w:jc w:val="center"/>
        <w:rPr>
          <w:rFonts w:ascii="Arial" w:hAnsi="Arial" w:cs="Arial"/>
        </w:rPr>
      </w:pPr>
      <w:r w:rsidRPr="00635639">
        <w:rPr>
          <w:rFonts w:ascii="Arial" w:hAnsi="Arial" w:cs="Arial"/>
        </w:rPr>
        <w:br/>
      </w:r>
      <w:r w:rsidR="009B1CC4">
        <w:rPr>
          <w:noProof/>
        </w:rPr>
        <w:drawing>
          <wp:inline distT="0" distB="0" distL="0" distR="0" wp14:anchorId="0B0250A0" wp14:editId="1A3CD926">
            <wp:extent cx="6105309" cy="4457700"/>
            <wp:effectExtent l="0" t="0" r="0" b="0"/>
            <wp:docPr id="1258106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06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2135" cy="446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AF3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65" w:name="_Toc235008393"/>
      <w:bookmarkStart w:id="66" w:name="X6573061e306215556a8d4da98b6cb069a6aa00a"/>
      <w:bookmarkEnd w:id="64"/>
      <w:r w:rsidRPr="00635639">
        <w:rPr>
          <w:rFonts w:ascii="Arial" w:hAnsi="Arial" w:cs="Arial"/>
          <w:color w:val="auto"/>
        </w:rPr>
        <w:lastRenderedPageBreak/>
        <w:t>3.2.2 UML de trazabilidad de la implementación final</w:t>
      </w:r>
      <w:bookmarkEnd w:id="65"/>
    </w:p>
    <w:p w14:paraId="5F747B95" w14:textId="6EFFCCA9" w:rsidR="00796ED6" w:rsidRPr="00635639" w:rsidRDefault="00000000" w:rsidP="00635639">
      <w:pPr>
        <w:pStyle w:val="SourceCod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br/>
      </w:r>
      <w:r w:rsidR="009B1CC4">
        <w:rPr>
          <w:noProof/>
        </w:rPr>
        <w:drawing>
          <wp:inline distT="0" distB="0" distL="0" distR="0" wp14:anchorId="5E29B3B9" wp14:editId="26FE039A">
            <wp:extent cx="5810250" cy="6158678"/>
            <wp:effectExtent l="0" t="0" r="0" b="0"/>
            <wp:docPr id="1876531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31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952" cy="616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52"/>
    <w:bookmarkEnd w:id="62"/>
    <w:bookmarkEnd w:id="66"/>
    <w:p w14:paraId="12B5F759" w14:textId="2B336D96" w:rsidR="00796ED6" w:rsidRPr="00635639" w:rsidRDefault="00796ED6" w:rsidP="00635639">
      <w:pPr>
        <w:spacing w:line="360" w:lineRule="auto"/>
        <w:rPr>
          <w:rFonts w:ascii="Arial" w:hAnsi="Arial" w:cs="Arial"/>
        </w:rPr>
      </w:pPr>
    </w:p>
    <w:sectPr w:rsidR="00796ED6" w:rsidRPr="0063563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9C23E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C8C8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58437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27419340">
    <w:abstractNumId w:val="0"/>
  </w:num>
  <w:num w:numId="2" w16cid:durableId="1838378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1713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90341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02618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64973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62945970">
    <w:abstractNumId w:val="1"/>
  </w:num>
  <w:num w:numId="8" w16cid:durableId="12900926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16469018">
    <w:abstractNumId w:val="1"/>
  </w:num>
  <w:num w:numId="10" w16cid:durableId="792748423">
    <w:abstractNumId w:val="1"/>
  </w:num>
  <w:num w:numId="11" w16cid:durableId="205723963">
    <w:abstractNumId w:val="1"/>
  </w:num>
  <w:num w:numId="12" w16cid:durableId="889072001">
    <w:abstractNumId w:val="1"/>
  </w:num>
  <w:num w:numId="13" w16cid:durableId="57479181">
    <w:abstractNumId w:val="1"/>
  </w:num>
  <w:num w:numId="14" w16cid:durableId="907880524">
    <w:abstractNumId w:val="1"/>
  </w:num>
  <w:num w:numId="15" w16cid:durableId="1878663134">
    <w:abstractNumId w:val="1"/>
  </w:num>
  <w:num w:numId="16" w16cid:durableId="643238678">
    <w:abstractNumId w:val="1"/>
  </w:num>
  <w:num w:numId="17" w16cid:durableId="1059937764">
    <w:abstractNumId w:val="1"/>
  </w:num>
  <w:num w:numId="18" w16cid:durableId="802432272">
    <w:abstractNumId w:val="1"/>
  </w:num>
  <w:num w:numId="19" w16cid:durableId="1992557485">
    <w:abstractNumId w:val="1"/>
  </w:num>
  <w:num w:numId="20" w16cid:durableId="1211722399">
    <w:abstractNumId w:val="1"/>
  </w:num>
  <w:num w:numId="21" w16cid:durableId="329992818">
    <w:abstractNumId w:val="1"/>
  </w:num>
  <w:num w:numId="22" w16cid:durableId="747919402">
    <w:abstractNumId w:val="1"/>
  </w:num>
  <w:num w:numId="23" w16cid:durableId="1086733387">
    <w:abstractNumId w:val="1"/>
  </w:num>
  <w:num w:numId="24" w16cid:durableId="446506879">
    <w:abstractNumId w:val="1"/>
  </w:num>
  <w:num w:numId="25" w16cid:durableId="11429670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94518030">
    <w:abstractNumId w:val="1"/>
  </w:num>
  <w:num w:numId="27" w16cid:durableId="877861364">
    <w:abstractNumId w:val="1"/>
  </w:num>
  <w:num w:numId="28" w16cid:durableId="1722631791">
    <w:abstractNumId w:val="1"/>
  </w:num>
  <w:num w:numId="29" w16cid:durableId="6780469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01623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742917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0659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6ED6"/>
    <w:rsid w:val="000C47BB"/>
    <w:rsid w:val="00117542"/>
    <w:rsid w:val="00241357"/>
    <w:rsid w:val="002D7F7D"/>
    <w:rsid w:val="00364A5A"/>
    <w:rsid w:val="00400878"/>
    <w:rsid w:val="00414341"/>
    <w:rsid w:val="004D4F47"/>
    <w:rsid w:val="005041F3"/>
    <w:rsid w:val="00507057"/>
    <w:rsid w:val="005A1095"/>
    <w:rsid w:val="00635639"/>
    <w:rsid w:val="00687B19"/>
    <w:rsid w:val="006C1ADB"/>
    <w:rsid w:val="007161C2"/>
    <w:rsid w:val="00796ED6"/>
    <w:rsid w:val="007D3AD3"/>
    <w:rsid w:val="00847D85"/>
    <w:rsid w:val="009B086A"/>
    <w:rsid w:val="009B1CC4"/>
    <w:rsid w:val="00BC6B26"/>
    <w:rsid w:val="00DE038B"/>
    <w:rsid w:val="00EF0622"/>
    <w:rsid w:val="00F832FF"/>
    <w:rsid w:val="00F9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AC2800"/>
  <w15:docId w15:val="{16B2836B-5896-4CB8-B676-A14CC1C62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2">
    <w:name w:val="toc 2"/>
    <w:basedOn w:val="Normal"/>
    <w:next w:val="Normal"/>
    <w:autoRedefine/>
    <w:uiPriority w:val="39"/>
    <w:rsid w:val="004D4F47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4D4F47"/>
    <w:pPr>
      <w:spacing w:after="100"/>
      <w:ind w:left="480"/>
    </w:pPr>
  </w:style>
  <w:style w:type="paragraph" w:styleId="TDC1">
    <w:name w:val="toc 1"/>
    <w:basedOn w:val="Normal"/>
    <w:next w:val="Normal"/>
    <w:autoRedefine/>
    <w:uiPriority w:val="39"/>
    <w:rsid w:val="004D4F4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00260-CB5C-4EC6-B422-DDD42152B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18</Pages>
  <Words>2894</Words>
  <Characters>15920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Pablo Humberto Girao Breña</cp:lastModifiedBy>
  <cp:revision>11</cp:revision>
  <dcterms:created xsi:type="dcterms:W3CDTF">2026-07-15T05:49:00Z</dcterms:created>
  <dcterms:modified xsi:type="dcterms:W3CDTF">2026-07-15T19:31:00Z</dcterms:modified>
</cp:coreProperties>
</file>