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1A66" w:rsidRPr="00DC1A66" w:rsidRDefault="00DC1A66" w:rsidP="00DC1A66">
      <w:pPr>
        <w:spacing w:before="120" w:after="120" w:line="240" w:lineRule="auto"/>
        <w:jc w:val="both"/>
        <w:rPr>
          <w:rFonts w:eastAsia="Times New Roman" w:cstheme="minorHAnsi"/>
          <w:b/>
          <w:bCs/>
          <w:color w:val="FF0000"/>
          <w:lang w:eastAsia="pt-BR"/>
        </w:rPr>
      </w:pPr>
      <w:r w:rsidRPr="00DC1A66">
        <w:rPr>
          <w:rFonts w:eastAsia="Times New Roman" w:cstheme="minorHAnsi"/>
          <w:b/>
          <w:bCs/>
          <w:color w:val="FF0000"/>
          <w:lang w:eastAsia="pt-BR"/>
        </w:rPr>
        <w:t>CONSOLIDAÇÃO: LRF + CARTILHA ELEITORAL PGE/MT —</w:t>
      </w:r>
      <w:r w:rsidR="00A85DC9">
        <w:rPr>
          <w:rFonts w:eastAsia="Times New Roman" w:cstheme="minorHAnsi"/>
          <w:b/>
          <w:bCs/>
          <w:color w:val="FF0000"/>
          <w:lang w:eastAsia="pt-BR"/>
        </w:rPr>
        <w:t xml:space="preserve"> </w:t>
      </w:r>
      <w:bookmarkStart w:id="0" w:name="_GoBack"/>
      <w:bookmarkEnd w:id="0"/>
      <w:r w:rsidRPr="00DC1A66">
        <w:rPr>
          <w:rFonts w:eastAsia="Times New Roman" w:cstheme="minorHAnsi"/>
          <w:b/>
          <w:bCs/>
          <w:color w:val="FF0000"/>
          <w:lang w:eastAsia="pt-BR"/>
        </w:rPr>
        <w:t>NOVO PCCS DA ALMT</w:t>
      </w:r>
    </w:p>
    <w:p w:rsidR="00DC1A66" w:rsidRPr="00DC1A66" w:rsidRDefault="00DC1A66" w:rsidP="00DC1A66">
      <w:pPr>
        <w:spacing w:before="120" w:after="120" w:line="240" w:lineRule="auto"/>
        <w:jc w:val="both"/>
        <w:rPr>
          <w:rFonts w:eastAsia="Times New Roman" w:cstheme="minorHAnsi"/>
          <w:b/>
          <w:bCs/>
          <w:lang w:eastAsia="pt-BR"/>
        </w:rPr>
      </w:pPr>
      <w:r w:rsidRPr="00DC1A66">
        <w:rPr>
          <w:rFonts w:eastAsia="Times New Roman" w:cstheme="minorHAnsi"/>
          <w:b/>
          <w:bCs/>
          <w:lang w:eastAsia="pt-BR"/>
        </w:rPr>
        <w:t>O cenário</w:t>
      </w:r>
    </w:p>
    <w:p w:rsidR="00DC1A66" w:rsidRPr="00DC1A66" w:rsidRDefault="00DC1A66" w:rsidP="00DC1A66">
      <w:pPr>
        <w:spacing w:before="120" w:after="120" w:line="240" w:lineRule="auto"/>
        <w:jc w:val="both"/>
        <w:rPr>
          <w:rFonts w:eastAsia="Times New Roman" w:cstheme="minorHAnsi"/>
          <w:lang w:eastAsia="pt-BR"/>
        </w:rPr>
      </w:pPr>
      <w:r w:rsidRPr="00DC1A66">
        <w:rPr>
          <w:rFonts w:eastAsia="Times New Roman" w:cstheme="minorHAnsi"/>
          <w:lang w:eastAsia="pt-BR"/>
        </w:rPr>
        <w:t xml:space="preserve">Um novo PCCS para a ALMT, aprovado em 2026 com efeitos financeiros a partir de 2027, precisa navegar </w:t>
      </w:r>
      <w:r w:rsidRPr="00DC1A66">
        <w:rPr>
          <w:rFonts w:eastAsia="Times New Roman" w:cstheme="minorHAnsi"/>
          <w:b/>
          <w:bCs/>
          <w:lang w:eastAsia="pt-BR"/>
        </w:rPr>
        <w:t>dois regimes jurídicos simultâneos</w:t>
      </w:r>
      <w:r w:rsidRPr="00DC1A66">
        <w:rPr>
          <w:rFonts w:eastAsia="Times New Roman" w:cstheme="minorHAnsi"/>
          <w:lang w:eastAsia="pt-BR"/>
        </w:rPr>
        <w:t>: as restrições fiscais da LRF e as restrições eleitorais da Lei nº 9.504/1997, conforme interpretadas pelo TSE e sistematizadas pela PGE/MT.</w:t>
      </w:r>
    </w:p>
    <w:p w:rsidR="00DC1A66" w:rsidRPr="00DC1A66" w:rsidRDefault="00DC1A66" w:rsidP="00DC1A66">
      <w:pPr>
        <w:spacing w:before="120" w:after="120" w:line="240" w:lineRule="auto"/>
        <w:jc w:val="both"/>
        <w:rPr>
          <w:rFonts w:eastAsia="Times New Roman" w:cstheme="minorHAnsi"/>
          <w:b/>
          <w:bCs/>
          <w:color w:val="0000FF"/>
          <w:lang w:eastAsia="pt-BR"/>
        </w:rPr>
      </w:pPr>
      <w:r w:rsidRPr="00DC1A66">
        <w:rPr>
          <w:rFonts w:eastAsia="Times New Roman" w:cstheme="minorHAnsi"/>
          <w:b/>
          <w:bCs/>
          <w:color w:val="0000FF"/>
          <w:lang w:eastAsia="pt-BR"/>
        </w:rPr>
        <w:t>1. O que a LRF impõe</w:t>
      </w:r>
    </w:p>
    <w:p w:rsidR="00DC1A66" w:rsidRPr="00DC1A66" w:rsidRDefault="00DC1A66" w:rsidP="00DC1A66">
      <w:pPr>
        <w:spacing w:before="120" w:after="120" w:line="240" w:lineRule="auto"/>
        <w:jc w:val="both"/>
        <w:rPr>
          <w:rFonts w:eastAsia="Times New Roman" w:cstheme="minorHAnsi"/>
          <w:lang w:eastAsia="pt-BR"/>
        </w:rPr>
      </w:pPr>
      <w:r w:rsidRPr="00DC1A66">
        <w:rPr>
          <w:rFonts w:eastAsia="Times New Roman" w:cstheme="minorHAnsi"/>
          <w:lang w:eastAsia="pt-BR"/>
        </w:rPr>
        <w:t xml:space="preserve">A aprovação é válida desde que ocorra </w:t>
      </w:r>
      <w:r w:rsidRPr="00DC1A66">
        <w:rPr>
          <w:rFonts w:eastAsia="Times New Roman" w:cstheme="minorHAnsi"/>
          <w:b/>
          <w:bCs/>
          <w:lang w:eastAsia="pt-BR"/>
        </w:rPr>
        <w:t>antes de 4 de julho de 2026</w:t>
      </w:r>
      <w:r w:rsidRPr="00DC1A66">
        <w:rPr>
          <w:rFonts w:eastAsia="Times New Roman" w:cstheme="minorHAnsi"/>
          <w:lang w:eastAsia="pt-BR"/>
        </w:rPr>
        <w:t xml:space="preserve"> — o marco dos 180 dias finais do mandato do Governador. A partir dessa data, o ato é </w:t>
      </w:r>
      <w:r w:rsidRPr="00DC1A66">
        <w:rPr>
          <w:rFonts w:eastAsia="Times New Roman" w:cstheme="minorHAnsi"/>
          <w:b/>
          <w:bCs/>
          <w:lang w:eastAsia="pt-BR"/>
        </w:rPr>
        <w:t>nulo de pleno direito</w:t>
      </w:r>
      <w:r w:rsidRPr="00DC1A66">
        <w:rPr>
          <w:rFonts w:eastAsia="Times New Roman" w:cstheme="minorHAnsi"/>
          <w:lang w:eastAsia="pt-BR"/>
        </w:rPr>
        <w:t xml:space="preserve"> (art. 21, IV da LRF), independentemente de os efeitos financeiros serem projetados para 2027.</w:t>
      </w:r>
    </w:p>
    <w:p w:rsidR="00DC1A66" w:rsidRPr="00DC1A66" w:rsidRDefault="00DC1A66" w:rsidP="00DC1A66">
      <w:pPr>
        <w:spacing w:before="120" w:after="120" w:line="240" w:lineRule="auto"/>
        <w:jc w:val="both"/>
        <w:rPr>
          <w:rFonts w:eastAsia="Times New Roman" w:cstheme="minorHAnsi"/>
          <w:lang w:eastAsia="pt-BR"/>
        </w:rPr>
      </w:pPr>
      <w:r w:rsidRPr="00DC1A66">
        <w:rPr>
          <w:rFonts w:eastAsia="Times New Roman" w:cstheme="minorHAnsi"/>
          <w:lang w:eastAsia="pt-BR"/>
        </w:rPr>
        <w:t>Além disso, a lei exige que a proposta venha acompanhada de estimativa de impacto orçamentário-financeiro e demonstração de adequação à LOA e compatibilidade com o PPA e a LDO.</w:t>
      </w:r>
    </w:p>
    <w:p w:rsidR="00DC1A66" w:rsidRPr="00DC1A66" w:rsidRDefault="00DC1A66" w:rsidP="00DC1A66">
      <w:pPr>
        <w:spacing w:before="120" w:after="120" w:line="240" w:lineRule="auto"/>
        <w:jc w:val="both"/>
        <w:rPr>
          <w:rFonts w:eastAsia="Times New Roman" w:cstheme="minorHAnsi"/>
          <w:b/>
          <w:bCs/>
          <w:color w:val="0000FF"/>
          <w:lang w:eastAsia="pt-BR"/>
        </w:rPr>
      </w:pPr>
      <w:r w:rsidRPr="00DC1A66">
        <w:rPr>
          <w:rFonts w:eastAsia="Times New Roman" w:cstheme="minorHAnsi"/>
          <w:b/>
          <w:bCs/>
          <w:color w:val="0000FF"/>
          <w:lang w:eastAsia="pt-BR"/>
        </w:rPr>
        <w:t>2. O que a legislação eleitoral impõe</w:t>
      </w:r>
    </w:p>
    <w:p w:rsidR="00DC1A66" w:rsidRPr="00DC1A66" w:rsidRDefault="00DC1A66" w:rsidP="00DC1A66">
      <w:pPr>
        <w:spacing w:before="120" w:after="120" w:line="240" w:lineRule="auto"/>
        <w:jc w:val="both"/>
        <w:rPr>
          <w:rFonts w:eastAsia="Times New Roman" w:cstheme="minorHAnsi"/>
          <w:lang w:eastAsia="pt-BR"/>
        </w:rPr>
      </w:pPr>
      <w:r w:rsidRPr="00DC1A66">
        <w:rPr>
          <w:rFonts w:eastAsia="Times New Roman" w:cstheme="minorHAnsi"/>
          <w:lang w:eastAsia="pt-BR"/>
        </w:rPr>
        <w:t>A Cartilha Eleitoral 2024 da PGE/MT, com base na jurisprudência do TSE, traz uma distinção essencial:</w:t>
      </w:r>
    </w:p>
    <w:p w:rsidR="00DC1A66" w:rsidRPr="00DC1A66" w:rsidRDefault="00DC1A66" w:rsidP="00DC1A66">
      <w:pPr>
        <w:numPr>
          <w:ilvl w:val="0"/>
          <w:numId w:val="1"/>
        </w:numPr>
        <w:spacing w:before="120" w:after="120" w:line="240" w:lineRule="auto"/>
        <w:ind w:left="0" w:firstLine="0"/>
        <w:jc w:val="both"/>
        <w:rPr>
          <w:rFonts w:eastAsia="Times New Roman" w:cstheme="minorHAnsi"/>
          <w:lang w:eastAsia="pt-BR"/>
        </w:rPr>
      </w:pPr>
      <w:r w:rsidRPr="00DC1A66">
        <w:rPr>
          <w:rFonts w:eastAsia="Times New Roman" w:cstheme="minorHAnsi"/>
          <w:b/>
          <w:bCs/>
          <w:lang w:eastAsia="pt-BR"/>
        </w:rPr>
        <w:t>Reestruturação de carreira</w:t>
      </w:r>
      <w:r w:rsidRPr="00DC1A66">
        <w:rPr>
          <w:rFonts w:eastAsia="Times New Roman" w:cstheme="minorHAnsi"/>
          <w:lang w:eastAsia="pt-BR"/>
        </w:rPr>
        <w:t xml:space="preserve"> por via legislativa </w:t>
      </w:r>
      <w:r w:rsidRPr="00DC1A66">
        <w:rPr>
          <w:rFonts w:eastAsia="Times New Roman" w:cstheme="minorHAnsi"/>
          <w:b/>
          <w:bCs/>
          <w:lang w:eastAsia="pt-BR"/>
        </w:rPr>
        <w:t>não é impedida</w:t>
      </w:r>
      <w:r w:rsidRPr="00DC1A66">
        <w:rPr>
          <w:rFonts w:eastAsia="Times New Roman" w:cstheme="minorHAnsi"/>
          <w:lang w:eastAsia="pt-BR"/>
        </w:rPr>
        <w:t xml:space="preserve"> pelo período eleitoral — não se confunde com revisão geral de remuneração.</w:t>
      </w:r>
    </w:p>
    <w:p w:rsidR="00DC1A66" w:rsidRPr="00DC1A66" w:rsidRDefault="00DC1A66" w:rsidP="00DC1A66">
      <w:pPr>
        <w:numPr>
          <w:ilvl w:val="0"/>
          <w:numId w:val="1"/>
        </w:numPr>
        <w:spacing w:before="120" w:after="120" w:line="240" w:lineRule="auto"/>
        <w:ind w:left="0" w:firstLine="0"/>
        <w:jc w:val="both"/>
        <w:rPr>
          <w:rFonts w:eastAsia="Times New Roman" w:cstheme="minorHAnsi"/>
          <w:lang w:eastAsia="pt-BR"/>
        </w:rPr>
      </w:pPr>
      <w:r w:rsidRPr="00DC1A66">
        <w:rPr>
          <w:rFonts w:eastAsia="Times New Roman" w:cstheme="minorHAnsi"/>
          <w:lang w:eastAsia="pt-BR"/>
        </w:rPr>
        <w:t xml:space="preserve">Porém, o TSE </w:t>
      </w:r>
      <w:r w:rsidRPr="00DC1A66">
        <w:rPr>
          <w:rFonts w:eastAsia="Times New Roman" w:cstheme="minorHAnsi"/>
          <w:b/>
          <w:bCs/>
          <w:lang w:eastAsia="pt-BR"/>
        </w:rPr>
        <w:t>avalia caso a caso</w:t>
      </w:r>
      <w:r w:rsidRPr="00DC1A66">
        <w:rPr>
          <w:rFonts w:eastAsia="Times New Roman" w:cstheme="minorHAnsi"/>
          <w:lang w:eastAsia="pt-BR"/>
        </w:rPr>
        <w:t xml:space="preserve"> se a reestruturação não é um "sucedâneo" — ou seja, um disfarce para concessão de aumento real de salários com fins eleitoreiros.</w:t>
      </w:r>
    </w:p>
    <w:p w:rsidR="00DC1A66" w:rsidRPr="00DC1A66" w:rsidRDefault="00DC1A66" w:rsidP="00DC1A66">
      <w:pPr>
        <w:spacing w:before="120" w:after="120" w:line="240" w:lineRule="auto"/>
        <w:jc w:val="both"/>
        <w:rPr>
          <w:rFonts w:eastAsia="Times New Roman" w:cstheme="minorHAnsi"/>
          <w:lang w:eastAsia="pt-BR"/>
        </w:rPr>
      </w:pPr>
      <w:r w:rsidRPr="00DC1A66">
        <w:rPr>
          <w:rFonts w:eastAsia="Times New Roman" w:cstheme="minorHAnsi"/>
          <w:lang w:eastAsia="pt-BR"/>
        </w:rPr>
        <w:t>Os prazos críticos de 2026 são:</w:t>
      </w:r>
    </w:p>
    <w:p w:rsidR="00DC1A66" w:rsidRPr="00DC1A66" w:rsidRDefault="00DC1A66" w:rsidP="00DC1A66">
      <w:pPr>
        <w:numPr>
          <w:ilvl w:val="0"/>
          <w:numId w:val="2"/>
        </w:numPr>
        <w:spacing w:before="120" w:after="120" w:line="240" w:lineRule="auto"/>
        <w:ind w:left="0" w:firstLine="0"/>
        <w:jc w:val="both"/>
        <w:rPr>
          <w:rFonts w:eastAsia="Times New Roman" w:cstheme="minorHAnsi"/>
          <w:lang w:eastAsia="pt-BR"/>
        </w:rPr>
      </w:pPr>
      <w:r w:rsidRPr="00DC1A66">
        <w:rPr>
          <w:rFonts w:eastAsia="Times New Roman" w:cstheme="minorHAnsi"/>
          <w:b/>
          <w:bCs/>
          <w:lang w:eastAsia="pt-BR"/>
        </w:rPr>
        <w:t>9 de abril de 2026</w:t>
      </w:r>
      <w:r w:rsidRPr="00DC1A66">
        <w:rPr>
          <w:rFonts w:eastAsia="Times New Roman" w:cstheme="minorHAnsi"/>
          <w:lang w:eastAsia="pt-BR"/>
        </w:rPr>
        <w:t>: início da vedação de reajustes que excedam a recomposição inflacionária.</w:t>
      </w:r>
    </w:p>
    <w:p w:rsidR="00DC1A66" w:rsidRPr="00DC1A66" w:rsidRDefault="00DC1A66" w:rsidP="00DC1A66">
      <w:pPr>
        <w:numPr>
          <w:ilvl w:val="0"/>
          <w:numId w:val="2"/>
        </w:numPr>
        <w:spacing w:before="120" w:after="120" w:line="240" w:lineRule="auto"/>
        <w:ind w:left="0" w:firstLine="0"/>
        <w:jc w:val="both"/>
        <w:rPr>
          <w:rFonts w:eastAsia="Times New Roman" w:cstheme="minorHAnsi"/>
          <w:lang w:eastAsia="pt-BR"/>
        </w:rPr>
      </w:pPr>
      <w:r w:rsidRPr="00DC1A66">
        <w:rPr>
          <w:rFonts w:eastAsia="Times New Roman" w:cstheme="minorHAnsi"/>
          <w:b/>
          <w:bCs/>
          <w:lang w:eastAsia="pt-BR"/>
        </w:rPr>
        <w:t>6 de julho de 2026</w:t>
      </w:r>
      <w:r w:rsidRPr="00DC1A66">
        <w:rPr>
          <w:rFonts w:eastAsia="Times New Roman" w:cstheme="minorHAnsi"/>
          <w:lang w:eastAsia="pt-BR"/>
        </w:rPr>
        <w:t>: início de outras condutas vedadas (nomeações, exonerações etc.).</w:t>
      </w:r>
    </w:p>
    <w:p w:rsidR="00DC1A66" w:rsidRPr="00DC1A66" w:rsidRDefault="00DC1A66" w:rsidP="00DC1A66">
      <w:pPr>
        <w:spacing w:before="120" w:after="120" w:line="240" w:lineRule="auto"/>
        <w:jc w:val="both"/>
        <w:rPr>
          <w:rFonts w:eastAsia="Times New Roman" w:cstheme="minorHAnsi"/>
          <w:b/>
          <w:bCs/>
          <w:color w:val="0000FF"/>
          <w:lang w:eastAsia="pt-BR"/>
        </w:rPr>
      </w:pPr>
      <w:r w:rsidRPr="00DC1A66">
        <w:rPr>
          <w:rFonts w:eastAsia="Times New Roman" w:cstheme="minorHAnsi"/>
          <w:b/>
          <w:bCs/>
          <w:color w:val="0000FF"/>
          <w:lang w:eastAsia="pt-BR"/>
        </w:rPr>
        <w:t>3. A janela de segurança</w:t>
      </w:r>
    </w:p>
    <w:p w:rsidR="00DC1A66" w:rsidRPr="00DC1A66" w:rsidRDefault="00DC1A66" w:rsidP="00DC1A66">
      <w:pPr>
        <w:spacing w:before="120" w:after="120" w:line="240" w:lineRule="auto"/>
        <w:jc w:val="both"/>
        <w:rPr>
          <w:rFonts w:eastAsia="Times New Roman" w:cstheme="minorHAnsi"/>
          <w:lang w:eastAsia="pt-BR"/>
        </w:rPr>
      </w:pPr>
      <w:r w:rsidRPr="00DC1A66">
        <w:rPr>
          <w:rFonts w:eastAsia="Times New Roman" w:cstheme="minorHAnsi"/>
          <w:lang w:eastAsia="pt-BR"/>
        </w:rPr>
        <w:t xml:space="preserve">Cruzando os dois regimes jurídicos, a aprovação do novo PCCS deve ocorrer </w:t>
      </w:r>
      <w:r w:rsidRPr="00DC1A66">
        <w:rPr>
          <w:rFonts w:eastAsia="Times New Roman" w:cstheme="minorHAnsi"/>
          <w:b/>
          <w:bCs/>
          <w:lang w:eastAsia="pt-BR"/>
        </w:rPr>
        <w:t>até o dia 3 de julho de 2026</w:t>
      </w:r>
      <w:r w:rsidRPr="00DC1A66">
        <w:rPr>
          <w:rFonts w:eastAsia="Times New Roman" w:cstheme="minorHAnsi"/>
          <w:lang w:eastAsia="pt-BR"/>
        </w:rPr>
        <w:t>, data que respeita simultaneamente: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2"/>
        <w:gridCol w:w="1717"/>
        <w:gridCol w:w="2294"/>
      </w:tblGrid>
      <w:tr w:rsidR="00DC1A66" w:rsidRPr="00DC1A66" w:rsidTr="00DC1A6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C1A66" w:rsidRPr="00DC1A66" w:rsidRDefault="00DC1A66" w:rsidP="00DC1A66">
            <w:pPr>
              <w:spacing w:before="120" w:after="12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  <w:r w:rsidRPr="00DC1A66">
              <w:rPr>
                <w:rFonts w:eastAsia="Times New Roman" w:cstheme="minorHAnsi"/>
                <w:b/>
                <w:bCs/>
                <w:lang w:eastAsia="pt-BR"/>
              </w:rPr>
              <w:t>Restrição</w:t>
            </w:r>
          </w:p>
        </w:tc>
        <w:tc>
          <w:tcPr>
            <w:tcW w:w="0" w:type="auto"/>
            <w:vAlign w:val="center"/>
            <w:hideMark/>
          </w:tcPr>
          <w:p w:rsidR="00DC1A66" w:rsidRPr="00DC1A66" w:rsidRDefault="00DC1A66" w:rsidP="00DC1A66">
            <w:pPr>
              <w:spacing w:before="120" w:after="12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  <w:r w:rsidRPr="00DC1A66">
              <w:rPr>
                <w:rFonts w:eastAsia="Times New Roman" w:cstheme="minorHAnsi"/>
                <w:b/>
                <w:bCs/>
                <w:lang w:eastAsia="pt-BR"/>
              </w:rPr>
              <w:t>Data limite</w:t>
            </w:r>
          </w:p>
        </w:tc>
        <w:tc>
          <w:tcPr>
            <w:tcW w:w="0" w:type="auto"/>
            <w:vAlign w:val="center"/>
            <w:hideMark/>
          </w:tcPr>
          <w:p w:rsidR="00DC1A66" w:rsidRPr="00DC1A66" w:rsidRDefault="00DC1A66" w:rsidP="00DC1A66">
            <w:pPr>
              <w:spacing w:before="120" w:after="120" w:line="240" w:lineRule="auto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  <w:r w:rsidRPr="00DC1A66">
              <w:rPr>
                <w:rFonts w:eastAsia="Times New Roman" w:cstheme="minorHAnsi"/>
                <w:b/>
                <w:bCs/>
                <w:lang w:eastAsia="pt-BR"/>
              </w:rPr>
              <w:t>Fundamento</w:t>
            </w:r>
          </w:p>
        </w:tc>
      </w:tr>
      <w:tr w:rsidR="00DC1A66" w:rsidRPr="00DC1A66" w:rsidTr="00DC1A6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C1A66" w:rsidRPr="00DC1A66" w:rsidRDefault="00DC1A66" w:rsidP="00DC1A66">
            <w:pPr>
              <w:spacing w:before="120" w:after="120" w:line="24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C1A66">
              <w:rPr>
                <w:rFonts w:eastAsia="Times New Roman" w:cstheme="minorHAnsi"/>
                <w:lang w:eastAsia="pt-BR"/>
              </w:rPr>
              <w:t>LRF — 180 dias antes do fim do mandato do Governador</w:t>
            </w:r>
          </w:p>
        </w:tc>
        <w:tc>
          <w:tcPr>
            <w:tcW w:w="0" w:type="auto"/>
            <w:vAlign w:val="center"/>
            <w:hideMark/>
          </w:tcPr>
          <w:p w:rsidR="00DC1A66" w:rsidRPr="00DC1A66" w:rsidRDefault="00DC1A66" w:rsidP="00DC1A66">
            <w:pPr>
              <w:spacing w:before="120" w:after="120" w:line="24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C1A66">
              <w:rPr>
                <w:rFonts w:eastAsia="Times New Roman" w:cstheme="minorHAnsi"/>
                <w:lang w:eastAsia="pt-BR"/>
              </w:rPr>
              <w:t>3 de julho de 2026</w:t>
            </w:r>
          </w:p>
        </w:tc>
        <w:tc>
          <w:tcPr>
            <w:tcW w:w="0" w:type="auto"/>
            <w:vAlign w:val="center"/>
            <w:hideMark/>
          </w:tcPr>
          <w:p w:rsidR="00DC1A66" w:rsidRPr="00DC1A66" w:rsidRDefault="00DC1A66" w:rsidP="00DC1A66">
            <w:pPr>
              <w:spacing w:before="120" w:after="120" w:line="24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C1A66">
              <w:rPr>
                <w:rFonts w:eastAsia="Times New Roman" w:cstheme="minorHAnsi"/>
                <w:lang w:eastAsia="pt-BR"/>
              </w:rPr>
              <w:t>Art. 21, IV, LRF</w:t>
            </w:r>
          </w:p>
        </w:tc>
      </w:tr>
      <w:tr w:rsidR="00DC1A66" w:rsidRPr="00DC1A66" w:rsidTr="00DC1A6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C1A66" w:rsidRPr="00DC1A66" w:rsidRDefault="00DC1A66" w:rsidP="00DC1A66">
            <w:pPr>
              <w:spacing w:before="120" w:after="120" w:line="24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C1A66">
              <w:rPr>
                <w:rFonts w:eastAsia="Times New Roman" w:cstheme="minorHAnsi"/>
                <w:lang w:eastAsia="pt-BR"/>
              </w:rPr>
              <w:t>Lei Eleitoral — outras condutas vedadas</w:t>
            </w:r>
          </w:p>
        </w:tc>
        <w:tc>
          <w:tcPr>
            <w:tcW w:w="0" w:type="auto"/>
            <w:vAlign w:val="center"/>
            <w:hideMark/>
          </w:tcPr>
          <w:p w:rsidR="00DC1A66" w:rsidRPr="00DC1A66" w:rsidRDefault="00DC1A66" w:rsidP="00DC1A66">
            <w:pPr>
              <w:spacing w:before="120" w:after="120" w:line="24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C1A66">
              <w:rPr>
                <w:rFonts w:eastAsia="Times New Roman" w:cstheme="minorHAnsi"/>
                <w:lang w:eastAsia="pt-BR"/>
              </w:rPr>
              <w:t>5 de julho de 2026</w:t>
            </w:r>
          </w:p>
        </w:tc>
        <w:tc>
          <w:tcPr>
            <w:tcW w:w="0" w:type="auto"/>
            <w:vAlign w:val="center"/>
            <w:hideMark/>
          </w:tcPr>
          <w:p w:rsidR="00DC1A66" w:rsidRPr="00DC1A66" w:rsidRDefault="00DC1A66" w:rsidP="00DC1A66">
            <w:pPr>
              <w:spacing w:before="120" w:after="120" w:line="24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DC1A66">
              <w:rPr>
                <w:rFonts w:eastAsia="Times New Roman" w:cstheme="minorHAnsi"/>
                <w:lang w:eastAsia="pt-BR"/>
              </w:rPr>
              <w:t>Art. 73, VIII, Lei 9.504/97</w:t>
            </w:r>
          </w:p>
        </w:tc>
      </w:tr>
    </w:tbl>
    <w:p w:rsidR="00DC1A66" w:rsidRPr="00DC1A66" w:rsidRDefault="00DC1A66" w:rsidP="00DC1A66">
      <w:pPr>
        <w:spacing w:before="120" w:after="120" w:line="240" w:lineRule="auto"/>
        <w:jc w:val="both"/>
        <w:rPr>
          <w:rFonts w:eastAsia="Times New Roman" w:cstheme="minorHAnsi"/>
          <w:lang w:eastAsia="pt-BR"/>
        </w:rPr>
      </w:pPr>
      <w:r w:rsidRPr="00DC1A66">
        <w:rPr>
          <w:rFonts w:eastAsia="Times New Roman" w:cstheme="minorHAnsi"/>
          <w:lang w:eastAsia="pt-BR"/>
        </w:rPr>
        <w:t xml:space="preserve">Na prática, </w:t>
      </w:r>
      <w:r w:rsidRPr="00DC1A66">
        <w:rPr>
          <w:rFonts w:eastAsia="Times New Roman" w:cstheme="minorHAnsi"/>
          <w:b/>
          <w:bCs/>
          <w:lang w:eastAsia="pt-BR"/>
        </w:rPr>
        <w:t>o limitante é a LRF</w:t>
      </w:r>
      <w:r w:rsidRPr="00DC1A66">
        <w:rPr>
          <w:rFonts w:eastAsia="Times New Roman" w:cstheme="minorHAnsi"/>
          <w:lang w:eastAsia="pt-BR"/>
        </w:rPr>
        <w:t xml:space="preserve">, com prazo até </w:t>
      </w:r>
      <w:r w:rsidRPr="00DC1A66">
        <w:rPr>
          <w:rFonts w:eastAsia="Times New Roman" w:cstheme="minorHAnsi"/>
          <w:b/>
          <w:bCs/>
          <w:lang w:eastAsia="pt-BR"/>
        </w:rPr>
        <w:t>3 de julho de 2026</w:t>
      </w:r>
      <w:r w:rsidRPr="00DC1A66">
        <w:rPr>
          <w:rFonts w:eastAsia="Times New Roman" w:cstheme="minorHAnsi"/>
          <w:lang w:eastAsia="pt-BR"/>
        </w:rPr>
        <w:t xml:space="preserve"> — faltam hoje </w:t>
      </w:r>
      <w:r w:rsidRPr="00DC1A66">
        <w:rPr>
          <w:rFonts w:eastAsia="Times New Roman" w:cstheme="minorHAnsi"/>
          <w:b/>
          <w:bCs/>
          <w:lang w:eastAsia="pt-BR"/>
        </w:rPr>
        <w:t>115 dias</w:t>
      </w:r>
      <w:r w:rsidRPr="00DC1A66">
        <w:rPr>
          <w:rFonts w:eastAsia="Times New Roman" w:cstheme="minorHAnsi"/>
          <w:bCs/>
          <w:lang w:eastAsia="pt-BR"/>
        </w:rPr>
        <w:t xml:space="preserve"> (estudo feito em 10/03/2026)</w:t>
      </w:r>
      <w:r w:rsidRPr="00DC1A66">
        <w:rPr>
          <w:rFonts w:eastAsia="Times New Roman" w:cstheme="minorHAnsi"/>
          <w:lang w:eastAsia="pt-BR"/>
        </w:rPr>
        <w:t>.</w:t>
      </w:r>
    </w:p>
    <w:p w:rsidR="00DC1A66" w:rsidRPr="00DC1A66" w:rsidRDefault="00DC1A66" w:rsidP="00DC1A66">
      <w:pPr>
        <w:spacing w:before="120" w:after="120" w:line="240" w:lineRule="auto"/>
        <w:jc w:val="both"/>
        <w:rPr>
          <w:rFonts w:eastAsia="Times New Roman" w:cstheme="minorHAnsi"/>
          <w:b/>
          <w:bCs/>
          <w:color w:val="0000FF"/>
          <w:lang w:eastAsia="pt-BR"/>
        </w:rPr>
      </w:pPr>
      <w:r w:rsidRPr="00DC1A66">
        <w:rPr>
          <w:rFonts w:eastAsia="Times New Roman" w:cstheme="minorHAnsi"/>
          <w:b/>
          <w:bCs/>
          <w:color w:val="0000FF"/>
          <w:lang w:eastAsia="pt-BR"/>
        </w:rPr>
        <w:t>4. Condição adicional: justificativa técnica e estrutural</w:t>
      </w:r>
    </w:p>
    <w:p w:rsidR="00DC1A66" w:rsidRPr="00DC1A66" w:rsidRDefault="00DC1A66" w:rsidP="00DC1A66">
      <w:pPr>
        <w:spacing w:before="120" w:after="120" w:line="240" w:lineRule="auto"/>
        <w:jc w:val="both"/>
        <w:rPr>
          <w:rFonts w:eastAsia="Times New Roman" w:cstheme="minorHAnsi"/>
          <w:lang w:eastAsia="pt-BR"/>
        </w:rPr>
      </w:pPr>
      <w:r w:rsidRPr="00DC1A66">
        <w:rPr>
          <w:rFonts w:eastAsia="Times New Roman" w:cstheme="minorHAnsi"/>
          <w:lang w:eastAsia="pt-BR"/>
        </w:rPr>
        <w:t>Mesmo aprovado dentro do prazo, o TSE poderá questionar o novo PCCS se ele parecer apenas um aumento salarial disfarçado. Para blindar juridicamente a proposta, a cartilha da PGE/MT indica que a reestruturação deve demonstrar ao menos um dos seguintes fundamentos:</w:t>
      </w:r>
    </w:p>
    <w:p w:rsidR="00DC1A66" w:rsidRPr="00DC1A66" w:rsidRDefault="00DC1A66" w:rsidP="00DC1A66">
      <w:pPr>
        <w:numPr>
          <w:ilvl w:val="0"/>
          <w:numId w:val="3"/>
        </w:numPr>
        <w:spacing w:before="120" w:after="120" w:line="240" w:lineRule="auto"/>
        <w:ind w:left="0" w:firstLine="0"/>
        <w:jc w:val="both"/>
        <w:rPr>
          <w:rFonts w:eastAsia="Times New Roman" w:cstheme="minorHAnsi"/>
          <w:lang w:eastAsia="pt-BR"/>
        </w:rPr>
      </w:pPr>
      <w:r w:rsidRPr="00DC1A66">
        <w:rPr>
          <w:rFonts w:eastAsia="Times New Roman" w:cstheme="minorHAnsi"/>
          <w:b/>
          <w:bCs/>
          <w:lang w:eastAsia="pt-BR"/>
        </w:rPr>
        <w:t>Modernização das atribuições</w:t>
      </w:r>
      <w:r w:rsidRPr="00DC1A66">
        <w:rPr>
          <w:rFonts w:eastAsia="Times New Roman" w:cstheme="minorHAnsi"/>
          <w:lang w:eastAsia="pt-BR"/>
        </w:rPr>
        <w:t xml:space="preserve"> — cargos que evoluíram em complexidade;</w:t>
      </w:r>
    </w:p>
    <w:p w:rsidR="00DC1A66" w:rsidRPr="00DC1A66" w:rsidRDefault="00DC1A66" w:rsidP="00DC1A66">
      <w:pPr>
        <w:numPr>
          <w:ilvl w:val="0"/>
          <w:numId w:val="3"/>
        </w:numPr>
        <w:spacing w:before="120" w:after="120" w:line="240" w:lineRule="auto"/>
        <w:ind w:left="0" w:firstLine="0"/>
        <w:jc w:val="both"/>
        <w:rPr>
          <w:rFonts w:eastAsia="Times New Roman" w:cstheme="minorHAnsi"/>
          <w:lang w:eastAsia="pt-BR"/>
        </w:rPr>
      </w:pPr>
      <w:r w:rsidRPr="00DC1A66">
        <w:rPr>
          <w:rFonts w:eastAsia="Times New Roman" w:cstheme="minorHAnsi"/>
          <w:b/>
          <w:bCs/>
          <w:lang w:eastAsia="pt-BR"/>
        </w:rPr>
        <w:t>Correção de distorções</w:t>
      </w:r>
      <w:r w:rsidRPr="00DC1A66">
        <w:rPr>
          <w:rFonts w:eastAsia="Times New Roman" w:cstheme="minorHAnsi"/>
          <w:lang w:eastAsia="pt-BR"/>
        </w:rPr>
        <w:t xml:space="preserve"> — desproporção salarial ou funcional injustificada</w:t>
      </w:r>
      <w:r w:rsidR="001F4D08">
        <w:rPr>
          <w:rFonts w:eastAsia="Times New Roman" w:cstheme="minorHAnsi"/>
          <w:lang w:eastAsia="pt-BR"/>
        </w:rPr>
        <w:t xml:space="preserve"> (Técnico </w:t>
      </w:r>
      <w:proofErr w:type="gramStart"/>
      <w:r w:rsidR="001F4D08">
        <w:rPr>
          <w:rFonts w:eastAsia="Times New Roman" w:cstheme="minorHAnsi"/>
          <w:lang w:eastAsia="pt-BR"/>
        </w:rPr>
        <w:t>x</w:t>
      </w:r>
      <w:proofErr w:type="gramEnd"/>
      <w:r w:rsidR="001F4D08">
        <w:rPr>
          <w:rFonts w:eastAsia="Times New Roman" w:cstheme="minorHAnsi"/>
          <w:lang w:eastAsia="pt-BR"/>
        </w:rPr>
        <w:t xml:space="preserve"> Analista)</w:t>
      </w:r>
      <w:r w:rsidRPr="00DC1A66">
        <w:rPr>
          <w:rFonts w:eastAsia="Times New Roman" w:cstheme="minorHAnsi"/>
          <w:lang w:eastAsia="pt-BR"/>
        </w:rPr>
        <w:t>;</w:t>
      </w:r>
    </w:p>
    <w:p w:rsidR="00DC1A66" w:rsidRPr="00DC1A66" w:rsidRDefault="00DC1A66" w:rsidP="00DC1A66">
      <w:pPr>
        <w:numPr>
          <w:ilvl w:val="0"/>
          <w:numId w:val="3"/>
        </w:numPr>
        <w:spacing w:before="120" w:after="120" w:line="240" w:lineRule="auto"/>
        <w:ind w:left="0" w:firstLine="0"/>
        <w:jc w:val="both"/>
        <w:rPr>
          <w:rFonts w:eastAsia="Times New Roman" w:cstheme="minorHAnsi"/>
          <w:lang w:eastAsia="pt-BR"/>
        </w:rPr>
      </w:pPr>
      <w:r w:rsidRPr="00DC1A66">
        <w:rPr>
          <w:rFonts w:eastAsia="Times New Roman" w:cstheme="minorHAnsi"/>
          <w:b/>
          <w:bCs/>
          <w:lang w:eastAsia="pt-BR"/>
        </w:rPr>
        <w:t>Aglutinação ou transformação de cargos</w:t>
      </w:r>
      <w:r w:rsidRPr="00DC1A66">
        <w:rPr>
          <w:rFonts w:eastAsia="Times New Roman" w:cstheme="minorHAnsi"/>
          <w:lang w:eastAsia="pt-BR"/>
        </w:rPr>
        <w:t xml:space="preserve"> — </w:t>
      </w:r>
      <w:r w:rsidR="001F4D08">
        <w:rPr>
          <w:rFonts w:eastAsia="Times New Roman" w:cstheme="minorHAnsi"/>
          <w:lang w:eastAsia="pt-BR"/>
        </w:rPr>
        <w:t>situação do nível fundamental</w:t>
      </w:r>
      <w:r w:rsidRPr="00DC1A66">
        <w:rPr>
          <w:rFonts w:eastAsia="Times New Roman" w:cstheme="minorHAnsi"/>
          <w:lang w:eastAsia="pt-BR"/>
        </w:rPr>
        <w:t>;</w:t>
      </w:r>
    </w:p>
    <w:p w:rsidR="00DC1A66" w:rsidRPr="00DC1A66" w:rsidRDefault="00DC1A66" w:rsidP="00DC1A66">
      <w:pPr>
        <w:numPr>
          <w:ilvl w:val="0"/>
          <w:numId w:val="3"/>
        </w:numPr>
        <w:spacing w:before="120" w:after="120" w:line="240" w:lineRule="auto"/>
        <w:ind w:left="0" w:firstLine="0"/>
        <w:jc w:val="both"/>
        <w:rPr>
          <w:rFonts w:eastAsia="Times New Roman" w:cstheme="minorHAnsi"/>
          <w:lang w:eastAsia="pt-BR"/>
        </w:rPr>
      </w:pPr>
      <w:r w:rsidRPr="00DC1A66">
        <w:rPr>
          <w:rFonts w:eastAsia="Times New Roman" w:cstheme="minorHAnsi"/>
          <w:b/>
          <w:bCs/>
          <w:lang w:eastAsia="pt-BR"/>
        </w:rPr>
        <w:t>Eficiência administrativa</w:t>
      </w:r>
      <w:r w:rsidRPr="00DC1A66">
        <w:rPr>
          <w:rFonts w:eastAsia="Times New Roman" w:cstheme="minorHAnsi"/>
          <w:lang w:eastAsia="pt-BR"/>
        </w:rPr>
        <w:t xml:space="preserve"> — nova estrutura que torne o serviço mais célere e menos oneroso.</w:t>
      </w:r>
    </w:p>
    <w:p w:rsidR="00DC1A66" w:rsidRPr="00DC1A66" w:rsidRDefault="00DC1A66" w:rsidP="00DC1A66">
      <w:pPr>
        <w:spacing w:before="120" w:after="120" w:line="240" w:lineRule="auto"/>
        <w:jc w:val="both"/>
        <w:rPr>
          <w:rFonts w:eastAsia="Times New Roman" w:cstheme="minorHAnsi"/>
          <w:b/>
          <w:bCs/>
          <w:color w:val="0000FF"/>
          <w:lang w:eastAsia="pt-BR"/>
        </w:rPr>
      </w:pPr>
      <w:r w:rsidRPr="00DC1A66">
        <w:rPr>
          <w:rFonts w:eastAsia="Times New Roman" w:cstheme="minorHAnsi"/>
          <w:b/>
          <w:bCs/>
          <w:color w:val="0000FF"/>
          <w:lang w:eastAsia="pt-BR"/>
        </w:rPr>
        <w:t>Conclusão</w:t>
      </w:r>
    </w:p>
    <w:p w:rsidR="00551FB7" w:rsidRPr="00DC1A66" w:rsidRDefault="00DC1A66" w:rsidP="00DC1A66">
      <w:pPr>
        <w:spacing w:before="120" w:after="120" w:line="240" w:lineRule="auto"/>
        <w:jc w:val="both"/>
        <w:rPr>
          <w:rFonts w:eastAsia="Times New Roman" w:cstheme="minorHAnsi"/>
          <w:lang w:eastAsia="pt-BR"/>
        </w:rPr>
      </w:pPr>
      <w:r w:rsidRPr="00DC1A66">
        <w:rPr>
          <w:rFonts w:eastAsia="Times New Roman" w:cstheme="minorHAnsi"/>
          <w:lang w:eastAsia="pt-BR"/>
        </w:rPr>
        <w:t xml:space="preserve">O novo PCCS da ALMT tem </w:t>
      </w:r>
      <w:r w:rsidRPr="00DC1A66">
        <w:rPr>
          <w:rFonts w:eastAsia="Times New Roman" w:cstheme="minorHAnsi"/>
          <w:b/>
          <w:bCs/>
          <w:lang w:eastAsia="pt-BR"/>
        </w:rPr>
        <w:t>viabilidade jurídica</w:t>
      </w:r>
      <w:r w:rsidRPr="00DC1A66">
        <w:rPr>
          <w:rFonts w:eastAsia="Times New Roman" w:cstheme="minorHAnsi"/>
          <w:lang w:eastAsia="pt-BR"/>
        </w:rPr>
        <w:t xml:space="preserve"> para ser aprovado em 2026 com efeitos em 2027, desde que: (a) seja aprovado </w:t>
      </w:r>
      <w:r w:rsidRPr="00DC1A66">
        <w:rPr>
          <w:rFonts w:eastAsia="Times New Roman" w:cstheme="minorHAnsi"/>
          <w:b/>
          <w:bCs/>
          <w:lang w:eastAsia="pt-BR"/>
        </w:rPr>
        <w:t>até 3 de julho de 2026</w:t>
      </w:r>
      <w:r w:rsidRPr="00DC1A66">
        <w:rPr>
          <w:rFonts w:eastAsia="Times New Roman" w:cstheme="minorHAnsi"/>
          <w:lang w:eastAsia="pt-BR"/>
        </w:rPr>
        <w:t xml:space="preserve">; (b) esteja acompanhado das estimativas fiscais exigidas pela LRF; e (c) apresente </w:t>
      </w:r>
      <w:r w:rsidRPr="00DC1A66">
        <w:rPr>
          <w:rFonts w:eastAsia="Times New Roman" w:cstheme="minorHAnsi"/>
          <w:b/>
          <w:bCs/>
          <w:lang w:eastAsia="pt-BR"/>
        </w:rPr>
        <w:t>justificativa técnica e estrutural sólida</w:t>
      </w:r>
      <w:r w:rsidRPr="00DC1A66">
        <w:rPr>
          <w:rFonts w:eastAsia="Times New Roman" w:cstheme="minorHAnsi"/>
          <w:lang w:eastAsia="pt-BR"/>
        </w:rPr>
        <w:t xml:space="preserve">, capaz de demonstrar ao TSE que não se trata de revisão geral disfarçada. O prazo é curto — </w:t>
      </w:r>
      <w:r w:rsidRPr="00DC1A66">
        <w:rPr>
          <w:rFonts w:eastAsia="Times New Roman" w:cstheme="minorHAnsi"/>
          <w:b/>
          <w:bCs/>
          <w:lang w:eastAsia="pt-BR"/>
        </w:rPr>
        <w:t>115 dias</w:t>
      </w:r>
      <w:r w:rsidRPr="00DC1A66">
        <w:rPr>
          <w:rFonts w:eastAsia="Times New Roman" w:cstheme="minorHAnsi"/>
          <w:lang w:eastAsia="pt-BR"/>
        </w:rPr>
        <w:t xml:space="preserve"> </w:t>
      </w:r>
      <w:r>
        <w:rPr>
          <w:rFonts w:eastAsia="Times New Roman" w:cstheme="minorHAnsi"/>
          <w:lang w:eastAsia="pt-BR"/>
        </w:rPr>
        <w:t xml:space="preserve">(10/03/2026) </w:t>
      </w:r>
      <w:r w:rsidRPr="00DC1A66">
        <w:rPr>
          <w:rFonts w:eastAsia="Times New Roman" w:cstheme="minorHAnsi"/>
          <w:lang w:eastAsia="pt-BR"/>
        </w:rPr>
        <w:t>— e a construção técnica da proposta precisa começar imediatamente.</w:t>
      </w:r>
    </w:p>
    <w:sectPr w:rsidR="00551FB7" w:rsidRPr="00DC1A66" w:rsidSect="00DC1A66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740F75"/>
    <w:multiLevelType w:val="multilevel"/>
    <w:tmpl w:val="4E64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206A06"/>
    <w:multiLevelType w:val="multilevel"/>
    <w:tmpl w:val="928A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9C5117"/>
    <w:multiLevelType w:val="multilevel"/>
    <w:tmpl w:val="6A84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A66"/>
    <w:rsid w:val="001F4D08"/>
    <w:rsid w:val="00551FB7"/>
    <w:rsid w:val="00A85DC9"/>
    <w:rsid w:val="00DC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F8B87"/>
  <w15:chartTrackingRefBased/>
  <w15:docId w15:val="{C868B09F-9B61-4E93-94F4-E8AA6B6BC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DC1A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DC1A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DC1A6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DC1A6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font-claude-response-body">
    <w:name w:val="font-claude-response-body"/>
    <w:basedOn w:val="Normal"/>
    <w:rsid w:val="00DC1A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C1A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891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565694-B335-47C7-AB90-C3555C4D77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480</Words>
  <Characters>2595</Characters>
  <Application>Microsoft Office Word</Application>
  <DocSecurity>0</DocSecurity>
  <Lines>21</Lines>
  <Paragraphs>6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Gusen</dc:creator>
  <cp:keywords/>
  <dc:description/>
  <cp:lastModifiedBy>Pablo Gusen</cp:lastModifiedBy>
  <cp:revision>3</cp:revision>
  <dcterms:created xsi:type="dcterms:W3CDTF">2026-03-10T21:05:00Z</dcterms:created>
  <dcterms:modified xsi:type="dcterms:W3CDTF">2026-03-10T21:14:00Z</dcterms:modified>
</cp:coreProperties>
</file>