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i/>
          <w:color w:val="FF0000"/>
          <w:lang w:eastAsia="pt-BR"/>
        </w:rPr>
      </w:pPr>
      <w:r w:rsidRPr="00C278C7">
        <w:rPr>
          <w:rFonts w:eastAsia="Times New Roman" w:cstheme="minorHAnsi"/>
          <w:i/>
          <w:color w:val="FF0000"/>
          <w:lang w:eastAsia="pt-BR"/>
        </w:rPr>
        <w:t xml:space="preserve">“Reestruturar carreira e realizar revisão geral. Conforme o TSE, “a aprovação, pela via legislativa, de proposta de reestruturação de carreira de servidores não se confunde com revisão geral de remuneração e, portanto, não encontra obstáculo na proibição contida no </w:t>
      </w:r>
      <w:r w:rsidR="00A529B7">
        <w:rPr>
          <w:rFonts w:eastAsia="Times New Roman" w:cstheme="minorHAnsi"/>
          <w:i/>
          <w:color w:val="FF0000"/>
          <w:lang w:eastAsia="pt-BR"/>
        </w:rPr>
        <w:t>A</w:t>
      </w:r>
      <w:r w:rsidRPr="00C278C7">
        <w:rPr>
          <w:rFonts w:eastAsia="Times New Roman" w:cstheme="minorHAnsi"/>
          <w:i/>
          <w:color w:val="FF0000"/>
          <w:lang w:eastAsia="pt-BR"/>
        </w:rPr>
        <w:t xml:space="preserve">rt. 73, </w:t>
      </w:r>
      <w:r w:rsidR="00A529B7">
        <w:rPr>
          <w:rFonts w:eastAsia="Times New Roman" w:cstheme="minorHAnsi"/>
          <w:i/>
          <w:color w:val="FF0000"/>
          <w:lang w:eastAsia="pt-BR"/>
        </w:rPr>
        <w:t>I</w:t>
      </w:r>
      <w:bookmarkStart w:id="0" w:name="_GoBack"/>
      <w:bookmarkEnd w:id="0"/>
      <w:r w:rsidRPr="00C278C7">
        <w:rPr>
          <w:rFonts w:eastAsia="Times New Roman" w:cstheme="minorHAnsi"/>
          <w:i/>
          <w:color w:val="FF0000"/>
          <w:lang w:eastAsia="pt-BR"/>
        </w:rPr>
        <w:t xml:space="preserve">nciso VIII, da Lei n.º 9.504/1997”. [28] Deve ser avaliado em cada caso, contudo, se a reestruturação da carreira não está sendo utilizada como sucedâneo da simples concessão de aumento real do salário dos </w:t>
      </w:r>
      <w:proofErr w:type="gramStart"/>
      <w:r w:rsidRPr="00C278C7">
        <w:rPr>
          <w:rFonts w:eastAsia="Times New Roman" w:cstheme="minorHAnsi"/>
          <w:i/>
          <w:color w:val="FF0000"/>
          <w:lang w:eastAsia="pt-BR"/>
        </w:rPr>
        <w:t>servidores.”</w:t>
      </w:r>
      <w:proofErr w:type="gramEnd"/>
      <w:r w:rsidR="00A31934">
        <w:rPr>
          <w:rFonts w:eastAsia="Times New Roman" w:cstheme="minorHAnsi"/>
          <w:i/>
          <w:color w:val="FF0000"/>
          <w:lang w:eastAsia="pt-BR"/>
        </w:rPr>
        <w:t xml:space="preserve"> (</w:t>
      </w:r>
      <w:proofErr w:type="gramStart"/>
      <w:r w:rsidR="00A31934">
        <w:rPr>
          <w:rFonts w:eastAsia="Times New Roman" w:cstheme="minorHAnsi"/>
          <w:i/>
          <w:color w:val="FF0000"/>
          <w:lang w:eastAsia="pt-BR"/>
        </w:rPr>
        <w:t>a</w:t>
      </w:r>
      <w:proofErr w:type="gramEnd"/>
      <w:r w:rsidR="00A31934">
        <w:rPr>
          <w:rFonts w:eastAsia="Times New Roman" w:cstheme="minorHAnsi"/>
          <w:i/>
          <w:color w:val="FF0000"/>
          <w:lang w:eastAsia="pt-BR"/>
        </w:rPr>
        <w:t xml:space="preserve"> orientação consta na Cartilha Eleitoral 2024, feita pela PGE/MT)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lang w:eastAsia="pt-BR"/>
        </w:rPr>
        <w:t xml:space="preserve">A jurisprudência do </w:t>
      </w:r>
      <w:r w:rsidRPr="00C278C7">
        <w:rPr>
          <w:rFonts w:eastAsia="Times New Roman" w:cstheme="minorHAnsi"/>
          <w:b/>
          <w:bCs/>
          <w:lang w:eastAsia="pt-BR"/>
        </w:rPr>
        <w:t>Tribunal Superior Eleitoral (TSE)</w:t>
      </w:r>
      <w:r w:rsidRPr="00C278C7">
        <w:rPr>
          <w:rFonts w:eastAsia="Times New Roman" w:cstheme="minorHAnsi"/>
          <w:lang w:eastAsia="pt-BR"/>
        </w:rPr>
        <w:t xml:space="preserve"> estabelece uma distinção clara entre a reestruturação de carreira e a revisão geral anual para fins de aplicação das vedações em ano eleitoral, conforme o </w:t>
      </w:r>
      <w:r w:rsidRPr="00C278C7">
        <w:rPr>
          <w:rFonts w:eastAsia="Times New Roman" w:cstheme="minorHAnsi"/>
          <w:b/>
          <w:bCs/>
          <w:lang w:eastAsia="pt-BR"/>
        </w:rPr>
        <w:t xml:space="preserve">Art. 73, inciso VIII, da </w:t>
      </w:r>
      <w:hyperlink r:id="rId5" w:history="1">
        <w:r w:rsidRPr="00C278C7">
          <w:rPr>
            <w:rFonts w:eastAsia="Times New Roman" w:cstheme="minorHAnsi"/>
            <w:b/>
            <w:bCs/>
            <w:color w:val="0000FF"/>
            <w:u w:val="single"/>
            <w:lang w:eastAsia="pt-BR"/>
          </w:rPr>
          <w:t>Lei nº 9.504/1997</w:t>
        </w:r>
      </w:hyperlink>
      <w:r w:rsidRPr="00C278C7">
        <w:rPr>
          <w:rFonts w:eastAsia="Times New Roman" w:cstheme="minorHAnsi"/>
          <w:lang w:eastAsia="pt-BR"/>
        </w:rPr>
        <w:t xml:space="preserve">. [1, 2, 3, 4] 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b/>
          <w:bCs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Principais Diferenças e Regras</w:t>
      </w:r>
    </w:p>
    <w:p w:rsidR="00C278C7" w:rsidRPr="00C278C7" w:rsidRDefault="00C278C7" w:rsidP="009E596B">
      <w:pPr>
        <w:numPr>
          <w:ilvl w:val="0"/>
          <w:numId w:val="5"/>
        </w:numPr>
        <w:spacing w:before="60" w:after="6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Reestruturação de Carreira</w:t>
      </w:r>
      <w:r w:rsidRPr="00C278C7">
        <w:rPr>
          <w:rFonts w:eastAsia="Times New Roman" w:cstheme="minorHAnsi"/>
          <w:lang w:eastAsia="pt-BR"/>
        </w:rPr>
        <w:t xml:space="preserve">: Refere-se à alteração da estrutura de cargos e vencimentos de uma categoria específica. Segundo o </w:t>
      </w:r>
      <w:hyperlink r:id="rId6" w:history="1">
        <w:r w:rsidRPr="00C278C7">
          <w:rPr>
            <w:rFonts w:eastAsia="Times New Roman" w:cstheme="minorHAnsi"/>
            <w:color w:val="0000FF"/>
            <w:u w:val="single"/>
            <w:lang w:eastAsia="pt-BR"/>
          </w:rPr>
          <w:t>TSE</w:t>
        </w:r>
      </w:hyperlink>
      <w:r w:rsidRPr="00C278C7">
        <w:rPr>
          <w:rFonts w:eastAsia="Times New Roman" w:cstheme="minorHAnsi"/>
          <w:lang w:eastAsia="pt-BR"/>
        </w:rPr>
        <w:t xml:space="preserve">, quando realizada por via legislativa, essa medida </w:t>
      </w:r>
      <w:r w:rsidRPr="00C278C7">
        <w:rPr>
          <w:rFonts w:eastAsia="Times New Roman" w:cstheme="minorHAnsi"/>
          <w:b/>
          <w:bCs/>
          <w:lang w:eastAsia="pt-BR"/>
        </w:rPr>
        <w:t>não é impedida</w:t>
      </w:r>
      <w:r w:rsidRPr="00C278C7">
        <w:rPr>
          <w:rFonts w:eastAsia="Times New Roman" w:cstheme="minorHAnsi"/>
          <w:lang w:eastAsia="pt-BR"/>
        </w:rPr>
        <w:t xml:space="preserve"> pela proibição do período eleitoral. No entanto, a justiça avalia se a reestruturação não é um "sucedâneo" (disfarce) para um aumento real de salários que beneficiaria os servidores de forma eleitoreira.</w:t>
      </w:r>
    </w:p>
    <w:p w:rsidR="00C278C7" w:rsidRPr="00C278C7" w:rsidRDefault="00C278C7" w:rsidP="009E596B">
      <w:pPr>
        <w:numPr>
          <w:ilvl w:val="0"/>
          <w:numId w:val="5"/>
        </w:numPr>
        <w:spacing w:before="60" w:after="6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Revisão Geral de Remuneração</w:t>
      </w:r>
      <w:r w:rsidRPr="00C278C7">
        <w:rPr>
          <w:rFonts w:eastAsia="Times New Roman" w:cstheme="minorHAnsi"/>
          <w:lang w:eastAsia="pt-BR"/>
        </w:rPr>
        <w:t xml:space="preserve">: É a reposição da perda do poder aquisitivo (inflação) para todo o funcionalismo. Em anos eleitorais, como </w:t>
      </w:r>
      <w:r w:rsidRPr="00C278C7">
        <w:rPr>
          <w:rFonts w:eastAsia="Times New Roman" w:cstheme="minorHAnsi"/>
          <w:b/>
          <w:bCs/>
          <w:lang w:eastAsia="pt-BR"/>
        </w:rPr>
        <w:t>2026</w:t>
      </w:r>
      <w:r w:rsidRPr="00C278C7">
        <w:rPr>
          <w:rFonts w:eastAsia="Times New Roman" w:cstheme="minorHAnsi"/>
          <w:lang w:eastAsia="pt-BR"/>
        </w:rPr>
        <w:t xml:space="preserve">, a revisão geral que exceder a recomposição da inflação do ano em curso é </w:t>
      </w:r>
      <w:r w:rsidRPr="00C278C7">
        <w:rPr>
          <w:rFonts w:eastAsia="Times New Roman" w:cstheme="minorHAnsi"/>
          <w:b/>
          <w:bCs/>
          <w:lang w:eastAsia="pt-BR"/>
        </w:rPr>
        <w:t>proibida nos 180 dias que antecedem a eleição</w:t>
      </w:r>
      <w:r w:rsidRPr="00C278C7">
        <w:rPr>
          <w:rFonts w:eastAsia="Times New Roman" w:cstheme="minorHAnsi"/>
          <w:lang w:eastAsia="pt-BR"/>
        </w:rPr>
        <w:t xml:space="preserve"> até a posse dos eleitos.</w:t>
      </w:r>
    </w:p>
    <w:p w:rsidR="00C278C7" w:rsidRPr="00C278C7" w:rsidRDefault="00C278C7" w:rsidP="009E596B">
      <w:pPr>
        <w:numPr>
          <w:ilvl w:val="0"/>
          <w:numId w:val="5"/>
        </w:numPr>
        <w:spacing w:before="60" w:after="6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Prazos Críticos para 2026</w:t>
      </w:r>
      <w:r w:rsidRPr="00C278C7">
        <w:rPr>
          <w:rFonts w:eastAsia="Times New Roman" w:cstheme="minorHAnsi"/>
          <w:lang w:eastAsia="pt-BR"/>
        </w:rPr>
        <w:t>:</w:t>
      </w:r>
    </w:p>
    <w:p w:rsidR="00C278C7" w:rsidRPr="00C278C7" w:rsidRDefault="00C278C7" w:rsidP="009E596B">
      <w:pPr>
        <w:numPr>
          <w:ilvl w:val="1"/>
          <w:numId w:val="5"/>
        </w:numPr>
        <w:spacing w:before="60" w:after="6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9 de abril de 2026</w:t>
      </w:r>
      <w:r w:rsidRPr="00C278C7">
        <w:rPr>
          <w:rFonts w:eastAsia="Times New Roman" w:cstheme="minorHAnsi"/>
          <w:lang w:eastAsia="pt-BR"/>
        </w:rPr>
        <w:t>: Início da vedação de reajustes que excedam a recomposição inflacionária.</w:t>
      </w:r>
    </w:p>
    <w:p w:rsidR="00C278C7" w:rsidRPr="00C278C7" w:rsidRDefault="00C278C7" w:rsidP="009E596B">
      <w:pPr>
        <w:numPr>
          <w:ilvl w:val="1"/>
          <w:numId w:val="5"/>
        </w:numPr>
        <w:spacing w:before="60" w:after="6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6 de julho de 2026</w:t>
      </w:r>
      <w:r w:rsidRPr="00C278C7">
        <w:rPr>
          <w:rFonts w:eastAsia="Times New Roman" w:cstheme="minorHAnsi"/>
          <w:lang w:eastAsia="pt-BR"/>
        </w:rPr>
        <w:t xml:space="preserve">: Início de outras condutas vedadas, como nomeações e exonerações (salvo exceções legais). [3, 5, 6, 7, 8, 9, 10] 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b/>
          <w:bCs/>
          <w:color w:val="0000FF"/>
          <w:lang w:eastAsia="pt-BR"/>
        </w:rPr>
      </w:pPr>
      <w:r w:rsidRPr="00C278C7">
        <w:rPr>
          <w:rFonts w:eastAsia="Times New Roman" w:cstheme="minorHAnsi"/>
          <w:b/>
          <w:bCs/>
          <w:color w:val="0000FF"/>
          <w:lang w:eastAsia="pt-BR"/>
        </w:rPr>
        <w:t>Critérios de Avaliação do TSE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color w:val="0000FF"/>
          <w:u w:val="single"/>
          <w:lang w:eastAsia="pt-BR"/>
        </w:rPr>
      </w:pPr>
      <w:r w:rsidRPr="00C278C7">
        <w:rPr>
          <w:rFonts w:eastAsia="Times New Roman" w:cstheme="minorHAnsi"/>
          <w:color w:val="0000FF"/>
          <w:u w:val="single"/>
          <w:lang w:eastAsia="pt-BR"/>
        </w:rPr>
        <w:t>A reestruturação de carreira só é aceita no período restritivo se demonstrar que:</w:t>
      </w:r>
    </w:p>
    <w:p w:rsidR="00C278C7" w:rsidRPr="00C278C7" w:rsidRDefault="00C278C7" w:rsidP="009E596B">
      <w:pPr>
        <w:numPr>
          <w:ilvl w:val="0"/>
          <w:numId w:val="6"/>
        </w:numPr>
        <w:spacing w:before="60" w:after="60" w:line="240" w:lineRule="auto"/>
        <w:ind w:left="0" w:firstLine="0"/>
        <w:jc w:val="both"/>
        <w:rPr>
          <w:rFonts w:eastAsia="Times New Roman" w:cstheme="minorHAnsi"/>
          <w:color w:val="0000FF"/>
          <w:lang w:eastAsia="pt-BR"/>
        </w:rPr>
      </w:pPr>
      <w:r w:rsidRPr="00C278C7">
        <w:rPr>
          <w:rFonts w:eastAsia="Times New Roman" w:cstheme="minorHAnsi"/>
          <w:color w:val="0000FF"/>
          <w:lang w:eastAsia="pt-BR"/>
        </w:rPr>
        <w:t>Não é uma concessão de aumento real disfarçada.</w:t>
      </w:r>
    </w:p>
    <w:p w:rsidR="00C278C7" w:rsidRPr="00C278C7" w:rsidRDefault="00C278C7" w:rsidP="009E596B">
      <w:pPr>
        <w:numPr>
          <w:ilvl w:val="0"/>
          <w:numId w:val="6"/>
        </w:numPr>
        <w:spacing w:before="60" w:after="60" w:line="240" w:lineRule="auto"/>
        <w:ind w:left="0" w:firstLine="0"/>
        <w:jc w:val="both"/>
        <w:rPr>
          <w:rFonts w:eastAsia="Times New Roman" w:cstheme="minorHAnsi"/>
          <w:color w:val="0000FF"/>
          <w:lang w:eastAsia="pt-BR"/>
        </w:rPr>
      </w:pPr>
      <w:r w:rsidRPr="00C278C7">
        <w:rPr>
          <w:rFonts w:eastAsia="Times New Roman" w:cstheme="minorHAnsi"/>
          <w:color w:val="0000FF"/>
          <w:lang w:eastAsia="pt-BR"/>
        </w:rPr>
        <w:t>Há uma justificativa técnica e estrutural para a mudança nos cargos.</w:t>
      </w:r>
    </w:p>
    <w:p w:rsidR="00C278C7" w:rsidRPr="00C278C7" w:rsidRDefault="00C278C7" w:rsidP="009E596B">
      <w:pPr>
        <w:numPr>
          <w:ilvl w:val="0"/>
          <w:numId w:val="6"/>
        </w:numPr>
        <w:spacing w:before="60" w:after="60" w:line="240" w:lineRule="auto"/>
        <w:ind w:left="0" w:firstLine="0"/>
        <w:jc w:val="both"/>
        <w:rPr>
          <w:rFonts w:eastAsia="Times New Roman" w:cstheme="minorHAnsi"/>
          <w:color w:val="0000FF"/>
          <w:lang w:eastAsia="pt-BR"/>
        </w:rPr>
      </w:pPr>
      <w:r w:rsidRPr="00C278C7">
        <w:rPr>
          <w:rFonts w:eastAsia="Times New Roman" w:cstheme="minorHAnsi"/>
          <w:color w:val="0000FF"/>
          <w:lang w:eastAsia="pt-BR"/>
        </w:rPr>
        <w:t xml:space="preserve">O impacto orçamentário está previsto e não desequilibra a igualdade de oportunidades entre candidatos. [6, 11, 12, 13, 14] 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lang w:eastAsia="pt-BR"/>
        </w:rPr>
        <w:t xml:space="preserve">Uma </w:t>
      </w:r>
      <w:r w:rsidRPr="00C278C7">
        <w:rPr>
          <w:rFonts w:eastAsia="Times New Roman" w:cstheme="minorHAnsi"/>
          <w:b/>
          <w:bCs/>
          <w:lang w:eastAsia="pt-BR"/>
        </w:rPr>
        <w:t>justificativa técnica e estrutural</w:t>
      </w:r>
      <w:r w:rsidRPr="00C278C7">
        <w:rPr>
          <w:rFonts w:eastAsia="Times New Roman" w:cstheme="minorHAnsi"/>
          <w:lang w:eastAsia="pt-BR"/>
        </w:rPr>
        <w:t xml:space="preserve"> é o conjunto de argumentos fundamentados que demonstram que a mudança na carreira não é apenas um "aumento de salário disfarçado", mas uma necessidade real de organização da Administração Pública.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lang w:eastAsia="pt-BR"/>
        </w:rPr>
        <w:t xml:space="preserve">Para que o </w:t>
      </w:r>
      <w:hyperlink r:id="rId7" w:history="1">
        <w:r w:rsidRPr="00C278C7">
          <w:rPr>
            <w:rFonts w:eastAsia="Times New Roman" w:cstheme="minorHAnsi"/>
            <w:color w:val="0000FF"/>
            <w:u w:val="single"/>
            <w:lang w:eastAsia="pt-BR"/>
          </w:rPr>
          <w:t>TSE</w:t>
        </w:r>
      </w:hyperlink>
      <w:r w:rsidRPr="00C278C7">
        <w:rPr>
          <w:rFonts w:eastAsia="Times New Roman" w:cstheme="minorHAnsi"/>
          <w:lang w:eastAsia="pt-BR"/>
        </w:rPr>
        <w:t xml:space="preserve"> aceite essa distinção em ano eleitoral, </w:t>
      </w:r>
      <w:r w:rsidRPr="00C278C7">
        <w:rPr>
          <w:rFonts w:eastAsia="Times New Roman" w:cstheme="minorHAnsi"/>
          <w:color w:val="0000FF"/>
          <w:u w:val="single"/>
          <w:lang w:eastAsia="pt-BR"/>
        </w:rPr>
        <w:t>a proposta deve comprovar um dos seguintes pontos: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b/>
          <w:bCs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1. Modernização das Atribuições</w:t>
      </w:r>
    </w:p>
    <w:p w:rsidR="00C278C7" w:rsidRPr="00C278C7" w:rsidRDefault="00C278C7" w:rsidP="009E596B">
      <w:pPr>
        <w:numPr>
          <w:ilvl w:val="0"/>
          <w:numId w:val="1"/>
        </w:numPr>
        <w:spacing w:before="60" w:after="60" w:line="240" w:lineRule="auto"/>
        <w:ind w:left="0" w:firstLine="0"/>
        <w:jc w:val="both"/>
        <w:rPr>
          <w:rFonts w:eastAsia="Times New Roman" w:cstheme="minorHAnsi"/>
          <w:color w:val="0000FF"/>
          <w:lang w:eastAsia="pt-BR"/>
        </w:rPr>
      </w:pPr>
      <w:r w:rsidRPr="00C278C7">
        <w:rPr>
          <w:rFonts w:eastAsia="Times New Roman" w:cstheme="minorHAnsi"/>
          <w:b/>
          <w:bCs/>
          <w:color w:val="0000FF"/>
          <w:lang w:eastAsia="pt-BR"/>
        </w:rPr>
        <w:t>O que é</w:t>
      </w:r>
      <w:r w:rsidRPr="00C278C7">
        <w:rPr>
          <w:rFonts w:eastAsia="Times New Roman" w:cstheme="minorHAnsi"/>
          <w:color w:val="0000FF"/>
          <w:lang w:eastAsia="pt-BR"/>
        </w:rPr>
        <w:t>: Provar que a natureza do trabalho mudou (</w:t>
      </w:r>
      <w:proofErr w:type="spellStart"/>
      <w:r w:rsidRPr="00C278C7">
        <w:rPr>
          <w:rFonts w:eastAsia="Times New Roman" w:cstheme="minorHAnsi"/>
          <w:color w:val="0000FF"/>
          <w:lang w:eastAsia="pt-BR"/>
        </w:rPr>
        <w:t>ex</w:t>
      </w:r>
      <w:proofErr w:type="spellEnd"/>
      <w:r w:rsidRPr="00C278C7">
        <w:rPr>
          <w:rFonts w:eastAsia="Times New Roman" w:cstheme="minorHAnsi"/>
          <w:color w:val="0000FF"/>
          <w:lang w:eastAsia="pt-BR"/>
        </w:rPr>
        <w:t>: novas tecnologias ou leis) e o cargo precisa ser atualizado para refletir essa nova realidade.</w:t>
      </w:r>
    </w:p>
    <w:p w:rsidR="00C278C7" w:rsidRPr="00C278C7" w:rsidRDefault="00C278C7" w:rsidP="009E596B">
      <w:pPr>
        <w:numPr>
          <w:ilvl w:val="0"/>
          <w:numId w:val="1"/>
        </w:numPr>
        <w:spacing w:before="60" w:after="6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Exemplo</w:t>
      </w:r>
      <w:r w:rsidRPr="00C278C7">
        <w:rPr>
          <w:rFonts w:eastAsia="Times New Roman" w:cstheme="minorHAnsi"/>
          <w:lang w:eastAsia="pt-BR"/>
        </w:rPr>
        <w:t xml:space="preserve">: Exigir nível superior para um cargo que antes era de nível médio devido ao aumento da complexidade técnica das tarefas. [1, 2, 3] 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b/>
          <w:bCs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2. Correção de Distorções e Equidade</w:t>
      </w:r>
    </w:p>
    <w:p w:rsidR="00C278C7" w:rsidRPr="00C278C7" w:rsidRDefault="00C278C7" w:rsidP="009E596B">
      <w:pPr>
        <w:numPr>
          <w:ilvl w:val="0"/>
          <w:numId w:val="2"/>
        </w:numPr>
        <w:spacing w:before="60" w:after="60" w:line="240" w:lineRule="auto"/>
        <w:ind w:left="0" w:firstLine="0"/>
        <w:jc w:val="both"/>
        <w:rPr>
          <w:rFonts w:eastAsia="Times New Roman" w:cstheme="minorHAnsi"/>
          <w:color w:val="0000FF"/>
          <w:lang w:eastAsia="pt-BR"/>
        </w:rPr>
      </w:pPr>
      <w:r w:rsidRPr="00C278C7">
        <w:rPr>
          <w:rFonts w:eastAsia="Times New Roman" w:cstheme="minorHAnsi"/>
          <w:b/>
          <w:bCs/>
          <w:color w:val="0000FF"/>
          <w:lang w:eastAsia="pt-BR"/>
        </w:rPr>
        <w:t>O que é</w:t>
      </w:r>
      <w:r w:rsidRPr="00C278C7">
        <w:rPr>
          <w:rFonts w:eastAsia="Times New Roman" w:cstheme="minorHAnsi"/>
          <w:color w:val="0000FF"/>
          <w:lang w:eastAsia="pt-BR"/>
        </w:rPr>
        <w:t>: Demonstrar que existe uma desproporção salarial ou funcional injustificada entre carreiras similares ou com o mercado.</w:t>
      </w:r>
    </w:p>
    <w:p w:rsidR="00C278C7" w:rsidRPr="00C278C7" w:rsidRDefault="00C278C7" w:rsidP="009E596B">
      <w:pPr>
        <w:numPr>
          <w:ilvl w:val="0"/>
          <w:numId w:val="2"/>
        </w:numPr>
        <w:spacing w:before="60" w:after="60" w:line="240" w:lineRule="auto"/>
        <w:ind w:left="0" w:firstLine="0"/>
        <w:jc w:val="both"/>
        <w:rPr>
          <w:rFonts w:eastAsia="Times New Roman" w:cstheme="minorHAnsi"/>
          <w:color w:val="0000FF"/>
          <w:lang w:eastAsia="pt-BR"/>
        </w:rPr>
      </w:pPr>
      <w:r w:rsidRPr="00C278C7">
        <w:rPr>
          <w:rFonts w:eastAsia="Times New Roman" w:cstheme="minorHAnsi"/>
          <w:b/>
          <w:bCs/>
          <w:color w:val="0000FF"/>
          <w:lang w:eastAsia="pt-BR"/>
        </w:rPr>
        <w:t>Objetivo</w:t>
      </w:r>
      <w:r w:rsidRPr="00C278C7">
        <w:rPr>
          <w:rFonts w:eastAsia="Times New Roman" w:cstheme="minorHAnsi"/>
          <w:color w:val="0000FF"/>
          <w:lang w:eastAsia="pt-BR"/>
        </w:rPr>
        <w:t xml:space="preserve">: Estabelecer equilíbrio salarial com base na formação e competências. [1, 4] 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b/>
          <w:bCs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3. Aglutinação ou Transformação de Cargos</w:t>
      </w:r>
    </w:p>
    <w:p w:rsidR="00C278C7" w:rsidRPr="00C278C7" w:rsidRDefault="00C278C7" w:rsidP="009E596B">
      <w:pPr>
        <w:numPr>
          <w:ilvl w:val="0"/>
          <w:numId w:val="3"/>
        </w:numPr>
        <w:spacing w:before="60" w:after="60" w:line="240" w:lineRule="auto"/>
        <w:ind w:left="0" w:firstLine="0"/>
        <w:jc w:val="both"/>
        <w:rPr>
          <w:rFonts w:eastAsia="Times New Roman" w:cstheme="minorHAnsi"/>
          <w:color w:val="0000FF"/>
          <w:lang w:eastAsia="pt-BR"/>
        </w:rPr>
      </w:pPr>
      <w:r w:rsidRPr="00C278C7">
        <w:rPr>
          <w:rFonts w:eastAsia="Times New Roman" w:cstheme="minorHAnsi"/>
          <w:b/>
          <w:bCs/>
          <w:color w:val="0000FF"/>
          <w:lang w:eastAsia="pt-BR"/>
        </w:rPr>
        <w:t>O que é</w:t>
      </w:r>
      <w:r w:rsidRPr="00C278C7">
        <w:rPr>
          <w:rFonts w:eastAsia="Times New Roman" w:cstheme="minorHAnsi"/>
          <w:color w:val="0000FF"/>
          <w:lang w:eastAsia="pt-BR"/>
        </w:rPr>
        <w:t>: Unificar carreiras distintas que possuem atribuições idênticas ou muito semelhantes para simplificar a gestão.</w:t>
      </w:r>
      <w:r>
        <w:rPr>
          <w:rFonts w:eastAsia="Times New Roman" w:cstheme="minorHAnsi"/>
          <w:color w:val="0000FF"/>
          <w:lang w:eastAsia="pt-BR"/>
        </w:rPr>
        <w:t xml:space="preserve"> </w:t>
      </w:r>
      <w:r w:rsidRPr="00C278C7">
        <w:rPr>
          <w:rFonts w:eastAsia="Times New Roman" w:cstheme="minorHAnsi"/>
          <w:color w:val="0000FF"/>
          <w:highlight w:val="yellow"/>
          <w:lang w:eastAsia="pt-BR"/>
        </w:rPr>
        <w:t>(Citar que o Nível Fundamental foi esquecido!)</w:t>
      </w:r>
    </w:p>
    <w:p w:rsidR="00C278C7" w:rsidRPr="00C278C7" w:rsidRDefault="00C278C7" w:rsidP="009E596B">
      <w:pPr>
        <w:numPr>
          <w:ilvl w:val="0"/>
          <w:numId w:val="3"/>
        </w:numPr>
        <w:spacing w:before="60" w:after="6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Requisitos</w:t>
      </w:r>
      <w:r w:rsidRPr="00C278C7">
        <w:rPr>
          <w:rFonts w:eastAsia="Times New Roman" w:cstheme="minorHAnsi"/>
          <w:lang w:eastAsia="pt-BR"/>
        </w:rPr>
        <w:t xml:space="preserve">: O </w:t>
      </w:r>
      <w:hyperlink r:id="rId8" w:history="1">
        <w:r w:rsidRPr="00C278C7">
          <w:rPr>
            <w:rFonts w:eastAsia="Times New Roman" w:cstheme="minorHAnsi"/>
            <w:color w:val="0000FF"/>
            <w:u w:val="single"/>
            <w:lang w:eastAsia="pt-BR"/>
          </w:rPr>
          <w:t>STF</w:t>
        </w:r>
      </w:hyperlink>
      <w:r w:rsidRPr="00C278C7">
        <w:rPr>
          <w:rFonts w:eastAsia="Times New Roman" w:cstheme="minorHAnsi"/>
          <w:lang w:eastAsia="pt-BR"/>
        </w:rPr>
        <w:t xml:space="preserve"> exige que haja identidade substancial de atribuições e compatibilidade remuneratória para que isso seja válido. [5, 6] 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b/>
          <w:bCs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 xml:space="preserve">4. Eficiência Administrativa [7] </w:t>
      </w:r>
    </w:p>
    <w:p w:rsidR="00C278C7" w:rsidRPr="00C278C7" w:rsidRDefault="00C278C7" w:rsidP="009E596B">
      <w:pPr>
        <w:numPr>
          <w:ilvl w:val="0"/>
          <w:numId w:val="4"/>
        </w:numPr>
        <w:spacing w:before="60" w:after="6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O que é</w:t>
      </w:r>
      <w:r w:rsidRPr="00C278C7">
        <w:rPr>
          <w:rFonts w:eastAsia="Times New Roman" w:cstheme="minorHAnsi"/>
          <w:lang w:eastAsia="pt-BR"/>
        </w:rPr>
        <w:t>: Justificar que a nova estrutura tornará o serviço público mais célere e menos oneroso a longo prazo.</w:t>
      </w:r>
    </w:p>
    <w:p w:rsidR="00C278C7" w:rsidRPr="00C278C7" w:rsidRDefault="00C278C7" w:rsidP="009E596B">
      <w:pPr>
        <w:numPr>
          <w:ilvl w:val="0"/>
          <w:numId w:val="4"/>
        </w:numPr>
        <w:spacing w:before="60" w:after="60" w:line="240" w:lineRule="auto"/>
        <w:ind w:left="0" w:firstLine="0"/>
        <w:jc w:val="both"/>
        <w:rPr>
          <w:rFonts w:eastAsia="Times New Roman" w:cstheme="minorHAnsi"/>
          <w:color w:val="0000FF"/>
          <w:lang w:eastAsia="pt-BR"/>
        </w:rPr>
      </w:pPr>
      <w:r w:rsidRPr="00C278C7">
        <w:rPr>
          <w:rFonts w:eastAsia="Times New Roman" w:cstheme="minorHAnsi"/>
          <w:b/>
          <w:bCs/>
          <w:color w:val="0000FF"/>
          <w:lang w:eastAsia="pt-BR"/>
        </w:rPr>
        <w:t>Exemplo</w:t>
      </w:r>
      <w:r w:rsidRPr="00C278C7">
        <w:rPr>
          <w:rFonts w:eastAsia="Times New Roman" w:cstheme="minorHAnsi"/>
          <w:color w:val="0000FF"/>
          <w:lang w:eastAsia="pt-BR"/>
        </w:rPr>
        <w:t xml:space="preserve">: Criação de novas tabelas de vencimentos para incentivar a progressão por mérito e capacitação. [3, 8] </w:t>
      </w:r>
    </w:p>
    <w:p w:rsidR="00C278C7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b/>
          <w:bCs/>
          <w:lang w:eastAsia="pt-BR"/>
        </w:rPr>
      </w:pPr>
      <w:r w:rsidRPr="00C278C7">
        <w:rPr>
          <w:rFonts w:eastAsia="Times New Roman" w:cstheme="minorHAnsi"/>
          <w:b/>
          <w:bCs/>
          <w:lang w:eastAsia="pt-BR"/>
        </w:rPr>
        <w:t>Resumo do Diferencial</w:t>
      </w:r>
    </w:p>
    <w:p w:rsidR="0059652C" w:rsidRPr="00C278C7" w:rsidRDefault="00C278C7" w:rsidP="009E596B">
      <w:pPr>
        <w:spacing w:before="60" w:after="60" w:line="240" w:lineRule="auto"/>
        <w:jc w:val="both"/>
        <w:rPr>
          <w:rFonts w:eastAsia="Times New Roman" w:cstheme="minorHAnsi"/>
          <w:lang w:eastAsia="pt-BR"/>
        </w:rPr>
      </w:pPr>
      <w:r w:rsidRPr="00C278C7">
        <w:rPr>
          <w:rFonts w:eastAsia="Times New Roman" w:cstheme="minorHAnsi"/>
          <w:lang w:eastAsia="pt-BR"/>
        </w:rPr>
        <w:t xml:space="preserve">Enquanto a </w:t>
      </w:r>
      <w:r w:rsidRPr="00C278C7">
        <w:rPr>
          <w:rFonts w:eastAsia="Times New Roman" w:cstheme="minorHAnsi"/>
          <w:b/>
          <w:bCs/>
          <w:lang w:eastAsia="pt-BR"/>
        </w:rPr>
        <w:t>revisão geral</w:t>
      </w:r>
      <w:r w:rsidRPr="00C278C7">
        <w:rPr>
          <w:rFonts w:eastAsia="Times New Roman" w:cstheme="minorHAnsi"/>
          <w:lang w:eastAsia="pt-BR"/>
        </w:rPr>
        <w:t xml:space="preserve"> foca apenas na inflação para todos, a </w:t>
      </w:r>
      <w:r w:rsidRPr="00C278C7">
        <w:rPr>
          <w:rFonts w:eastAsia="Times New Roman" w:cstheme="minorHAnsi"/>
          <w:b/>
          <w:bCs/>
          <w:lang w:eastAsia="pt-BR"/>
        </w:rPr>
        <w:t>reestruturação</w:t>
      </w:r>
      <w:r w:rsidRPr="00C278C7">
        <w:rPr>
          <w:rFonts w:eastAsia="Times New Roman" w:cstheme="minorHAnsi"/>
          <w:lang w:eastAsia="pt-BR"/>
        </w:rPr>
        <w:t xml:space="preserve"> foca em </w:t>
      </w:r>
      <w:r w:rsidRPr="00C278C7">
        <w:rPr>
          <w:rFonts w:eastAsia="Times New Roman" w:cstheme="minorHAnsi"/>
          <w:b/>
          <w:bCs/>
          <w:lang w:eastAsia="pt-BR"/>
        </w:rPr>
        <w:t>como o cargo funciona</w:t>
      </w:r>
      <w:r w:rsidRPr="00C278C7">
        <w:rPr>
          <w:rFonts w:eastAsia="Times New Roman" w:cstheme="minorHAnsi"/>
          <w:lang w:eastAsia="pt-BR"/>
        </w:rPr>
        <w:t xml:space="preserve">. Se o documento focar apenas em "dar um aumento", o TSE pode barrar a medida por ferir a igualdade no pleito eleitoral. [9, 10] </w:t>
      </w:r>
    </w:p>
    <w:sectPr w:rsidR="0059652C" w:rsidRPr="00C278C7" w:rsidSect="00C278C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5CFA"/>
    <w:multiLevelType w:val="multilevel"/>
    <w:tmpl w:val="607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864CD"/>
    <w:multiLevelType w:val="multilevel"/>
    <w:tmpl w:val="D588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324E3"/>
    <w:multiLevelType w:val="multilevel"/>
    <w:tmpl w:val="BD5A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C4472"/>
    <w:multiLevelType w:val="multilevel"/>
    <w:tmpl w:val="1D8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C6024"/>
    <w:multiLevelType w:val="multilevel"/>
    <w:tmpl w:val="4054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B0705"/>
    <w:multiLevelType w:val="multilevel"/>
    <w:tmpl w:val="14A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8C7"/>
    <w:rsid w:val="00385144"/>
    <w:rsid w:val="0059652C"/>
    <w:rsid w:val="009E596B"/>
    <w:rsid w:val="00A31934"/>
    <w:rsid w:val="00A529B7"/>
    <w:rsid w:val="00C278C7"/>
    <w:rsid w:val="00EC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F7665"/>
  <w15:chartTrackingRefBased/>
  <w15:docId w15:val="{B42A305C-06F6-4C13-A707-FE5293AB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278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278C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278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9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53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8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9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6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9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stf.jus.br/jurisprudenciaRepercussao/verAndamentoProcesso.asp?incidente=4082536&amp;numeroProcesso=642895&amp;classeProcesso=RE&amp;numeroTema=66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masselecionados.tse.jus.br/temas-selecionados/condutas-vedadas-a-agentes-publicos/servidor-publico/revisao-geral-de-remunera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masselecionados.tse.jus.br/temas-selecionados/condutas-vedadas-a-agentes-publicos/servidor-publico/revisao-geral-de-remuneracao" TargetMode="External"/><Relationship Id="rId5" Type="http://schemas.openxmlformats.org/officeDocument/2006/relationships/hyperlink" Target="https://www.planalto.gov.br/ccivil_03/leis/l9504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698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Gusen</dc:creator>
  <cp:keywords/>
  <dc:description/>
  <cp:lastModifiedBy>Pablo Gusen</cp:lastModifiedBy>
  <cp:revision>6</cp:revision>
  <dcterms:created xsi:type="dcterms:W3CDTF">2026-03-10T14:55:00Z</dcterms:created>
  <dcterms:modified xsi:type="dcterms:W3CDTF">2026-03-10T15:05:00Z</dcterms:modified>
</cp:coreProperties>
</file>