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9BD0" w14:textId="77777777" w:rsidR="00AA11A0" w:rsidRDefault="00000000">
      <w:pPr>
        <w:pStyle w:val="Titre"/>
      </w:pPr>
      <w:r>
        <w:t>Review and Revision Pack</w:t>
      </w:r>
    </w:p>
    <w:p w14:paraId="023529FF" w14:textId="77777777" w:rsidR="00AA11A0" w:rsidRDefault="00000000">
      <w:pPr>
        <w:pStyle w:val="Author"/>
      </w:pPr>
      <w:r>
        <w:t>Belief Networks for Fault Diagnosis under Incomplete Information</w:t>
      </w:r>
    </w:p>
    <w:p w14:paraId="4C98CE4A" w14:textId="77777777" w:rsidR="00AA11A0" w:rsidRDefault="00000000">
      <w:pPr>
        <w:pStyle w:val="Date"/>
      </w:pPr>
      <w:r>
        <w:t>Prepared for Pablo Garcia-Legaz Levi — 16 June 2026</w:t>
      </w:r>
    </w:p>
    <w:sdt>
      <w:sdtPr>
        <w:rPr>
          <w:rFonts w:asciiTheme="minorHAnsi" w:eastAsiaTheme="minorHAnsi" w:hAnsiTheme="minorHAnsi" w:cstheme="minorBidi"/>
          <w:color w:val="auto"/>
          <w:sz w:val="24"/>
          <w:szCs w:val="24"/>
        </w:rPr>
        <w:id w:val="-1542889018"/>
        <w:docPartObj>
          <w:docPartGallery w:val="Table of Contents"/>
          <w:docPartUnique/>
        </w:docPartObj>
      </w:sdtPr>
      <w:sdtContent>
        <w:p w14:paraId="1D2EBEA2" w14:textId="77777777" w:rsidR="00AA11A0" w:rsidRDefault="00000000">
          <w:pPr>
            <w:pStyle w:val="En-ttedetabledesmatires"/>
          </w:pPr>
          <w:r>
            <w:t>Table of Contents</w:t>
          </w:r>
        </w:p>
        <w:p w14:paraId="25541DDA" w14:textId="77777777" w:rsidR="00AA11A0" w:rsidRDefault="00000000">
          <w:r>
            <w:fldChar w:fldCharType="begin"/>
          </w:r>
          <w:r>
            <w:instrText>TOC \o "1-2" \h \z \u</w:instrText>
          </w:r>
          <w:r>
            <w:fldChar w:fldCharType="separate"/>
          </w:r>
          <w:r>
            <w:fldChar w:fldCharType="end"/>
          </w:r>
        </w:p>
      </w:sdtContent>
    </w:sdt>
    <w:p w14:paraId="2709F53C" w14:textId="77777777" w:rsidR="00AA11A0" w:rsidRDefault="00000000">
      <w:pPr>
        <w:pStyle w:val="Titre1"/>
      </w:pPr>
      <w:bookmarkStart w:id="0" w:name="how-to-use-this-document"/>
      <w:r>
        <w:t>How to use this document</w:t>
      </w:r>
      <w:bookmarkEnd w:id="0"/>
    </w:p>
    <w:p w14:paraId="4411CBC0" w14:textId="77777777" w:rsidR="00AA11A0" w:rsidRDefault="00000000">
      <w:pPr>
        <w:pStyle w:val="FirstParagraph"/>
      </w:pPr>
      <w:r>
        <w:t xml:space="preserve">This pack covers the four things you asked for, in order: (1) a full rewritten, shortened </w:t>
      </w:r>
      <w:r>
        <w:rPr>
          <w:b/>
        </w:rPr>
        <w:t>Introduction</w:t>
      </w:r>
      <w:r>
        <w:t xml:space="preserve"> you can paste in; (2) a </w:t>
      </w:r>
      <w:r>
        <w:rPr>
          <w:b/>
        </w:rPr>
        <w:t>results check</w:t>
      </w:r>
      <w:r>
        <w:t xml:space="preserve"> against your four CSV files and analysis notes; (3) a </w:t>
      </w:r>
      <w:r>
        <w:rPr>
          <w:b/>
        </w:rPr>
        <w:t>citation review</w:t>
      </w:r>
      <w:r>
        <w:t xml:space="preserve"> with ready-to-add references; and (4) a </w:t>
      </w:r>
      <w:r>
        <w:rPr>
          <w:b/>
        </w:rPr>
        <w:t>shortening plan</w:t>
      </w:r>
      <w:r>
        <w:t xml:space="preserve"> to reach the 16-page limit, followed by general feedback on the rest of the paper.</w:t>
      </w:r>
    </w:p>
    <w:p w14:paraId="79C24D21" w14:textId="77777777" w:rsidR="00AA11A0" w:rsidRDefault="00000000">
      <w:pPr>
        <w:pStyle w:val="Corpsdetexte"/>
      </w:pPr>
      <w:r>
        <w:t>A note on what I worked from: your current paper (</w:t>
      </w:r>
      <w:r>
        <w:rPr>
          <w:rStyle w:val="VerbatimChar"/>
        </w:rPr>
        <w:t>Springer_Lecture_Notes…</w:t>
      </w:r>
      <w:r>
        <w:t>, 19 pages), your first draft with your tutor’s 55 comments (</w:t>
      </w:r>
      <w:r>
        <w:rPr>
          <w:rStyle w:val="VerbatimChar"/>
        </w:rPr>
        <w:t>pablo-14-may-corrected</w:t>
      </w:r>
      <w:r>
        <w:t xml:space="preserve">), the four BFM result CSVs (L0, L1, L2, L4), your </w:t>
      </w:r>
      <w:r>
        <w:rPr>
          <w:rStyle w:val="VerbatimChar"/>
        </w:rPr>
        <w:t>Experiments Analysis</w:t>
      </w:r>
      <w:r>
        <w:t xml:space="preserve"> notes, and the context-transfer document. The new research question is the one you confirmed: </w:t>
      </w:r>
      <w:r>
        <w:rPr>
          <w:i/>
        </w:rPr>
        <w:t>“When are belief networks a suitable approach for fault diagnosis under incomplete probabilistic information, and how can such a model be implemented and evaluated in practice?”</w:t>
      </w:r>
    </w:p>
    <w:p w14:paraId="2E15D6A9" w14:textId="77777777" w:rsidR="00AA11A0" w:rsidRDefault="00000000">
      <w:pPr>
        <w:pStyle w:val="Corpsdetexte"/>
      </w:pPr>
      <w:r>
        <w:t xml:space="preserve">Bottom line up front: the current paper is in good shape and already fixes several of the hardest tutor comments (the belief/plausibility conceptual error, the title, model-based vs. knowledge-based, priors/CPTs in the intro). The three things still worth your attention are (a) </w:t>
      </w:r>
      <w:r>
        <w:rPr>
          <w:b/>
        </w:rPr>
        <w:t>citations are now thinner than your own May draft</w:t>
      </w:r>
      <w:r>
        <w:t xml:space="preserve"> and several references your tutor explicitly requested are missing; (b) one </w:t>
      </w:r>
      <w:r>
        <w:rPr>
          <w:b/>
        </w:rPr>
        <w:t>factual slip in the L4 results table</w:t>
      </w:r>
      <w:r>
        <w:t xml:space="preserve"> (“C3–C9” and “rules out upstream causes”); and (c) the page count, where the intro helps but is not where most of the savings are.</w:t>
      </w:r>
    </w:p>
    <w:p w14:paraId="16D8EBFC" w14:textId="77777777" w:rsidR="00AA11A0" w:rsidRDefault="00000000">
      <w:r>
        <w:rPr>
          <w:noProof/>
        </w:rPr>
      </w:r>
      <w:r>
        <w:rPr>
          <w:noProof/>
        </w:rPr>
        <w:pict w14:anchorId="1A546173">
          <v:rect id="_x0000_i1029" alt="" style="width:453.6pt;height:.05pt;mso-width-percent:0;mso-height-percent:0;mso-width-percent:0;mso-height-percent:0" o:hralign="center" o:hrstd="t" o:hr="t"/>
        </w:pict>
      </w:r>
    </w:p>
    <w:p w14:paraId="1AE1ED2E" w14:textId="77777777" w:rsidR="00AA11A0" w:rsidRDefault="00000000">
      <w:pPr>
        <w:pStyle w:val="Titre1"/>
      </w:pPr>
      <w:bookmarkStart w:id="1" w:name="X1b7362112ff5e30221ff3a7236ad956660c987c"/>
      <w:r>
        <w:t>1. Rewritten introduction (shorter, paste-ready)</w:t>
      </w:r>
      <w:bookmarkEnd w:id="1"/>
    </w:p>
    <w:p w14:paraId="6854ADE3" w14:textId="77777777" w:rsidR="00AA11A0" w:rsidRDefault="00000000">
      <w:pPr>
        <w:pStyle w:val="FirstParagraph"/>
      </w:pPr>
      <w:r>
        <w:t xml:space="preserve">Below is a complete replacement introduction. It is about 25–30% shorter than the current one, removes the repeated “middle ground / not a replacement” statements (your tutor asked you to say this once), folds the standalone contribution paragraph into the motivation, and adds the citations your tutor asked for. New citations not yet in your paper are marked </w:t>
      </w:r>
      <w:r>
        <w:rPr>
          <w:b/>
        </w:rPr>
        <w:t>[NEW]</w:t>
      </w:r>
      <w:r>
        <w:t>; see Section 3 for full entries. Citation tags use author names so you can map them to your numbered list.</w:t>
      </w:r>
    </w:p>
    <w:p w14:paraId="139FD5CD" w14:textId="77777777" w:rsidR="00AA11A0" w:rsidRDefault="00000000">
      <w:pPr>
        <w:pStyle w:val="Normalcentr"/>
      </w:pPr>
      <w:r>
        <w:rPr>
          <w:b/>
        </w:rPr>
        <w:t>1 Introduction</w:t>
      </w:r>
    </w:p>
    <w:p w14:paraId="75D9E85F" w14:textId="77777777" w:rsidR="00AA11A0" w:rsidRDefault="00000000">
      <w:pPr>
        <w:pStyle w:val="Normalcentr"/>
      </w:pPr>
      <w:r>
        <w:lastRenderedPageBreak/>
        <w:t>Fault diagnosis is the task of identifying the cause of abnormal behaviour in a technical system [Isermann 2006]. Modern industrial machinery, energy systems, and cyber-physical systems are highly interconnected, so a single component failure can propagate through the system and produce symptoms that are not obviously tied to their root cause, with consequences ranging from downtime and financial loss to safety risk [Venkatasubramanian 2003; Gao 2015]. A diagnostic method must therefore reason from observable symptoms — alarms, indicator lights, sensor readings, or failed outputs — back to hidden faults in components, connections, or subsystems.</w:t>
      </w:r>
    </w:p>
    <w:p w14:paraId="43B4689E" w14:textId="77777777" w:rsidR="00AA11A0" w:rsidRDefault="00000000">
      <w:pPr>
        <w:pStyle w:val="Normalcentr"/>
      </w:pPr>
      <w:r>
        <w:t>A minimal example shows the difficulty. Consider a battery, a switch, a cable, and a lamp connected in series, and suppose the lamp does not light. The observation alone does not identify the cause: the battery may be flat, the switch open, the cable broken, or the lamp blown. Additional observations such as indicator LEDs or voltage readings narrow the possibilities but rarely eliminate them. This thesis studies exactly this kind of diagnostic ambiguity, using the modular electrical system described in Section 3.</w:t>
      </w:r>
    </w:p>
    <w:p w14:paraId="7B1E42A5" w14:textId="77777777" w:rsidR="00AA11A0" w:rsidRDefault="00000000">
      <w:pPr>
        <w:pStyle w:val="Normalcentr"/>
      </w:pPr>
      <w:r>
        <w:t>Bayesian networks (BNs) are among the most widely used frameworks for reasoning under uncertainty in structured domains [Pearl 1988; Heckerman 1995], and have been applied to fault detection and diagnosis where hidden states must be inferred from imperfect evidence [Lerner et al. 2000]. A BN encodes faults, internal states, and symptoms as nodes in a directed acyclic graph; before inference can be run, every root node must be assigned a prior probability and every other node a conditional probability table (CPT). Evidence is then propagated to obtain posterior fault probabilities. The limitation relevant here is not that BNs reason poorly, but that they require uncertainty to be expressed as complete and precise probability distributions.</w:t>
      </w:r>
    </w:p>
    <w:p w14:paraId="52EFBE8F" w14:textId="77777777" w:rsidR="00AA11A0" w:rsidRDefault="00000000">
      <w:pPr>
        <w:pStyle w:val="Normalcentr"/>
      </w:pPr>
      <w:r>
        <w:t xml:space="preserve">This becomes problematic when the diagnostic structure is known but some probabilities are unavailable, weakly justified, or hard to estimate reliably — for rare faults with little failure data, recently redesigned components, or parts from a new supplier. Two common remedies are to fill the gaps with default assumptions such as uniform or maximum-entropy values, or to elicit the numbers from domain experts, which can introduce bias and overconfidence [O’Hagan et al. 2006 — </w:t>
      </w:r>
      <w:r>
        <w:rPr>
          <w:b/>
        </w:rPr>
        <w:t>NEW</w:t>
      </w:r>
      <w:r>
        <w:t>]. Either way, the model still returns precise posteriors that can hide how little the underlying knowledge actually supports them [Shenoy 2023].</w:t>
      </w:r>
    </w:p>
    <w:p w14:paraId="526E4F23" w14:textId="77777777" w:rsidR="00AA11A0" w:rsidRDefault="00000000">
      <w:pPr>
        <w:pStyle w:val="Normalcentr"/>
      </w:pPr>
      <w:r>
        <w:t xml:space="preserve">Several uncertainty theories are designed to represent such incomplete information directly. Dempster–Shafer (belief-function) theory assigns support not only to individual hypotheses but also to sets of hypotheses [Dempster 1967; Shafer 1976]. If the evidence indicates an upstream electrical interruption but does not justify separating a battery fault from an early cable fault, a belief function can commit support to the set {battery, cable} as a whole rather than forcing an artificial split. Two quantities are then read from the result: </w:t>
      </w:r>
      <w:r>
        <w:rPr>
          <w:i/>
        </w:rPr>
        <w:t>belief</w:t>
      </w:r>
      <w:r>
        <w:t xml:space="preserve">, the support committed to a fault, and </w:t>
      </w:r>
      <w:r>
        <w:rPr>
          <w:i/>
        </w:rPr>
        <w:t>plausibility</w:t>
      </w:r>
      <w:r>
        <w:t>, the support compatible with it. A low belief but high plausibility means a fault is not directly supported yet cannot be ruled out — a distinction a single probability cannot express. Belief and plausibility are treated here as measures of committed and compatible support, not as the endpoints of an interval guaranteed to contain a “true” probability.</w:t>
      </w:r>
    </w:p>
    <w:p w14:paraId="6CDECDB9" w14:textId="77777777" w:rsidR="00AA11A0" w:rsidRDefault="00000000">
      <w:pPr>
        <w:pStyle w:val="Normalcentr"/>
      </w:pPr>
      <w:r>
        <w:t>This work builds on Shenoy’s method for inference in incomplete Bayesian networks using belief functions [Shenoy 2023], in which known probabilities are embedded as belief functions while missing ones are left vacuous. The complete BN is therefore not a competitor to be beaten; it is a reference structure and a validation point. When all information is present, the belief-function model should reproduce the BN; once information is removed deliberately, its behaviour under incompleteness can be studied. The aim is not to show that belief networks are more accurate than BNs — under complete information they are equivalent — but to characterise when, and how usefully, they represent diagnostic knowledge that is genuinely incomplete.</w:t>
      </w:r>
    </w:p>
    <w:p w14:paraId="3A873482" w14:textId="77777777" w:rsidR="00AA11A0" w:rsidRDefault="00000000">
      <w:pPr>
        <w:pStyle w:val="Normalcentr"/>
      </w:pPr>
      <w:r>
        <w:t xml:space="preserve">The thesis is deliberately practical. Rather than proposing new theory, it shows how a practitioner can move from a known diagnostic structure to a belief network, how missing information can be preserved instead of invented, and how the output should be read. Because the motivation is real-world applicability under limited data, the analysis also asks which limitations the approach shares with BNs, which it removes, and which it adds, and how close it is to deployment, framed through technology-readiness levels [Mankins 1995 — </w:t>
      </w:r>
      <w:r>
        <w:rPr>
          <w:b/>
        </w:rPr>
        <w:t>NEW</w:t>
      </w:r>
      <w:r>
        <w:t>]. A modular electrical case study (Section 3) is used throughout: the complete BN provides a consistency check, and the main analysis concerns how the belief network behaves as probabilistic information is progressively removed (Section 5).</w:t>
      </w:r>
    </w:p>
    <w:p w14:paraId="6FF63444" w14:textId="77777777" w:rsidR="00AA11A0" w:rsidRDefault="00000000">
      <w:pPr>
        <w:pStyle w:val="Normalcentr"/>
      </w:pPr>
      <w:r>
        <w:t>The main research question is:</w:t>
      </w:r>
    </w:p>
    <w:p w14:paraId="53401B20" w14:textId="77777777" w:rsidR="00AA11A0" w:rsidRDefault="00000000">
      <w:pPr>
        <w:pStyle w:val="Normalcentr"/>
      </w:pPr>
      <w:r>
        <w:rPr>
          <w:i/>
        </w:rPr>
        <w:t>When are belief networks a suitable approach for fault diagnosis under incomplete probabilistic information, and how can such a model be implemented and evaluated in practice?</w:t>
      </w:r>
    </w:p>
    <w:p w14:paraId="5D5D6F38" w14:textId="77777777" w:rsidR="00AA11A0" w:rsidRDefault="00000000">
      <w:pPr>
        <w:pStyle w:val="Normalcentr"/>
      </w:pPr>
      <w:r>
        <w:t>It is addressed through five subquestions, each explored in the indicated sections:</w:t>
      </w:r>
    </w:p>
    <w:p w14:paraId="648093F4" w14:textId="77777777" w:rsidR="00AA11A0" w:rsidRDefault="00000000">
      <w:pPr>
        <w:pStyle w:val="Compact"/>
        <w:numPr>
          <w:ilvl w:val="0"/>
          <w:numId w:val="2"/>
        </w:numPr>
      </w:pPr>
      <w:r>
        <w:t>How can a fault-diagnosis problem be represented as a belief network? (Sections 3–4)</w:t>
      </w:r>
    </w:p>
    <w:p w14:paraId="33B8E4F6" w14:textId="77777777" w:rsidR="00AA11A0" w:rsidRDefault="00000000">
      <w:pPr>
        <w:pStyle w:val="Compact"/>
        <w:numPr>
          <w:ilvl w:val="0"/>
          <w:numId w:val="2"/>
        </w:numPr>
      </w:pPr>
      <w:r>
        <w:t>How can missing or weakly justified diagnostic information be represented using belief functions? (Section 4.2)</w:t>
      </w:r>
    </w:p>
    <w:p w14:paraId="57348BBB" w14:textId="77777777" w:rsidR="00AA11A0" w:rsidRDefault="00000000">
      <w:pPr>
        <w:pStyle w:val="Compact"/>
        <w:numPr>
          <w:ilvl w:val="0"/>
          <w:numId w:val="2"/>
        </w:numPr>
      </w:pPr>
      <w:r>
        <w:t>How can a belief-network model be implemented and validated using the Belief Function Machine? (Sections 4.3 and 5.1)</w:t>
      </w:r>
    </w:p>
    <w:p w14:paraId="15E16106" w14:textId="77777777" w:rsidR="00AA11A0" w:rsidRDefault="00000000">
      <w:pPr>
        <w:pStyle w:val="Compact"/>
        <w:numPr>
          <w:ilvl w:val="0"/>
          <w:numId w:val="2"/>
        </w:numPr>
      </w:pPr>
      <w:r>
        <w:t>How do belief, plausibility, and diagnostic rankings behave as probabilistic information is progressively removed? (Sections 5.2–5.5)</w:t>
      </w:r>
    </w:p>
    <w:p w14:paraId="0253DFBA" w14:textId="77777777" w:rsidR="00AA11A0" w:rsidRDefault="00000000">
      <w:pPr>
        <w:pStyle w:val="Compact"/>
        <w:numPr>
          <w:ilvl w:val="0"/>
          <w:numId w:val="2"/>
        </w:numPr>
      </w:pPr>
      <w:r>
        <w:t>Under what practical conditions is the belief-network approach useful for industrial users, and what are its main limitations? (Section 6)</w:t>
      </w:r>
    </w:p>
    <w:p w14:paraId="66BA8D0D" w14:textId="77777777" w:rsidR="00AA11A0" w:rsidRDefault="00000000">
      <w:pPr>
        <w:pStyle w:val="Titre2"/>
      </w:pPr>
      <w:bookmarkStart w:id="2" w:name="X043ffe3bba943c3ceab45bda067f767a8c90d08"/>
      <w:r>
        <w:t>What this rewrite changes, and which tutor comments it answers</w:t>
      </w:r>
      <w:bookmarkEnd w:id="2"/>
    </w:p>
    <w:p w14:paraId="1DC22B8E" w14:textId="77777777" w:rsidR="00AA11A0" w:rsidRDefault="00000000">
      <w:pPr>
        <w:pStyle w:val="Compact"/>
        <w:numPr>
          <w:ilvl w:val="0"/>
          <w:numId w:val="3"/>
        </w:numPr>
      </w:pPr>
      <w:r>
        <w:rPr>
          <w:b/>
        </w:rPr>
        <w:t>“Don’t frame it as a performance comparison” / “say once that it isn’t a replacement.”</w:t>
      </w:r>
      <w:r>
        <w:t xml:space="preserve"> The old intro stated the “middle ground” motivation and the “not a replacement” point four times across the paper. The rewrite states it once, cleanly, in the Shenoy paragraph.</w:t>
      </w:r>
    </w:p>
    <w:p w14:paraId="3D0DAC6B" w14:textId="77777777" w:rsidR="00AA11A0" w:rsidRDefault="00000000">
      <w:pPr>
        <w:pStyle w:val="Compact"/>
        <w:numPr>
          <w:ilvl w:val="0"/>
          <w:numId w:val="3"/>
        </w:numPr>
      </w:pPr>
      <w:r>
        <w:rPr>
          <w:b/>
        </w:rPr>
        <w:t>“Introduce DS theory smoothly — it currently starts out of nowhere.”</w:t>
      </w:r>
      <w:r>
        <w:t xml:space="preserve"> The rewrite opens the belief-function paragraph with “Several uncertainty theories are designed to represent such incomplete information directly,” exactly the bridge your tutor suggested.</w:t>
      </w:r>
    </w:p>
    <w:p w14:paraId="509C69CC" w14:textId="77777777" w:rsidR="00AA11A0" w:rsidRDefault="00000000">
      <w:pPr>
        <w:pStyle w:val="Compact"/>
        <w:numPr>
          <w:ilvl w:val="0"/>
          <w:numId w:val="3"/>
        </w:numPr>
      </w:pPr>
      <w:r>
        <w:rPr>
          <w:b/>
        </w:rPr>
        <w:t>“Belief functions don’t return an interval whose ‘correct’ value lies between.”</w:t>
      </w:r>
      <w:r>
        <w:t xml:space="preserve"> Kept and reinforced your current fix: belief and plausibility are committed vs. compatible support, not interval endpoints.</w:t>
      </w:r>
    </w:p>
    <w:p w14:paraId="1B93AAA7" w14:textId="77777777" w:rsidR="00AA11A0" w:rsidRDefault="00000000">
      <w:pPr>
        <w:pStyle w:val="Compact"/>
        <w:numPr>
          <w:ilvl w:val="0"/>
          <w:numId w:val="3"/>
        </w:numPr>
      </w:pPr>
      <w:r>
        <w:rPr>
          <w:b/>
        </w:rPr>
        <w:t>“The core of the thesis is barely motivated — explore applicability, shared/added limitations, and readiness level (cite the TRL reference).”</w:t>
      </w:r>
      <w:r>
        <w:t xml:space="preserve"> Paragraph 7 now does this explicitly and cites Mankins for TRLs.</w:t>
      </w:r>
    </w:p>
    <w:p w14:paraId="0B067F98" w14:textId="77777777" w:rsidR="00AA11A0" w:rsidRDefault="00000000">
      <w:pPr>
        <w:pStyle w:val="Compact"/>
        <w:numPr>
          <w:ilvl w:val="0"/>
          <w:numId w:val="3"/>
        </w:numPr>
      </w:pPr>
      <w:r>
        <w:rPr>
          <w:b/>
        </w:rPr>
        <w:t>“Mention priors and conditional probabilities — they are key BN inputs.”</w:t>
      </w:r>
      <w:r>
        <w:t xml:space="preserve"> Paragraph 3 names both, before talking about posteriors.</w:t>
      </w:r>
    </w:p>
    <w:p w14:paraId="1359A32B" w14:textId="77777777" w:rsidR="00AA11A0" w:rsidRDefault="00000000">
      <w:pPr>
        <w:pStyle w:val="Compact"/>
        <w:numPr>
          <w:ilvl w:val="0"/>
          <w:numId w:val="3"/>
        </w:numPr>
      </w:pPr>
      <w:r>
        <w:rPr>
          <w:b/>
        </w:rPr>
        <w:t>“Add a concrete example early, with citations.”</w:t>
      </w:r>
      <w:r>
        <w:t xml:space="preserve"> Kept your battery–switch–lamp example; the opening sentences now carry citations (Isermann; Venkatasubramanian; Gao).</w:t>
      </w:r>
    </w:p>
    <w:p w14:paraId="70D55DE4" w14:textId="77777777" w:rsidR="00AA11A0" w:rsidRDefault="00000000">
      <w:pPr>
        <w:pStyle w:val="Compact"/>
        <w:numPr>
          <w:ilvl w:val="0"/>
          <w:numId w:val="3"/>
        </w:numPr>
      </w:pPr>
      <w:r>
        <w:rPr>
          <w:b/>
        </w:rPr>
        <w:t>“Expert elicitation is another common source and can bias the probabilities — add a reference.”</w:t>
      </w:r>
      <w:r>
        <w:t xml:space="preserve"> Added in paragraph 4 with O’Hagan et al.</w:t>
      </w:r>
    </w:p>
    <w:p w14:paraId="447FF9A6" w14:textId="77777777" w:rsidR="00AA11A0" w:rsidRDefault="00000000">
      <w:pPr>
        <w:pStyle w:val="Compact"/>
        <w:numPr>
          <w:ilvl w:val="0"/>
          <w:numId w:val="3"/>
        </w:numPr>
      </w:pPr>
      <w:r>
        <w:rPr>
          <w:b/>
        </w:rPr>
        <w:t>“Refer to the sections where each subquestion is explored.”</w:t>
      </w:r>
      <w:r>
        <w:t xml:space="preserve"> Section pointers added to every subquestion.</w:t>
      </w:r>
    </w:p>
    <w:p w14:paraId="7C993EE0" w14:textId="77777777" w:rsidR="00AA11A0" w:rsidRDefault="00000000">
      <w:pPr>
        <w:pStyle w:val="Compact"/>
        <w:numPr>
          <w:ilvl w:val="0"/>
          <w:numId w:val="3"/>
        </w:numPr>
      </w:pPr>
      <w:r>
        <w:rPr>
          <w:b/>
        </w:rPr>
        <w:t>“RQ before related work.”</w:t>
      </w:r>
      <w:r>
        <w:t xml:space="preserve"> The RQ sits at the end of the intro, ahead of the background/related work — the order your tutor recommended.</w:t>
      </w:r>
    </w:p>
    <w:p w14:paraId="1E0E14F5" w14:textId="77777777" w:rsidR="00AA11A0" w:rsidRDefault="00AC2550">
      <w:r>
        <w:rPr>
          <w:noProof/>
        </w:rPr>
        <w:pict w14:anchorId="41A8D91B">
          <v:rect id="_x0000_i1028" alt="" style="width:453.6pt;height:.05pt;mso-width-percent:0;mso-height-percent:0;mso-width-percent:0;mso-height-percent:0" o:hralign="center" o:hrstd="t" o:hr="t"/>
        </w:pict>
      </w:r>
    </w:p>
    <w:p w14:paraId="1D46BEF7" w14:textId="77777777" w:rsidR="00AA11A0" w:rsidRDefault="00000000">
      <w:pPr>
        <w:pStyle w:val="Titre1"/>
      </w:pPr>
      <w:bookmarkStart w:id="3" w:name="results-check-against-your-data"/>
      <w:r>
        <w:t>2. Results check against your data</w:t>
      </w:r>
      <w:bookmarkEnd w:id="3"/>
    </w:p>
    <w:p w14:paraId="3E18D9E7" w14:textId="77777777" w:rsidR="00AA11A0" w:rsidRDefault="00000000">
      <w:pPr>
        <w:pStyle w:val="FirstParagraph"/>
      </w:pPr>
      <w:r>
        <w:t>I cross-checked every number and claim in Section 5 (Tables 2–6 and the surrounding prose) against the four CSVs (</w:t>
      </w:r>
      <w:r>
        <w:rPr>
          <w:rStyle w:val="VerbatimChar"/>
        </w:rPr>
        <w:t>bfm_L0</w:t>
      </w:r>
      <w:r>
        <w:t xml:space="preserve">, </w:t>
      </w:r>
      <w:r>
        <w:rPr>
          <w:rStyle w:val="VerbatimChar"/>
        </w:rPr>
        <w:t>bfm_L1…ranked</w:t>
      </w:r>
      <w:r>
        <w:t xml:space="preserve">, </w:t>
      </w:r>
      <w:r>
        <w:rPr>
          <w:rStyle w:val="VerbatimChar"/>
        </w:rPr>
        <w:t>bfm_L2…</w:t>
      </w:r>
      <w:r>
        <w:t xml:space="preserve">, </w:t>
      </w:r>
      <w:r>
        <w:rPr>
          <w:rStyle w:val="VerbatimChar"/>
        </w:rPr>
        <w:t>bfm_L4…</w:t>
      </w:r>
      <w:r>
        <w:t xml:space="preserve">) and your analysis notes. The good news: the vast majority match exactly. There is </w:t>
      </w:r>
      <w:r>
        <w:rPr>
          <w:b/>
        </w:rPr>
        <w:t>one real error</w:t>
      </w:r>
      <w:r>
        <w:t xml:space="preserve"> and </w:t>
      </w:r>
      <w:r>
        <w:rPr>
          <w:b/>
        </w:rPr>
        <w:t>one claim that needs softening</w:t>
      </w:r>
      <w:r>
        <w:t>, both in the L4 table.</w:t>
      </w:r>
    </w:p>
    <w:p w14:paraId="5A6C5A65" w14:textId="77777777" w:rsidR="00AA11A0" w:rsidRDefault="00000000">
      <w:pPr>
        <w:pStyle w:val="Titre2"/>
      </w:pPr>
      <w:bookmarkStart w:id="4" w:name="verification-table"/>
      <w:r>
        <w:t>Verification table</w:t>
      </w:r>
      <w:bookmarkEnd w:id="4"/>
    </w:p>
    <w:tbl>
      <w:tblPr>
        <w:tblStyle w:val="Table"/>
        <w:tblW w:w="5000" w:type="pct"/>
        <w:tblLook w:val="07E0" w:firstRow="1" w:lastRow="1" w:firstColumn="1" w:lastColumn="1" w:noHBand="1" w:noVBand="1"/>
      </w:tblPr>
      <w:tblGrid>
        <w:gridCol w:w="1556"/>
        <w:gridCol w:w="2100"/>
        <w:gridCol w:w="2408"/>
        <w:gridCol w:w="3342"/>
      </w:tblGrid>
      <w:tr w:rsidR="00AA11A0" w14:paraId="028D0D95" w14:textId="77777777">
        <w:tc>
          <w:tcPr>
            <w:tcW w:w="0" w:type="auto"/>
            <w:tcBorders>
              <w:bottom w:val="single" w:sz="0" w:space="0" w:color="auto"/>
            </w:tcBorders>
            <w:vAlign w:val="bottom"/>
          </w:tcPr>
          <w:p w14:paraId="09D4A89D" w14:textId="77777777" w:rsidR="00AA11A0" w:rsidRDefault="00000000">
            <w:pPr>
              <w:pStyle w:val="Compact"/>
            </w:pPr>
            <w:r>
              <w:t>Where</w:t>
            </w:r>
          </w:p>
        </w:tc>
        <w:tc>
          <w:tcPr>
            <w:tcW w:w="0" w:type="auto"/>
            <w:tcBorders>
              <w:bottom w:val="single" w:sz="0" w:space="0" w:color="auto"/>
            </w:tcBorders>
            <w:vAlign w:val="bottom"/>
          </w:tcPr>
          <w:p w14:paraId="3E55534C" w14:textId="77777777" w:rsidR="00AA11A0" w:rsidRDefault="00000000">
            <w:pPr>
              <w:pStyle w:val="Compact"/>
            </w:pPr>
            <w:r>
              <w:t>Paper states</w:t>
            </w:r>
          </w:p>
        </w:tc>
        <w:tc>
          <w:tcPr>
            <w:tcW w:w="0" w:type="auto"/>
            <w:tcBorders>
              <w:bottom w:val="single" w:sz="0" w:space="0" w:color="auto"/>
            </w:tcBorders>
            <w:vAlign w:val="bottom"/>
          </w:tcPr>
          <w:p w14:paraId="6A69504A" w14:textId="77777777" w:rsidR="00AA11A0" w:rsidRDefault="00000000">
            <w:pPr>
              <w:pStyle w:val="Compact"/>
            </w:pPr>
            <w:r>
              <w:t>Your data (CSV)</w:t>
            </w:r>
          </w:p>
        </w:tc>
        <w:tc>
          <w:tcPr>
            <w:tcW w:w="0" w:type="auto"/>
            <w:tcBorders>
              <w:bottom w:val="single" w:sz="0" w:space="0" w:color="auto"/>
            </w:tcBorders>
            <w:vAlign w:val="bottom"/>
          </w:tcPr>
          <w:p w14:paraId="653A243C" w14:textId="77777777" w:rsidR="00AA11A0" w:rsidRDefault="00000000">
            <w:pPr>
              <w:pStyle w:val="Compact"/>
            </w:pPr>
            <w:r>
              <w:t>Verdict</w:t>
            </w:r>
          </w:p>
        </w:tc>
      </w:tr>
      <w:tr w:rsidR="00AA11A0" w14:paraId="2FC6D192" w14:textId="77777777">
        <w:tc>
          <w:tcPr>
            <w:tcW w:w="0" w:type="auto"/>
          </w:tcPr>
          <w:p w14:paraId="784EC34D" w14:textId="77777777" w:rsidR="00AA11A0" w:rsidRDefault="00000000">
            <w:pPr>
              <w:pStyle w:val="Compact"/>
            </w:pPr>
            <w:r>
              <w:t>Table 2, L0 s7</w:t>
            </w:r>
          </w:p>
        </w:tc>
        <w:tc>
          <w:tcPr>
            <w:tcW w:w="0" w:type="auto"/>
          </w:tcPr>
          <w:p w14:paraId="00A74755" w14:textId="77777777" w:rsidR="00AA11A0" w:rsidRDefault="00000000">
            <w:pPr>
              <w:pStyle w:val="Compact"/>
            </w:pPr>
            <w:r>
              <w:t>Batt = exhausted, Bel = Pl = 1.00</w:t>
            </w:r>
          </w:p>
        </w:tc>
        <w:tc>
          <w:tcPr>
            <w:tcW w:w="0" w:type="auto"/>
          </w:tcPr>
          <w:p w14:paraId="2C683091" w14:textId="77777777" w:rsidR="00AA11A0" w:rsidRDefault="00000000">
            <w:pPr>
              <w:pStyle w:val="Compact"/>
            </w:pPr>
            <w:r>
              <w:t>belief 1, plaus 1</w:t>
            </w:r>
          </w:p>
        </w:tc>
        <w:tc>
          <w:tcPr>
            <w:tcW w:w="0" w:type="auto"/>
          </w:tcPr>
          <w:p w14:paraId="341BF65B" w14:textId="77777777" w:rsidR="00AA11A0" w:rsidRDefault="00000000">
            <w:pPr>
              <w:pStyle w:val="Compact"/>
            </w:pPr>
            <w:r>
              <w:t>✓ exact</w:t>
            </w:r>
          </w:p>
        </w:tc>
      </w:tr>
      <w:tr w:rsidR="00AA11A0" w14:paraId="62AAC523" w14:textId="77777777">
        <w:tc>
          <w:tcPr>
            <w:tcW w:w="0" w:type="auto"/>
          </w:tcPr>
          <w:p w14:paraId="79629B53" w14:textId="77777777" w:rsidR="00AA11A0" w:rsidRDefault="00000000">
            <w:pPr>
              <w:pStyle w:val="Compact"/>
            </w:pPr>
            <w:r>
              <w:t>Table 2, L0 s8</w:t>
            </w:r>
          </w:p>
        </w:tc>
        <w:tc>
          <w:tcPr>
            <w:tcW w:w="0" w:type="auto"/>
          </w:tcPr>
          <w:p w14:paraId="56EDBA12" w14:textId="77777777" w:rsidR="00AA11A0" w:rsidRDefault="00000000">
            <w:pPr>
              <w:pStyle w:val="Compact"/>
            </w:pPr>
            <w:r>
              <w:t>SW3 = 0.607; C3 = 0.405</w:t>
            </w:r>
          </w:p>
        </w:tc>
        <w:tc>
          <w:tcPr>
            <w:tcW w:w="0" w:type="auto"/>
          </w:tcPr>
          <w:p w14:paraId="790830CF" w14:textId="77777777" w:rsidR="00AA11A0" w:rsidRDefault="00000000">
            <w:pPr>
              <w:pStyle w:val="Compact"/>
            </w:pPr>
            <w:r>
              <w:t>0.60729; 0.40486</w:t>
            </w:r>
          </w:p>
        </w:tc>
        <w:tc>
          <w:tcPr>
            <w:tcW w:w="0" w:type="auto"/>
          </w:tcPr>
          <w:p w14:paraId="4A456118" w14:textId="77777777" w:rsidR="00AA11A0" w:rsidRDefault="00000000">
            <w:pPr>
              <w:pStyle w:val="Compact"/>
            </w:pPr>
            <w:r>
              <w:t>✓ exact</w:t>
            </w:r>
          </w:p>
        </w:tc>
      </w:tr>
      <w:tr w:rsidR="00AA11A0" w14:paraId="238AC573" w14:textId="77777777">
        <w:tc>
          <w:tcPr>
            <w:tcW w:w="0" w:type="auto"/>
          </w:tcPr>
          <w:p w14:paraId="4C59AD60" w14:textId="77777777" w:rsidR="00AA11A0" w:rsidRDefault="00000000">
            <w:pPr>
              <w:pStyle w:val="Compact"/>
            </w:pPr>
            <w:r>
              <w:t>Table 2, L0 s11</w:t>
            </w:r>
          </w:p>
        </w:tc>
        <w:tc>
          <w:tcPr>
            <w:tcW w:w="0" w:type="auto"/>
          </w:tcPr>
          <w:p w14:paraId="275D17AA" w14:textId="77777777" w:rsidR="00AA11A0" w:rsidRDefault="00000000">
            <w:pPr>
              <w:pStyle w:val="Compact"/>
            </w:pPr>
            <w:r>
              <w:t>support spread over switch/cable faults</w:t>
            </w:r>
          </w:p>
        </w:tc>
        <w:tc>
          <w:tcPr>
            <w:tcW w:w="0" w:type="auto"/>
          </w:tcPr>
          <w:p w14:paraId="39619BCA" w14:textId="77777777" w:rsidR="00AA11A0" w:rsidRDefault="00000000">
            <w:pPr>
              <w:pStyle w:val="Compact"/>
            </w:pPr>
            <w:r>
              <w:t>sw ≈ 0.0865; cable ≈ 0.0577</w:t>
            </w:r>
          </w:p>
        </w:tc>
        <w:tc>
          <w:tcPr>
            <w:tcW w:w="0" w:type="auto"/>
          </w:tcPr>
          <w:p w14:paraId="70A275B6" w14:textId="77777777" w:rsidR="00AA11A0" w:rsidRDefault="00000000">
            <w:pPr>
              <w:pStyle w:val="Compact"/>
            </w:pPr>
            <w:r>
              <w:t>✓ exact</w:t>
            </w:r>
          </w:p>
        </w:tc>
      </w:tr>
      <w:tr w:rsidR="00AA11A0" w14:paraId="68F62B41" w14:textId="77777777">
        <w:tc>
          <w:tcPr>
            <w:tcW w:w="0" w:type="auto"/>
          </w:tcPr>
          <w:p w14:paraId="1DC589B2" w14:textId="77777777" w:rsidR="00AA11A0" w:rsidRDefault="00000000">
            <w:pPr>
              <w:pStyle w:val="Compact"/>
            </w:pPr>
            <w:r>
              <w:t>Table 2, L0 s14</w:t>
            </w:r>
          </w:p>
        </w:tc>
        <w:tc>
          <w:tcPr>
            <w:tcW w:w="0" w:type="auto"/>
          </w:tcPr>
          <w:p w14:paraId="3E403EFE" w14:textId="77777777" w:rsidR="00AA11A0" w:rsidRDefault="00000000">
            <w:pPr>
              <w:pStyle w:val="Compact"/>
            </w:pPr>
            <w:r>
              <w:t>PSF = 1.00; Batt = 1.00</w:t>
            </w:r>
          </w:p>
        </w:tc>
        <w:tc>
          <w:tcPr>
            <w:tcW w:w="0" w:type="auto"/>
          </w:tcPr>
          <w:p w14:paraId="41BD5B22" w14:textId="77777777" w:rsidR="00AA11A0" w:rsidRDefault="00000000">
            <w:pPr>
              <w:pStyle w:val="Compact"/>
            </w:pPr>
            <w:r>
              <w:t>both 1</w:t>
            </w:r>
          </w:p>
        </w:tc>
        <w:tc>
          <w:tcPr>
            <w:tcW w:w="0" w:type="auto"/>
          </w:tcPr>
          <w:p w14:paraId="185DFE6C" w14:textId="77777777" w:rsidR="00AA11A0" w:rsidRDefault="00000000">
            <w:pPr>
              <w:pStyle w:val="Compact"/>
            </w:pPr>
            <w:r>
              <w:t>✓ exact</w:t>
            </w:r>
          </w:p>
        </w:tc>
      </w:tr>
      <w:tr w:rsidR="00AA11A0" w14:paraId="4E6E3051" w14:textId="77777777">
        <w:tc>
          <w:tcPr>
            <w:tcW w:w="0" w:type="auto"/>
          </w:tcPr>
          <w:p w14:paraId="46E65B64" w14:textId="77777777" w:rsidR="00AA11A0" w:rsidRDefault="00000000">
            <w:pPr>
              <w:pStyle w:val="Compact"/>
            </w:pPr>
            <w:r>
              <w:t>Table 3, L1 s7 / s14</w:t>
            </w:r>
          </w:p>
        </w:tc>
        <w:tc>
          <w:tcPr>
            <w:tcW w:w="0" w:type="auto"/>
          </w:tcPr>
          <w:p w14:paraId="0E4CF20F" w14:textId="77777777" w:rsidR="00AA11A0" w:rsidRDefault="00000000">
            <w:pPr>
              <w:pStyle w:val="Compact"/>
            </w:pPr>
            <w:r>
              <w:t>Bel = Pl = 1.00</w:t>
            </w:r>
          </w:p>
        </w:tc>
        <w:tc>
          <w:tcPr>
            <w:tcW w:w="0" w:type="auto"/>
          </w:tcPr>
          <w:p w14:paraId="38EEDE0D" w14:textId="77777777" w:rsidR="00AA11A0" w:rsidRDefault="00000000">
            <w:pPr>
              <w:pStyle w:val="Compact"/>
            </w:pPr>
            <w:r>
              <w:t>matches</w:t>
            </w:r>
          </w:p>
        </w:tc>
        <w:tc>
          <w:tcPr>
            <w:tcW w:w="0" w:type="auto"/>
          </w:tcPr>
          <w:p w14:paraId="3EC95FD4" w14:textId="77777777" w:rsidR="00AA11A0" w:rsidRDefault="00000000">
            <w:pPr>
              <w:pStyle w:val="Compact"/>
            </w:pPr>
            <w:r>
              <w:t>✓</w:t>
            </w:r>
          </w:p>
        </w:tc>
      </w:tr>
      <w:tr w:rsidR="00AA11A0" w14:paraId="0D2091B2" w14:textId="77777777">
        <w:tc>
          <w:tcPr>
            <w:tcW w:w="0" w:type="auto"/>
          </w:tcPr>
          <w:p w14:paraId="74406745" w14:textId="77777777" w:rsidR="00AA11A0" w:rsidRDefault="00000000">
            <w:pPr>
              <w:pStyle w:val="Compact"/>
            </w:pPr>
            <w:r>
              <w:t>Table 3, L1 s8</w:t>
            </w:r>
          </w:p>
        </w:tc>
        <w:tc>
          <w:tcPr>
            <w:tcW w:w="0" w:type="auto"/>
          </w:tcPr>
          <w:p w14:paraId="65C6A5B8" w14:textId="77777777" w:rsidR="00AA11A0" w:rsidRDefault="00000000">
            <w:pPr>
              <w:pStyle w:val="Compact"/>
            </w:pPr>
            <w:r>
              <w:t>SW3, C3: Bel = 0, Pl = 1.00</w:t>
            </w:r>
          </w:p>
        </w:tc>
        <w:tc>
          <w:tcPr>
            <w:tcW w:w="0" w:type="auto"/>
          </w:tcPr>
          <w:p w14:paraId="10D07404" w14:textId="77777777" w:rsidR="00AA11A0" w:rsidRDefault="00000000">
            <w:pPr>
              <w:pStyle w:val="Compact"/>
            </w:pPr>
            <w:r>
              <w:t>belief 0, plaus 1, width 1</w:t>
            </w:r>
          </w:p>
        </w:tc>
        <w:tc>
          <w:tcPr>
            <w:tcW w:w="0" w:type="auto"/>
          </w:tcPr>
          <w:p w14:paraId="27FF6DB5" w14:textId="77777777" w:rsidR="00AA11A0" w:rsidRDefault="00000000">
            <w:pPr>
              <w:pStyle w:val="Compact"/>
            </w:pPr>
            <w:r>
              <w:t>✓</w:t>
            </w:r>
          </w:p>
        </w:tc>
      </w:tr>
      <w:tr w:rsidR="00AA11A0" w14:paraId="46B028D9" w14:textId="77777777">
        <w:tc>
          <w:tcPr>
            <w:tcW w:w="0" w:type="auto"/>
          </w:tcPr>
          <w:p w14:paraId="35822472" w14:textId="77777777" w:rsidR="00AA11A0" w:rsidRDefault="00000000">
            <w:pPr>
              <w:pStyle w:val="Compact"/>
            </w:pPr>
            <w:r>
              <w:t>Table 3, L1 s11</w:t>
            </w:r>
          </w:p>
        </w:tc>
        <w:tc>
          <w:tcPr>
            <w:tcW w:w="0" w:type="auto"/>
          </w:tcPr>
          <w:p w14:paraId="5CBCE787" w14:textId="77777777" w:rsidR="00AA11A0" w:rsidRDefault="00000000">
            <w:pPr>
              <w:pStyle w:val="Compact"/>
            </w:pPr>
            <w:r>
              <w:t>SW6, C6: Bel = 0, Pl = 1.00</w:t>
            </w:r>
          </w:p>
        </w:tc>
        <w:tc>
          <w:tcPr>
            <w:tcW w:w="0" w:type="auto"/>
          </w:tcPr>
          <w:p w14:paraId="560B1622" w14:textId="77777777" w:rsidR="00AA11A0" w:rsidRDefault="00000000">
            <w:pPr>
              <w:pStyle w:val="Compact"/>
            </w:pPr>
            <w:r>
              <w:t>belief 0, plaus 1</w:t>
            </w:r>
          </w:p>
        </w:tc>
        <w:tc>
          <w:tcPr>
            <w:tcW w:w="0" w:type="auto"/>
          </w:tcPr>
          <w:p w14:paraId="025D0C5E" w14:textId="77777777" w:rsidR="00AA11A0" w:rsidRDefault="00000000">
            <w:pPr>
              <w:pStyle w:val="Compact"/>
            </w:pPr>
            <w:r>
              <w:t>✓</w:t>
            </w:r>
          </w:p>
        </w:tc>
      </w:tr>
      <w:tr w:rsidR="00AA11A0" w14:paraId="68C81F3F" w14:textId="77777777">
        <w:tc>
          <w:tcPr>
            <w:tcW w:w="0" w:type="auto"/>
          </w:tcPr>
          <w:p w14:paraId="6F1BD73C" w14:textId="77777777" w:rsidR="00AA11A0" w:rsidRDefault="00000000">
            <w:pPr>
              <w:pStyle w:val="Compact"/>
            </w:pPr>
            <w:r>
              <w:t>Table 4, L2 s8</w:t>
            </w:r>
          </w:p>
        </w:tc>
        <w:tc>
          <w:tcPr>
            <w:tcW w:w="0" w:type="auto"/>
          </w:tcPr>
          <w:p w14:paraId="1A1D17CE" w14:textId="77777777" w:rsidR="00AA11A0" w:rsidRDefault="00000000">
            <w:pPr>
              <w:pStyle w:val="Compact"/>
            </w:pPr>
            <w:r>
              <w:t>downstream sw/cable plausible; upstream ruled out</w:t>
            </w:r>
          </w:p>
        </w:tc>
        <w:tc>
          <w:tcPr>
            <w:tcW w:w="0" w:type="auto"/>
          </w:tcPr>
          <w:p w14:paraId="6926E8D0" w14:textId="77777777" w:rsidR="00AA11A0" w:rsidRDefault="00000000">
            <w:pPr>
              <w:pStyle w:val="Compact"/>
            </w:pPr>
            <w:r>
              <w:t>SW3–8, C3–8, CL: Bel 0/Pl 1; battery, PSF, SW1–2, C1–2: Pl 0</w:t>
            </w:r>
          </w:p>
        </w:tc>
        <w:tc>
          <w:tcPr>
            <w:tcW w:w="0" w:type="auto"/>
          </w:tcPr>
          <w:p w14:paraId="14BE6F7F" w14:textId="77777777" w:rsidR="00AA11A0" w:rsidRDefault="00000000">
            <w:pPr>
              <w:pStyle w:val="Compact"/>
            </w:pPr>
            <w:r>
              <w:t>✓</w:t>
            </w:r>
          </w:p>
        </w:tc>
      </w:tr>
      <w:tr w:rsidR="00AA11A0" w14:paraId="5DB0CDA8" w14:textId="77777777">
        <w:tc>
          <w:tcPr>
            <w:tcW w:w="0" w:type="auto"/>
          </w:tcPr>
          <w:p w14:paraId="606391FF" w14:textId="77777777" w:rsidR="00AA11A0" w:rsidRDefault="00000000">
            <w:pPr>
              <w:pStyle w:val="Compact"/>
            </w:pPr>
            <w:r>
              <w:t>Table 4, L2 s7/s11/s14</w:t>
            </w:r>
          </w:p>
        </w:tc>
        <w:tc>
          <w:tcPr>
            <w:tcW w:w="0" w:type="auto"/>
          </w:tcPr>
          <w:p w14:paraId="66E4C2DE" w14:textId="77777777" w:rsidR="00AA11A0" w:rsidRDefault="00000000">
            <w:pPr>
              <w:pStyle w:val="Compact"/>
            </w:pPr>
            <w:r>
              <w:t>as stated</w:t>
            </w:r>
          </w:p>
        </w:tc>
        <w:tc>
          <w:tcPr>
            <w:tcW w:w="0" w:type="auto"/>
          </w:tcPr>
          <w:p w14:paraId="7114B9AE" w14:textId="77777777" w:rsidR="00AA11A0" w:rsidRDefault="00000000">
            <w:pPr>
              <w:pStyle w:val="Compact"/>
            </w:pPr>
            <w:r>
              <w:t>matches</w:t>
            </w:r>
          </w:p>
        </w:tc>
        <w:tc>
          <w:tcPr>
            <w:tcW w:w="0" w:type="auto"/>
          </w:tcPr>
          <w:p w14:paraId="43242BCA" w14:textId="77777777" w:rsidR="00AA11A0" w:rsidRDefault="00000000">
            <w:pPr>
              <w:pStyle w:val="Compact"/>
            </w:pPr>
            <w:r>
              <w:t>✓</w:t>
            </w:r>
          </w:p>
        </w:tc>
      </w:tr>
      <w:tr w:rsidR="00AA11A0" w14:paraId="6BB5C280" w14:textId="77777777">
        <w:tc>
          <w:tcPr>
            <w:tcW w:w="0" w:type="auto"/>
          </w:tcPr>
          <w:p w14:paraId="62CE87BC" w14:textId="77777777" w:rsidR="00AA11A0" w:rsidRDefault="00000000">
            <w:pPr>
              <w:pStyle w:val="Compact"/>
            </w:pPr>
            <w:r>
              <w:t>Table 5, L4 s15</w:t>
            </w:r>
          </w:p>
        </w:tc>
        <w:tc>
          <w:tcPr>
            <w:tcW w:w="0" w:type="auto"/>
          </w:tcPr>
          <w:p w14:paraId="283A321B" w14:textId="77777777" w:rsidR="00AA11A0" w:rsidRDefault="00000000">
            <w:pPr>
              <w:pStyle w:val="Compact"/>
            </w:pPr>
            <w:r>
              <w:t>Batt: Bel = Pl = 1.00; PSF: Bel = 0, Pl = 1.00</w:t>
            </w:r>
          </w:p>
        </w:tc>
        <w:tc>
          <w:tcPr>
            <w:tcW w:w="0" w:type="auto"/>
          </w:tcPr>
          <w:p w14:paraId="5BA1047B" w14:textId="77777777" w:rsidR="00AA11A0" w:rsidRDefault="00000000">
            <w:pPr>
              <w:pStyle w:val="Compact"/>
            </w:pPr>
            <w:r>
              <w:t>exact match</w:t>
            </w:r>
          </w:p>
        </w:tc>
        <w:tc>
          <w:tcPr>
            <w:tcW w:w="0" w:type="auto"/>
          </w:tcPr>
          <w:p w14:paraId="4B35D83F" w14:textId="77777777" w:rsidR="00AA11A0" w:rsidRDefault="00000000">
            <w:pPr>
              <w:pStyle w:val="Compact"/>
            </w:pPr>
            <w:r>
              <w:t>✓ — your strongest belief-vs-plausibility result</w:t>
            </w:r>
          </w:p>
        </w:tc>
      </w:tr>
      <w:tr w:rsidR="00AA11A0" w14:paraId="4E275AAF" w14:textId="77777777">
        <w:tc>
          <w:tcPr>
            <w:tcW w:w="0" w:type="auto"/>
          </w:tcPr>
          <w:p w14:paraId="36F38BA2" w14:textId="77777777" w:rsidR="00AA11A0" w:rsidRDefault="00000000">
            <w:pPr>
              <w:pStyle w:val="Compact"/>
            </w:pPr>
            <w:r>
              <w:rPr>
                <w:b/>
              </w:rPr>
              <w:t>Table 5, L4 s16</w:t>
            </w:r>
          </w:p>
        </w:tc>
        <w:tc>
          <w:tcPr>
            <w:tcW w:w="0" w:type="auto"/>
          </w:tcPr>
          <w:p w14:paraId="38408551" w14:textId="77777777" w:rsidR="00AA11A0" w:rsidRDefault="00000000">
            <w:pPr>
              <w:pStyle w:val="Compact"/>
            </w:pPr>
            <w:r>
              <w:t xml:space="preserve">“Downstream </w:t>
            </w:r>
            <w:r>
              <w:rPr>
                <w:b/>
              </w:rPr>
              <w:t>SW3–SW8 and C3–C9</w:t>
            </w:r>
            <w:r>
              <w:t>: Bel = 0, Pl = 1.00”</w:t>
            </w:r>
          </w:p>
        </w:tc>
        <w:tc>
          <w:tcPr>
            <w:tcW w:w="0" w:type="auto"/>
          </w:tcPr>
          <w:p w14:paraId="1E47487F" w14:textId="77777777" w:rsidR="00AA11A0" w:rsidRDefault="00000000">
            <w:pPr>
              <w:pStyle w:val="Compact"/>
            </w:pPr>
            <w:r>
              <w:t xml:space="preserve">SW3–SW8 (Pl 1), C3–C8 </w:t>
            </w:r>
            <w:r>
              <w:rPr>
                <w:b/>
              </w:rPr>
              <w:t>and cable-to-load CL</w:t>
            </w:r>
            <w:r>
              <w:t xml:space="preserve"> (Pl 1)</w:t>
            </w:r>
          </w:p>
        </w:tc>
        <w:tc>
          <w:tcPr>
            <w:tcW w:w="0" w:type="auto"/>
          </w:tcPr>
          <w:p w14:paraId="2FB50256" w14:textId="77777777" w:rsidR="00AA11A0" w:rsidRDefault="00000000">
            <w:pPr>
              <w:pStyle w:val="Compact"/>
            </w:pPr>
            <w:r>
              <w:rPr>
                <w:b/>
              </w:rPr>
              <w:t>✗ error: there is no C9.</w:t>
            </w:r>
            <w:r>
              <w:t xml:space="preserve"> The ninth cable is the cable-to-load (CL). Write “SW3–SW8 and C3–C8 plus the cable-to-load.”</w:t>
            </w:r>
          </w:p>
        </w:tc>
      </w:tr>
      <w:tr w:rsidR="00AA11A0" w14:paraId="493991E8" w14:textId="77777777">
        <w:tc>
          <w:tcPr>
            <w:tcW w:w="0" w:type="auto"/>
          </w:tcPr>
          <w:p w14:paraId="56CEC350" w14:textId="77777777" w:rsidR="00AA11A0" w:rsidRDefault="00000000">
            <w:pPr>
              <w:pStyle w:val="Compact"/>
            </w:pPr>
            <w:r>
              <w:rPr>
                <w:b/>
              </w:rPr>
              <w:t>Table 5, L4 s16</w:t>
            </w:r>
          </w:p>
        </w:tc>
        <w:tc>
          <w:tcPr>
            <w:tcW w:w="0" w:type="auto"/>
          </w:tcPr>
          <w:p w14:paraId="5527C8CD" w14:textId="77777777" w:rsidR="00AA11A0" w:rsidRDefault="00000000">
            <w:pPr>
              <w:pStyle w:val="Compact"/>
            </w:pPr>
            <w:r>
              <w:t xml:space="preserve">“the model still </w:t>
            </w:r>
            <w:r>
              <w:rPr>
                <w:b/>
              </w:rPr>
              <w:t>rules out upstream causes</w:t>
            </w:r>
            <w:r>
              <w:t>”</w:t>
            </w:r>
          </w:p>
        </w:tc>
        <w:tc>
          <w:tcPr>
            <w:tcW w:w="0" w:type="auto"/>
          </w:tcPr>
          <w:p w14:paraId="724F3A29" w14:textId="77777777" w:rsidR="00AA11A0" w:rsidRDefault="00000000">
            <w:pPr>
              <w:pStyle w:val="Compact"/>
            </w:pPr>
            <w:r>
              <w:t xml:space="preserve">PSF and battery: Pl 0 (truly ruled out). </w:t>
            </w:r>
            <w:r>
              <w:rPr>
                <w:b/>
              </w:rPr>
              <w:t>But SW2/C2: Pl 0.20 and SW1/C1: Pl 0.04</w:t>
            </w:r>
            <w:r>
              <w:t xml:space="preserve"> (not zero); lamp keeps belief 0.015</w:t>
            </w:r>
          </w:p>
        </w:tc>
        <w:tc>
          <w:tcPr>
            <w:tcW w:w="0" w:type="auto"/>
          </w:tcPr>
          <w:p w14:paraId="647720FE" w14:textId="77777777" w:rsidR="00AA11A0" w:rsidRDefault="00000000">
            <w:pPr>
              <w:pStyle w:val="Compact"/>
            </w:pPr>
            <w:r>
              <w:rPr>
                <w:b/>
              </w:rPr>
              <w:t>✗ partly inaccurate.</w:t>
            </w:r>
            <w:r>
              <w:t xml:space="preserve"> Only the PSU short and battery are fully excluded. Modules 1–2 retain small residual plausibility because the visual rules were weakened. Reword (see below).</w:t>
            </w:r>
          </w:p>
        </w:tc>
      </w:tr>
      <w:tr w:rsidR="00AA11A0" w14:paraId="0F4F4C20" w14:textId="77777777">
        <w:tc>
          <w:tcPr>
            <w:tcW w:w="0" w:type="auto"/>
          </w:tcPr>
          <w:p w14:paraId="409F3EC2" w14:textId="77777777" w:rsidR="00AA11A0" w:rsidRDefault="00000000">
            <w:pPr>
              <w:pStyle w:val="Compact"/>
            </w:pPr>
            <w:r>
              <w:t>Table 6, conflict L0</w:t>
            </w:r>
          </w:p>
        </w:tc>
        <w:tc>
          <w:tcPr>
            <w:tcW w:w="0" w:type="auto"/>
          </w:tcPr>
          <w:p w14:paraId="38376B46" w14:textId="77777777" w:rsidR="00AA11A0" w:rsidRDefault="00000000">
            <w:pPr>
              <w:pStyle w:val="Compact"/>
            </w:pPr>
            <w:r>
              <w:t>0.920 / 0.959 / 0.683 / 0.995</w:t>
            </w:r>
          </w:p>
        </w:tc>
        <w:tc>
          <w:tcPr>
            <w:tcW w:w="0" w:type="auto"/>
          </w:tcPr>
          <w:p w14:paraId="411B2B41" w14:textId="77777777" w:rsidR="00AA11A0" w:rsidRDefault="00000000">
            <w:pPr>
              <w:pStyle w:val="Compact"/>
            </w:pPr>
            <w:r>
              <w:t>0.9204 / 0.95914 / 0.68251 / 0.99525</w:t>
            </w:r>
          </w:p>
        </w:tc>
        <w:tc>
          <w:tcPr>
            <w:tcW w:w="0" w:type="auto"/>
          </w:tcPr>
          <w:p w14:paraId="4A5739C0" w14:textId="77777777" w:rsidR="00AA11A0" w:rsidRDefault="00000000">
            <w:pPr>
              <w:pStyle w:val="Compact"/>
            </w:pPr>
            <w:r>
              <w:t>✓</w:t>
            </w:r>
          </w:p>
        </w:tc>
      </w:tr>
      <w:tr w:rsidR="00AA11A0" w14:paraId="2C6AA05F" w14:textId="77777777">
        <w:tc>
          <w:tcPr>
            <w:tcW w:w="0" w:type="auto"/>
          </w:tcPr>
          <w:p w14:paraId="70282523" w14:textId="77777777" w:rsidR="00AA11A0" w:rsidRDefault="00000000">
            <w:pPr>
              <w:pStyle w:val="Compact"/>
            </w:pPr>
            <w:r>
              <w:t>Table 6, conflict L1</w:t>
            </w:r>
          </w:p>
        </w:tc>
        <w:tc>
          <w:tcPr>
            <w:tcW w:w="0" w:type="auto"/>
          </w:tcPr>
          <w:p w14:paraId="4F25B4C9" w14:textId="77777777" w:rsidR="00AA11A0" w:rsidRDefault="00000000">
            <w:pPr>
              <w:pStyle w:val="Compact"/>
            </w:pPr>
            <w:r>
              <w:t>0.005 / 0.173 / 0.084 / 0.000</w:t>
            </w:r>
          </w:p>
        </w:tc>
        <w:tc>
          <w:tcPr>
            <w:tcW w:w="0" w:type="auto"/>
          </w:tcPr>
          <w:p w14:paraId="749573A2" w14:textId="77777777" w:rsidR="00AA11A0" w:rsidRDefault="00000000">
            <w:pPr>
              <w:pStyle w:val="Compact"/>
            </w:pPr>
            <w:r>
              <w:t>0.005 / 0.17281 / 0.08435 / 0</w:t>
            </w:r>
          </w:p>
        </w:tc>
        <w:tc>
          <w:tcPr>
            <w:tcW w:w="0" w:type="auto"/>
          </w:tcPr>
          <w:p w14:paraId="24820E48" w14:textId="77777777" w:rsidR="00AA11A0" w:rsidRDefault="00000000">
            <w:pPr>
              <w:pStyle w:val="Compact"/>
            </w:pPr>
            <w:r>
              <w:t>✓</w:t>
            </w:r>
          </w:p>
        </w:tc>
      </w:tr>
      <w:tr w:rsidR="00AA11A0" w14:paraId="4E760827" w14:textId="77777777">
        <w:tc>
          <w:tcPr>
            <w:tcW w:w="0" w:type="auto"/>
          </w:tcPr>
          <w:p w14:paraId="1197298B" w14:textId="77777777" w:rsidR="00AA11A0" w:rsidRDefault="00000000">
            <w:pPr>
              <w:pStyle w:val="Compact"/>
            </w:pPr>
            <w:r>
              <w:t>Table 6, conflict L2</w:t>
            </w:r>
          </w:p>
        </w:tc>
        <w:tc>
          <w:tcPr>
            <w:tcW w:w="0" w:type="auto"/>
          </w:tcPr>
          <w:p w14:paraId="6F21627B" w14:textId="77777777" w:rsidR="00AA11A0" w:rsidRDefault="00000000">
            <w:pPr>
              <w:pStyle w:val="Compact"/>
            </w:pPr>
            <w:r>
              <w:t>0.000 / 0.085 / 0.084 / 0.000</w:t>
            </w:r>
          </w:p>
        </w:tc>
        <w:tc>
          <w:tcPr>
            <w:tcW w:w="0" w:type="auto"/>
          </w:tcPr>
          <w:p w14:paraId="6ECBF03B" w14:textId="77777777" w:rsidR="00AA11A0" w:rsidRDefault="00000000">
            <w:pPr>
              <w:pStyle w:val="Compact"/>
            </w:pPr>
            <w:r>
              <w:t>0 / 0.0846 / 0.08435 / 0</w:t>
            </w:r>
          </w:p>
        </w:tc>
        <w:tc>
          <w:tcPr>
            <w:tcW w:w="0" w:type="auto"/>
          </w:tcPr>
          <w:p w14:paraId="20CC08B0" w14:textId="77777777" w:rsidR="00AA11A0" w:rsidRDefault="00000000">
            <w:pPr>
              <w:pStyle w:val="Compact"/>
            </w:pPr>
            <w:r>
              <w:t>✓</w:t>
            </w:r>
          </w:p>
        </w:tc>
      </w:tr>
      <w:tr w:rsidR="00AA11A0" w14:paraId="052BFC50" w14:textId="77777777">
        <w:tc>
          <w:tcPr>
            <w:tcW w:w="0" w:type="auto"/>
          </w:tcPr>
          <w:p w14:paraId="21238D32" w14:textId="77777777" w:rsidR="00AA11A0" w:rsidRDefault="00000000">
            <w:pPr>
              <w:pStyle w:val="Compact"/>
            </w:pPr>
            <w:r>
              <w:t>Table 6, conflict L4</w:t>
            </w:r>
          </w:p>
        </w:tc>
        <w:tc>
          <w:tcPr>
            <w:tcW w:w="0" w:type="auto"/>
          </w:tcPr>
          <w:p w14:paraId="6BEC8683" w14:textId="77777777" w:rsidR="00AA11A0" w:rsidRDefault="00000000">
            <w:pPr>
              <w:pStyle w:val="Compact"/>
            </w:pPr>
            <w:r>
              <w:t>s15 0.000; s16 0.085</w:t>
            </w:r>
          </w:p>
        </w:tc>
        <w:tc>
          <w:tcPr>
            <w:tcW w:w="0" w:type="auto"/>
          </w:tcPr>
          <w:p w14:paraId="6BF13723" w14:textId="77777777" w:rsidR="00AA11A0" w:rsidRDefault="00000000">
            <w:pPr>
              <w:pStyle w:val="Compact"/>
            </w:pPr>
            <w:r>
              <w:t>0 ; 0.0846</w:t>
            </w:r>
          </w:p>
        </w:tc>
        <w:tc>
          <w:tcPr>
            <w:tcW w:w="0" w:type="auto"/>
          </w:tcPr>
          <w:p w14:paraId="1FDD3AF8" w14:textId="77777777" w:rsidR="00AA11A0" w:rsidRDefault="00000000">
            <w:pPr>
              <w:pStyle w:val="Compact"/>
            </w:pPr>
            <w:r>
              <w:t>✓</w:t>
            </w:r>
          </w:p>
        </w:tc>
      </w:tr>
    </w:tbl>
    <w:p w14:paraId="037B2FBB" w14:textId="77777777" w:rsidR="00AA11A0" w:rsidRDefault="00000000">
      <w:pPr>
        <w:pStyle w:val="Titre2"/>
      </w:pPr>
      <w:bookmarkStart w:id="5" w:name="the-two-fixes-written-out"/>
      <w:r>
        <w:t>The two fixes, written out</w:t>
      </w:r>
      <w:bookmarkEnd w:id="5"/>
    </w:p>
    <w:p w14:paraId="27E2C1EC" w14:textId="77777777" w:rsidR="00AA11A0" w:rsidRDefault="00000000">
      <w:pPr>
        <w:pStyle w:val="Compact"/>
        <w:numPr>
          <w:ilvl w:val="0"/>
          <w:numId w:val="4"/>
        </w:numPr>
      </w:pPr>
      <w:r>
        <w:rPr>
          <w:b/>
        </w:rPr>
        <w:t>Table 5 / §5.4, Scenario 16 row.</w:t>
      </w:r>
      <w:r>
        <w:t xml:space="preserve"> Replace </w:t>
      </w:r>
      <w:r>
        <w:rPr>
          <w:i/>
        </w:rPr>
        <w:t>“Downstream SW3–SW8 and C3–C9: Bel.=0, Pl.=1.00 … the model still rules out upstream causes”</w:t>
      </w:r>
      <w:r>
        <w:t xml:space="preserve"> with something like: </w:t>
      </w:r>
      <w:r>
        <w:rPr>
          <w:i/>
        </w:rPr>
        <w:t>“Downstream switch and cable faults (SW3–SW8, C3–C8, and the cable-to-load) remain fully plausible (Bel = 0, Pl = 1.00). The power-supply short and battery exhaustion are excluded (Pl = 0); modules 1–2 retain only low residual plausibility (Pl ≈ 0.04–0.20) introduced by the weakened visual rules.”</w:t>
      </w:r>
      <w:r>
        <w:t xml:space="preserve"> This is both correct and a stronger point — it shows the degradation is graded, not binary.</w:t>
      </w:r>
    </w:p>
    <w:p w14:paraId="41363BEC" w14:textId="77777777" w:rsidR="00AA11A0" w:rsidRDefault="00000000">
      <w:pPr>
        <w:pStyle w:val="Compact"/>
        <w:numPr>
          <w:ilvl w:val="0"/>
          <w:numId w:val="4"/>
        </w:numPr>
      </w:pPr>
      <w:r>
        <w:t>The same “rules out upstream faults” phrasing recurs in the §5.4 prose (“ruled out upstream faults such as battery exhaustion, PSU short, and faults before module 3”). Soften it the same way: PSU short and battery are ruled out; the early modules are merely strongly downweighted.</w:t>
      </w:r>
    </w:p>
    <w:p w14:paraId="58A5A79F" w14:textId="77777777" w:rsidR="00AA11A0" w:rsidRDefault="00000000">
      <w:pPr>
        <w:pStyle w:val="Titre2"/>
      </w:pPr>
      <w:bookmarkStart w:id="6" w:name="on-are-the-best-tablesnumbers-included"/>
      <w:r>
        <w:t>On “are the best tables/numbers included?”</w:t>
      </w:r>
      <w:bookmarkEnd w:id="6"/>
    </w:p>
    <w:p w14:paraId="661C6543" w14:textId="77777777" w:rsidR="00AA11A0" w:rsidRDefault="00000000">
      <w:pPr>
        <w:pStyle w:val="FirstParagraph"/>
      </w:pPr>
      <w:r>
        <w:t>Two suggestions that would make the results section both stronger and shorter:</w:t>
      </w:r>
    </w:p>
    <w:p w14:paraId="6A65A7C2" w14:textId="77777777" w:rsidR="00AA11A0" w:rsidRDefault="00000000">
      <w:pPr>
        <w:pStyle w:val="Compact"/>
        <w:numPr>
          <w:ilvl w:val="0"/>
          <w:numId w:val="5"/>
        </w:numPr>
      </w:pPr>
      <w:r>
        <w:rPr>
          <w:b/>
        </w:rPr>
        <w:t>Add a “width” column (Pl − Bel) to Tables 3, 4, and 5.</w:t>
      </w:r>
      <w:r>
        <w:t xml:space="preserve"> Width is the core Dempster–Shafer quantity and your whole argument is about it widening as information is removed. Right now the reader has to compute it. Showing it makes Scenario 8’s progression (width 0 → 1) visible at a glance.</w:t>
      </w:r>
    </w:p>
    <w:p w14:paraId="58E1B74F" w14:textId="77777777" w:rsidR="00AA11A0" w:rsidRDefault="00000000">
      <w:pPr>
        <w:pStyle w:val="Compact"/>
        <w:numPr>
          <w:ilvl w:val="0"/>
          <w:numId w:val="5"/>
        </w:numPr>
      </w:pPr>
      <w:r>
        <w:rPr>
          <w:b/>
        </w:rPr>
        <w:t>Consider one consolidated “Scenario 8 across levels” table</w:t>
      </w:r>
      <w:r>
        <w:t xml:space="preserve"> (L0 → L1 → L2, columns Bel / Pl / width for SW3 and C3). Your context notes already flagged this as the clearest single illustration of the method. It would let you compress the repeated Scenario 8 prose in §5.2 and §5.3 into one place — saving space </w:t>
      </w:r>
      <w:r>
        <w:rPr>
          <w:i/>
        </w:rPr>
        <w:t>and</w:t>
      </w:r>
      <w:r>
        <w:t xml:space="preserve"> sharpening the story.</w:t>
      </w:r>
    </w:p>
    <w:p w14:paraId="664238E0" w14:textId="77777777" w:rsidR="00AA11A0" w:rsidRDefault="00000000">
      <w:pPr>
        <w:pStyle w:val="Compact"/>
        <w:numPr>
          <w:ilvl w:val="0"/>
          <w:numId w:val="5"/>
        </w:numPr>
      </w:pPr>
      <w:r>
        <w:rPr>
          <w:b/>
        </w:rPr>
        <w:t>The L3/L3b level is missing and the jump from L2 to “L4” will puzzle a reader.</w:t>
      </w:r>
      <w:r>
        <w:t xml:space="preserve"> Either renumber L4 to L3, or add one sentence in §5 explaining that an intermediate level (weakening the visual observation rules) was run but produced no fault-level intervals, so it is reported only as a robustness check in the appendix. Your analysis notes already contain the L0-vs-L3b Scenario 8 table for that appendix.</w:t>
      </w:r>
    </w:p>
    <w:p w14:paraId="158CC7CA" w14:textId="77777777" w:rsidR="00AA11A0" w:rsidRDefault="00AC2550">
      <w:r>
        <w:rPr>
          <w:noProof/>
        </w:rPr>
        <w:pict w14:anchorId="10D46F8C">
          <v:rect id="_x0000_i1027" alt="" style="width:453.6pt;height:.05pt;mso-width-percent:0;mso-height-percent:0;mso-width-percent:0;mso-height-percent:0" o:hralign="center" o:hrstd="t" o:hr="t"/>
        </w:pict>
      </w:r>
    </w:p>
    <w:p w14:paraId="54D93EC3" w14:textId="77777777" w:rsidR="00AA11A0" w:rsidRDefault="00000000">
      <w:pPr>
        <w:pStyle w:val="Titre1"/>
      </w:pPr>
      <w:bookmarkStart w:id="7" w:name="citation-review"/>
      <w:r>
        <w:t>3. Citation review</w:t>
      </w:r>
      <w:bookmarkEnd w:id="7"/>
    </w:p>
    <w:p w14:paraId="2D49A964" w14:textId="77777777" w:rsidR="00AA11A0" w:rsidRDefault="00000000">
      <w:pPr>
        <w:pStyle w:val="FirstParagraph"/>
      </w:pPr>
      <w:r>
        <w:t xml:space="preserve">This is the area that needs the most work. </w:t>
      </w:r>
      <w:r>
        <w:rPr>
          <w:b/>
        </w:rPr>
        <w:t>Your current paper has 16 references; your own May draft had 24</w:t>
      </w:r>
      <w:r>
        <w:t xml:space="preserve"> — and several of the dropped ones are exactly the references your tutor asked for. Re-adding 4–6 of them resolves multiple outstanding comments at once.</w:t>
      </w:r>
    </w:p>
    <w:p w14:paraId="7DF4200A" w14:textId="77777777" w:rsidR="00AA11A0" w:rsidRDefault="00000000">
      <w:pPr>
        <w:pStyle w:val="Titre2"/>
      </w:pPr>
      <w:bookmarkStart w:id="8" w:name="references-to-add-with-where-they-belong"/>
      <w:r>
        <w:t>References to add (with where they belong)</w:t>
      </w:r>
      <w:bookmarkEnd w:id="8"/>
    </w:p>
    <w:tbl>
      <w:tblPr>
        <w:tblStyle w:val="Table"/>
        <w:tblW w:w="5000" w:type="pct"/>
        <w:tblLook w:val="07E0" w:firstRow="1" w:lastRow="1" w:firstColumn="1" w:lastColumn="1" w:noHBand="1" w:noVBand="1"/>
      </w:tblPr>
      <w:tblGrid>
        <w:gridCol w:w="4364"/>
        <w:gridCol w:w="2233"/>
        <w:gridCol w:w="2809"/>
      </w:tblGrid>
      <w:tr w:rsidR="00AA11A0" w14:paraId="5BF65E3A" w14:textId="77777777">
        <w:tc>
          <w:tcPr>
            <w:tcW w:w="0" w:type="auto"/>
            <w:tcBorders>
              <w:bottom w:val="single" w:sz="0" w:space="0" w:color="auto"/>
            </w:tcBorders>
            <w:vAlign w:val="bottom"/>
          </w:tcPr>
          <w:p w14:paraId="197E211D" w14:textId="77777777" w:rsidR="00AA11A0" w:rsidRDefault="00000000">
            <w:pPr>
              <w:pStyle w:val="Compact"/>
            </w:pPr>
            <w:r>
              <w:t>Reference</w:t>
            </w:r>
          </w:p>
        </w:tc>
        <w:tc>
          <w:tcPr>
            <w:tcW w:w="0" w:type="auto"/>
            <w:tcBorders>
              <w:bottom w:val="single" w:sz="0" w:space="0" w:color="auto"/>
            </w:tcBorders>
            <w:vAlign w:val="bottom"/>
          </w:tcPr>
          <w:p w14:paraId="16C90438" w14:textId="77777777" w:rsidR="00AA11A0" w:rsidRDefault="00000000">
            <w:pPr>
              <w:pStyle w:val="Compact"/>
            </w:pPr>
            <w:r>
              <w:t>Why / where in the paper</w:t>
            </w:r>
          </w:p>
        </w:tc>
        <w:tc>
          <w:tcPr>
            <w:tcW w:w="0" w:type="auto"/>
            <w:tcBorders>
              <w:bottom w:val="single" w:sz="0" w:space="0" w:color="auto"/>
            </w:tcBorders>
            <w:vAlign w:val="bottom"/>
          </w:tcPr>
          <w:p w14:paraId="38B3920A" w14:textId="77777777" w:rsidR="00AA11A0" w:rsidRDefault="00000000">
            <w:pPr>
              <w:pStyle w:val="Compact"/>
            </w:pPr>
            <w:r>
              <w:t>Tutor link</w:t>
            </w:r>
          </w:p>
        </w:tc>
      </w:tr>
      <w:tr w:rsidR="00AA11A0" w14:paraId="0A264FA8" w14:textId="77777777">
        <w:tc>
          <w:tcPr>
            <w:tcW w:w="0" w:type="auto"/>
          </w:tcPr>
          <w:p w14:paraId="1589B3AF" w14:textId="77777777" w:rsidR="00AA11A0" w:rsidRDefault="00000000">
            <w:pPr>
              <w:pStyle w:val="Compact"/>
            </w:pPr>
            <w:r>
              <w:rPr>
                <w:b/>
              </w:rPr>
              <w:t>Denoeux, T. (2008).</w:t>
            </w:r>
            <w:r>
              <w:t xml:space="preserve"> Conjunctive and disjunctive combination of belief functions induced by nondistinct bodies of evidence. </w:t>
            </w:r>
            <w:r>
              <w:rPr>
                <w:i/>
              </w:rPr>
              <w:t>Artificial Intelligence</w:t>
            </w:r>
            <w:r>
              <w:t xml:space="preserve"> 172(2–3), 234–264. doi:10.1016/j.artint.2007.05.008</w:t>
            </w:r>
          </w:p>
        </w:tc>
        <w:tc>
          <w:tcPr>
            <w:tcW w:w="0" w:type="auto"/>
          </w:tcPr>
          <w:p w14:paraId="5EBF0788" w14:textId="77777777" w:rsidR="00AA11A0" w:rsidRDefault="00000000">
            <w:pPr>
              <w:pStyle w:val="Compact"/>
            </w:pPr>
            <w:r>
              <w:t>§2.3, right after you note Dempster’s rule “must be used carefully.” Introduces the cautious rule for non-distinct evidence — directly the double-counting issue you raise.</w:t>
            </w:r>
          </w:p>
        </w:tc>
        <w:tc>
          <w:tcPr>
            <w:tcW w:w="0" w:type="auto"/>
          </w:tcPr>
          <w:p w14:paraId="6190C6C5" w14:textId="77777777" w:rsidR="00AA11A0" w:rsidRDefault="00000000">
            <w:pPr>
              <w:pStyle w:val="Compact"/>
            </w:pPr>
            <w:r>
              <w:t xml:space="preserve">Your tutor gave you this exact DOI: </w:t>
            </w:r>
            <w:r>
              <w:rPr>
                <w:i/>
              </w:rPr>
              <w:t>“other rules have been defined for overcoming these potential issues.”</w:t>
            </w:r>
            <w:r>
              <w:t xml:space="preserve"> Currently uncited.</w:t>
            </w:r>
          </w:p>
        </w:tc>
      </w:tr>
      <w:tr w:rsidR="00AA11A0" w14:paraId="3A9A758C" w14:textId="77777777">
        <w:tc>
          <w:tcPr>
            <w:tcW w:w="0" w:type="auto"/>
          </w:tcPr>
          <w:p w14:paraId="7ACA9C92" w14:textId="77777777" w:rsidR="00AA11A0" w:rsidRDefault="00000000">
            <w:pPr>
              <w:pStyle w:val="Compact"/>
            </w:pPr>
            <w:r>
              <w:rPr>
                <w:b/>
              </w:rPr>
              <w:t>Jiroušek, R., Kratochvíl, V., Shenoy, P. P. (2023).</w:t>
            </w:r>
            <w:r>
              <w:t xml:space="preserve"> On conditional belief functions in directed graphical models. </w:t>
            </w:r>
            <w:r>
              <w:rPr>
                <w:i/>
              </w:rPr>
              <w:t>Int. J. Approximate Reasoning.</w:t>
            </w:r>
          </w:p>
        </w:tc>
        <w:tc>
          <w:tcPr>
            <w:tcW w:w="0" w:type="auto"/>
          </w:tcPr>
          <w:p w14:paraId="49E58440" w14:textId="77777777" w:rsidR="00AA11A0" w:rsidRDefault="00000000">
            <w:pPr>
              <w:pStyle w:val="Compact"/>
            </w:pPr>
            <w:r>
              <w:t>§2.4 / §4.3, where you convert CPTs into conditional belief functions via Smets’ conditional embedding. This is the formal basis for that step.</w:t>
            </w:r>
          </w:p>
        </w:tc>
        <w:tc>
          <w:tcPr>
            <w:tcW w:w="0" w:type="auto"/>
          </w:tcPr>
          <w:p w14:paraId="050F64CB" w14:textId="77777777" w:rsidR="00AA11A0" w:rsidRDefault="00000000">
            <w:pPr>
              <w:pStyle w:val="Compact"/>
            </w:pPr>
            <w:r>
              <w:t>Was reference [7] in your draft; dropped. Supports the BN→belief-network construction your tutor wanted grounded.</w:t>
            </w:r>
          </w:p>
        </w:tc>
      </w:tr>
      <w:tr w:rsidR="00AA11A0" w14:paraId="45E263AC" w14:textId="77777777">
        <w:tc>
          <w:tcPr>
            <w:tcW w:w="0" w:type="auto"/>
          </w:tcPr>
          <w:p w14:paraId="529C3F5E" w14:textId="77777777" w:rsidR="00AA11A0" w:rsidRDefault="00000000">
            <w:pPr>
              <w:pStyle w:val="Compact"/>
            </w:pPr>
            <w:r>
              <w:rPr>
                <w:b/>
              </w:rPr>
              <w:t>Shenoy, P. P. (2023/2024).</w:t>
            </w:r>
            <w:r>
              <w:t xml:space="preserve"> On distinctness of belief functions.</w:t>
            </w:r>
          </w:p>
        </w:tc>
        <w:tc>
          <w:tcPr>
            <w:tcW w:w="0" w:type="auto"/>
          </w:tcPr>
          <w:p w14:paraId="4F37EC3D" w14:textId="77777777" w:rsidR="00AA11A0" w:rsidRDefault="00000000">
            <w:pPr>
              <w:pStyle w:val="Compact"/>
            </w:pPr>
            <w:r>
              <w:t>§2.3 and §6.2, where you discuss Dempster’s rule assuming distinct evidence and the over-confidence risk.</w:t>
            </w:r>
          </w:p>
        </w:tc>
        <w:tc>
          <w:tcPr>
            <w:tcW w:w="0" w:type="auto"/>
          </w:tcPr>
          <w:p w14:paraId="2F6EBA00" w14:textId="77777777" w:rsidR="00AA11A0" w:rsidRDefault="00000000">
            <w:pPr>
              <w:pStyle w:val="Compact"/>
            </w:pPr>
            <w:r>
              <w:t>Was [15] in your draft; dropped. Your tutor flagged the distinctness/double-counting point as needing support.</w:t>
            </w:r>
          </w:p>
        </w:tc>
      </w:tr>
      <w:tr w:rsidR="00AA11A0" w14:paraId="03762702" w14:textId="77777777">
        <w:tc>
          <w:tcPr>
            <w:tcW w:w="0" w:type="auto"/>
          </w:tcPr>
          <w:p w14:paraId="191696E0" w14:textId="77777777" w:rsidR="00AA11A0" w:rsidRDefault="00000000">
            <w:pPr>
              <w:pStyle w:val="Compact"/>
            </w:pPr>
            <w:r>
              <w:rPr>
                <w:b/>
              </w:rPr>
              <w:t>Mankins, J. C. (1995).</w:t>
            </w:r>
            <w:r>
              <w:t xml:space="preserve"> Technology Readiness Levels: A White Paper. NASA, Office of Space Access and Technology. (Optionally also ISO 16290:2013.)</w:t>
            </w:r>
          </w:p>
        </w:tc>
        <w:tc>
          <w:tcPr>
            <w:tcW w:w="0" w:type="auto"/>
          </w:tcPr>
          <w:p w14:paraId="12A6DD9A" w14:textId="77777777" w:rsidR="00AA11A0" w:rsidRDefault="00000000">
            <w:pPr>
              <w:pStyle w:val="Compact"/>
            </w:pPr>
            <w:r>
              <w:t>Intro (paragraph 7) and §6.3, every time you mention “technology readiness.”</w:t>
            </w:r>
          </w:p>
        </w:tc>
        <w:tc>
          <w:tcPr>
            <w:tcW w:w="0" w:type="auto"/>
          </w:tcPr>
          <w:p w14:paraId="269028B3" w14:textId="77777777" w:rsidR="00AA11A0" w:rsidRDefault="00000000">
            <w:pPr>
              <w:pStyle w:val="Compact"/>
            </w:pPr>
            <w:r>
              <w:t xml:space="preserve">Your tutor asked </w:t>
            </w:r>
            <w:r>
              <w:rPr>
                <w:b/>
              </w:rPr>
              <w:t>three times</w:t>
            </w:r>
            <w:r>
              <w:t xml:space="preserve"> for a TRL reference. Currently you use the term with no citation at all.</w:t>
            </w:r>
          </w:p>
        </w:tc>
      </w:tr>
      <w:tr w:rsidR="00AA11A0" w14:paraId="139F26AE" w14:textId="77777777">
        <w:tc>
          <w:tcPr>
            <w:tcW w:w="0" w:type="auto"/>
          </w:tcPr>
          <w:p w14:paraId="66C3323E" w14:textId="77777777" w:rsidR="00AA11A0" w:rsidRDefault="00000000">
            <w:pPr>
              <w:pStyle w:val="Compact"/>
            </w:pPr>
            <w:r>
              <w:rPr>
                <w:b/>
              </w:rPr>
              <w:t>O’Hagan, A. et al. (2006).</w:t>
            </w:r>
            <w:r>
              <w:t xml:space="preserve"> </w:t>
            </w:r>
            <w:r>
              <w:rPr>
                <w:i/>
              </w:rPr>
              <w:t>Uncertain Judgements: Eliciting Experts’ Probabilities.</w:t>
            </w:r>
            <w:r>
              <w:t xml:space="preserve"> Wiley.</w:t>
            </w:r>
          </w:p>
        </w:tc>
        <w:tc>
          <w:tcPr>
            <w:tcW w:w="0" w:type="auto"/>
          </w:tcPr>
          <w:p w14:paraId="696B6F67" w14:textId="77777777" w:rsidR="00AA11A0" w:rsidRDefault="00000000">
            <w:pPr>
              <w:pStyle w:val="Compact"/>
            </w:pPr>
            <w:r>
              <w:t>Intro paragraph 4 and §3.2, where probabilities are elicited (from an LLM acting as expert).</w:t>
            </w:r>
          </w:p>
        </w:tc>
        <w:tc>
          <w:tcPr>
            <w:tcW w:w="0" w:type="auto"/>
          </w:tcPr>
          <w:p w14:paraId="599DBE6C" w14:textId="77777777" w:rsidR="00AA11A0" w:rsidRDefault="00000000">
            <w:pPr>
              <w:pStyle w:val="Compact"/>
            </w:pPr>
            <w:r>
              <w:t xml:space="preserve">Your tutor: </w:t>
            </w:r>
            <w:r>
              <w:rPr>
                <w:i/>
              </w:rPr>
              <w:t>“experts asked for probabilities may introduce bias — add a reference about it.”</w:t>
            </w:r>
          </w:p>
        </w:tc>
      </w:tr>
      <w:tr w:rsidR="00AA11A0" w14:paraId="00094386" w14:textId="77777777">
        <w:tc>
          <w:tcPr>
            <w:tcW w:w="0" w:type="auto"/>
          </w:tcPr>
          <w:p w14:paraId="5B9B94D6" w14:textId="77777777" w:rsidR="00AA11A0" w:rsidRDefault="00000000">
            <w:pPr>
              <w:pStyle w:val="Compact"/>
            </w:pPr>
            <w:r>
              <w:rPr>
                <w:i/>
              </w:rPr>
              <w:t>(Optional)</w:t>
            </w:r>
            <w:r>
              <w:t xml:space="preserve"> A cyber-physical-systems fault-diagnosis survey, e.g. a recent scoping study of fault diagnostics for industrial CPS.</w:t>
            </w:r>
          </w:p>
        </w:tc>
        <w:tc>
          <w:tcPr>
            <w:tcW w:w="0" w:type="auto"/>
          </w:tcPr>
          <w:p w14:paraId="7AA9B559" w14:textId="77777777" w:rsidR="00AA11A0" w:rsidRDefault="00000000">
            <w:pPr>
              <w:pStyle w:val="Compact"/>
            </w:pPr>
            <w:r>
              <w:t>Intro paragraph 1, supporting the claim that diagnosis matters in cyber-physical systems.</w:t>
            </w:r>
          </w:p>
        </w:tc>
        <w:tc>
          <w:tcPr>
            <w:tcW w:w="0" w:type="auto"/>
          </w:tcPr>
          <w:p w14:paraId="5B9F0ED7" w14:textId="77777777" w:rsidR="00AA11A0" w:rsidRDefault="00000000">
            <w:pPr>
              <w:pStyle w:val="Compact"/>
            </w:pPr>
            <w:r>
              <w:t xml:space="preserve">Your tutor: </w:t>
            </w:r>
            <w:r>
              <w:rPr>
                <w:i/>
              </w:rPr>
              <w:t>“add citation … impact of diagnosis problems in cyber-physical systems.”</w:t>
            </w:r>
          </w:p>
        </w:tc>
      </w:tr>
    </w:tbl>
    <w:p w14:paraId="7E7010FE" w14:textId="77777777" w:rsidR="00AA11A0" w:rsidRDefault="00000000">
      <w:pPr>
        <w:pStyle w:val="Titre2"/>
      </w:pPr>
      <w:bookmarkStart w:id="9" w:name="Xdf66527d77b8d2a8f48c7e72806ef34ab8ca6a1"/>
      <w:r>
        <w:t>Two corrections to existing reference entries</w:t>
      </w:r>
      <w:bookmarkEnd w:id="9"/>
    </w:p>
    <w:p w14:paraId="2C48CBA6" w14:textId="77777777" w:rsidR="00AA11A0" w:rsidRDefault="00000000">
      <w:pPr>
        <w:pStyle w:val="Compact"/>
        <w:numPr>
          <w:ilvl w:val="0"/>
          <w:numId w:val="6"/>
        </w:numPr>
      </w:pPr>
      <w:r>
        <w:rPr>
          <w:b/>
        </w:rPr>
        <w:t>Reference [4] (BFM).</w:t>
      </w:r>
      <w:r>
        <w:t xml:space="preserve"> Listed as </w:t>
      </w:r>
      <w:r>
        <w:rPr>
          <w:i/>
        </w:rPr>
        <w:t>“Giang, P.H., Shenoy, S.”</w:t>
      </w:r>
      <w:r>
        <w:t xml:space="preserve"> — Shenoy’s initials are </w:t>
      </w:r>
      <w:r>
        <w:rPr>
          <w:b/>
        </w:rPr>
        <w:t>P.P.</w:t>
      </w:r>
      <w:r>
        <w:t xml:space="preserve"> (Prakash P.), not S. Fix to “Giang, P. H., Shenoy, P. P.”</w:t>
      </w:r>
    </w:p>
    <w:p w14:paraId="7FB96BA7" w14:textId="77777777" w:rsidR="00AA11A0" w:rsidRDefault="00000000">
      <w:pPr>
        <w:pStyle w:val="Compact"/>
        <w:numPr>
          <w:ilvl w:val="0"/>
          <w:numId w:val="6"/>
        </w:numPr>
      </w:pPr>
      <w:r>
        <w:rPr>
          <w:b/>
        </w:rPr>
        <w:t>Reference [3] (repository).</w:t>
      </w:r>
      <w:r>
        <w:t xml:space="preserve"> Listed as </w:t>
      </w:r>
      <w:r>
        <w:rPr>
          <w:i/>
        </w:rPr>
        <w:t>“Garcia-Legaz Levi, P., Collaborators, P.”</w:t>
      </w:r>
      <w:r>
        <w:t xml:space="preserve"> — “Collaborators, P.” reads as an unfinished placeholder. Either name the collaborators or write it as a group/project author.</w:t>
      </w:r>
    </w:p>
    <w:p w14:paraId="0763E965" w14:textId="77777777" w:rsidR="00AA11A0" w:rsidRDefault="00000000">
      <w:pPr>
        <w:pStyle w:val="Titre2"/>
      </w:pPr>
      <w:bookmarkStart w:id="10" w:name="Xfd7111cf2e78fc1d9d2d71149bc38b19d7b4c3a"/>
      <w:r>
        <w:t>One thing to double-check, not a citation issue</w:t>
      </w:r>
      <w:bookmarkEnd w:id="10"/>
    </w:p>
    <w:p w14:paraId="1EFD879C" w14:textId="77777777" w:rsidR="00AA11A0" w:rsidRDefault="00000000">
      <w:pPr>
        <w:pStyle w:val="FirstParagraph"/>
      </w:pPr>
      <w:r>
        <w:t xml:space="preserve">§3.2 names </w:t>
      </w:r>
      <w:r>
        <w:rPr>
          <w:b/>
        </w:rPr>
        <w:t>“ChatGPT-5.5”</w:t>
      </w:r>
      <w:r>
        <w:t xml:space="preserve"> as the simulated domain expert. Your May draft said, more safely, “a large language model.” I’d revert to the generic phrasing (or state the exact tool and version you actually used) — naming a specific version invites a reviewer to question it, and the version string as written may not correspond to a real released model. Keep the honest caveat that the priors are illustrative, and pair it with the O’Hagan citation so the LLM-as-expert choice is framed against the known elicitation-bias literature.</w:t>
      </w:r>
    </w:p>
    <w:p w14:paraId="7F481CD2" w14:textId="77777777" w:rsidR="00AA11A0" w:rsidRDefault="00AC2550">
      <w:r>
        <w:rPr>
          <w:noProof/>
        </w:rPr>
        <w:pict w14:anchorId="53FF10E1">
          <v:rect id="_x0000_i1026" alt="" style="width:453.6pt;height:.05pt;mso-width-percent:0;mso-height-percent:0;mso-width-percent:0;mso-height-percent:0" o:hralign="center" o:hrstd="t" o:hr="t"/>
        </w:pict>
      </w:r>
    </w:p>
    <w:p w14:paraId="0C86AA7D" w14:textId="77777777" w:rsidR="00AA11A0" w:rsidRDefault="00000000">
      <w:pPr>
        <w:pStyle w:val="Titre1"/>
      </w:pPr>
      <w:bookmarkStart w:id="11" w:name="shortening-plan-19-16-pages"/>
      <w:r>
        <w:t>4. Shortening plan: 19 → 16 pages</w:t>
      </w:r>
      <w:bookmarkEnd w:id="11"/>
    </w:p>
    <w:p w14:paraId="25473D2D" w14:textId="77777777" w:rsidR="00AA11A0" w:rsidRDefault="00000000">
      <w:pPr>
        <w:pStyle w:val="FirstParagraph"/>
      </w:pPr>
      <w:r>
        <w:t xml:space="preserve">You asked whether the introduction is where you can cut the most. </w:t>
      </w:r>
      <w:r>
        <w:rPr>
          <w:b/>
        </w:rPr>
        <w:t>Honest answer: the intro is the most visibly repetitive section, but it is not where most of your page budget lives.</w:t>
      </w:r>
      <w:r>
        <w:t xml:space="preserve"> The rewrite in Section 1 saves roughly half a page to three-quarters of a page. To remove ~3 pages you also need cuts in Section 2, Section 4, and the Section 5/6 overlap. Here is a concrete plan that adds up.</w:t>
      </w:r>
    </w:p>
    <w:tbl>
      <w:tblPr>
        <w:tblStyle w:val="Table"/>
        <w:tblW w:w="5000" w:type="pct"/>
        <w:tblLook w:val="07E0" w:firstRow="1" w:lastRow="1" w:firstColumn="1" w:lastColumn="1" w:noHBand="1" w:noVBand="1"/>
      </w:tblPr>
      <w:tblGrid>
        <w:gridCol w:w="1795"/>
        <w:gridCol w:w="6486"/>
        <w:gridCol w:w="1125"/>
      </w:tblGrid>
      <w:tr w:rsidR="00AA11A0" w14:paraId="49088589" w14:textId="77777777">
        <w:tc>
          <w:tcPr>
            <w:tcW w:w="0" w:type="auto"/>
            <w:tcBorders>
              <w:bottom w:val="single" w:sz="0" w:space="0" w:color="auto"/>
            </w:tcBorders>
            <w:vAlign w:val="bottom"/>
          </w:tcPr>
          <w:p w14:paraId="3902B0EE" w14:textId="77777777" w:rsidR="00AA11A0" w:rsidRDefault="00000000">
            <w:pPr>
              <w:pStyle w:val="Compact"/>
            </w:pPr>
            <w:r>
              <w:t>Where</w:t>
            </w:r>
          </w:p>
        </w:tc>
        <w:tc>
          <w:tcPr>
            <w:tcW w:w="0" w:type="auto"/>
            <w:tcBorders>
              <w:bottom w:val="single" w:sz="0" w:space="0" w:color="auto"/>
            </w:tcBorders>
            <w:vAlign w:val="bottom"/>
          </w:tcPr>
          <w:p w14:paraId="374A5C2D" w14:textId="77777777" w:rsidR="00AA11A0" w:rsidRDefault="00000000">
            <w:pPr>
              <w:pStyle w:val="Compact"/>
            </w:pPr>
            <w:r>
              <w:t>Action</w:t>
            </w:r>
          </w:p>
        </w:tc>
        <w:tc>
          <w:tcPr>
            <w:tcW w:w="0" w:type="auto"/>
            <w:tcBorders>
              <w:bottom w:val="single" w:sz="0" w:space="0" w:color="auto"/>
            </w:tcBorders>
            <w:vAlign w:val="bottom"/>
          </w:tcPr>
          <w:p w14:paraId="3ABEE94A" w14:textId="77777777" w:rsidR="00AA11A0" w:rsidRDefault="00000000">
            <w:pPr>
              <w:pStyle w:val="Compact"/>
            </w:pPr>
            <w:r>
              <w:t>Approx. saving</w:t>
            </w:r>
          </w:p>
        </w:tc>
      </w:tr>
      <w:tr w:rsidR="00AA11A0" w14:paraId="087E4209" w14:textId="77777777">
        <w:tc>
          <w:tcPr>
            <w:tcW w:w="0" w:type="auto"/>
          </w:tcPr>
          <w:p w14:paraId="66F7C7D0" w14:textId="77777777" w:rsidR="00AA11A0" w:rsidRDefault="00000000">
            <w:pPr>
              <w:pStyle w:val="Compact"/>
            </w:pPr>
            <w:r>
              <w:rPr>
                <w:b/>
              </w:rPr>
              <w:t>Introduction</w:t>
            </w:r>
          </w:p>
        </w:tc>
        <w:tc>
          <w:tcPr>
            <w:tcW w:w="0" w:type="auto"/>
          </w:tcPr>
          <w:p w14:paraId="4AB957BF" w14:textId="77777777" w:rsidR="00AA11A0" w:rsidRDefault="00000000">
            <w:pPr>
              <w:pStyle w:val="Compact"/>
            </w:pPr>
            <w:r>
              <w:t>Use the rewrite in Section 1 (removes the repeated “middle ground”/“not a replacement”, merges the contribution paragraph, drops one of the duplicated toy examples).</w:t>
            </w:r>
          </w:p>
        </w:tc>
        <w:tc>
          <w:tcPr>
            <w:tcW w:w="0" w:type="auto"/>
          </w:tcPr>
          <w:p w14:paraId="4368046A" w14:textId="77777777" w:rsidR="00AA11A0" w:rsidRDefault="00000000">
            <w:pPr>
              <w:pStyle w:val="Compact"/>
            </w:pPr>
            <w:r>
              <w:t>0.5–0.75 pp</w:t>
            </w:r>
          </w:p>
        </w:tc>
      </w:tr>
      <w:tr w:rsidR="00AA11A0" w14:paraId="00B70151" w14:textId="77777777">
        <w:tc>
          <w:tcPr>
            <w:tcW w:w="0" w:type="auto"/>
          </w:tcPr>
          <w:p w14:paraId="6EB7F97B" w14:textId="77777777" w:rsidR="00AA11A0" w:rsidRDefault="00000000">
            <w:pPr>
              <w:pStyle w:val="Compact"/>
            </w:pPr>
            <w:r>
              <w:rPr>
                <w:b/>
              </w:rPr>
              <w:t>§2.1 Fault diagnosis</w:t>
            </w:r>
          </w:p>
        </w:tc>
        <w:tc>
          <w:tcPr>
            <w:tcW w:w="0" w:type="auto"/>
          </w:tcPr>
          <w:p w14:paraId="22EAD5F4" w14:textId="77777777" w:rsidR="00AA11A0" w:rsidRDefault="00000000">
            <w:pPr>
              <w:pStyle w:val="Compact"/>
            </w:pPr>
            <w:r>
              <w:t>Heavily overlaps the intro — it re-defines fault diagnosis and re-lists the sources of uncertainty. Cut to one paragraph; reduce the method taxonomy (model/signal/data/hybrid) to two sentences.</w:t>
            </w:r>
          </w:p>
        </w:tc>
        <w:tc>
          <w:tcPr>
            <w:tcW w:w="0" w:type="auto"/>
          </w:tcPr>
          <w:p w14:paraId="261EA545" w14:textId="77777777" w:rsidR="00AA11A0" w:rsidRDefault="00000000">
            <w:pPr>
              <w:pStyle w:val="Compact"/>
            </w:pPr>
            <w:r>
              <w:t>~0.3 pp</w:t>
            </w:r>
          </w:p>
        </w:tc>
      </w:tr>
      <w:tr w:rsidR="00AA11A0" w14:paraId="13E69BBE" w14:textId="77777777">
        <w:tc>
          <w:tcPr>
            <w:tcW w:w="0" w:type="auto"/>
          </w:tcPr>
          <w:p w14:paraId="07BA2B37" w14:textId="77777777" w:rsidR="00AA11A0" w:rsidRDefault="00000000">
            <w:pPr>
              <w:pStyle w:val="Compact"/>
            </w:pPr>
            <w:r>
              <w:rPr>
                <w:b/>
              </w:rPr>
              <w:t>§2.2 Bayesian networks</w:t>
            </w:r>
          </w:p>
        </w:tc>
        <w:tc>
          <w:tcPr>
            <w:tcW w:w="0" w:type="auto"/>
          </w:tcPr>
          <w:p w14:paraId="0C188599" w14:textId="77777777" w:rsidR="00AA11A0" w:rsidRDefault="00000000">
            <w:pPr>
              <w:pStyle w:val="Compact"/>
            </w:pPr>
            <w:r>
              <w:t>The “strengths” and “limitation” prose repeats the intro. Keep the formal definition + factorisation (Eq. 1); compress the surrounding text.</w:t>
            </w:r>
          </w:p>
        </w:tc>
        <w:tc>
          <w:tcPr>
            <w:tcW w:w="0" w:type="auto"/>
          </w:tcPr>
          <w:p w14:paraId="23C9E86E" w14:textId="77777777" w:rsidR="00AA11A0" w:rsidRDefault="00000000">
            <w:pPr>
              <w:pStyle w:val="Compact"/>
            </w:pPr>
            <w:r>
              <w:t>~0.2 pp</w:t>
            </w:r>
          </w:p>
        </w:tc>
      </w:tr>
      <w:tr w:rsidR="00AA11A0" w14:paraId="4AF17B6A" w14:textId="77777777">
        <w:tc>
          <w:tcPr>
            <w:tcW w:w="0" w:type="auto"/>
          </w:tcPr>
          <w:p w14:paraId="10F186B4" w14:textId="77777777" w:rsidR="00AA11A0" w:rsidRDefault="00000000">
            <w:pPr>
              <w:pStyle w:val="Compact"/>
            </w:pPr>
            <w:r>
              <w:rPr>
                <w:b/>
              </w:rPr>
              <w:t>§4.1–4.4</w:t>
            </w:r>
          </w:p>
        </w:tc>
        <w:tc>
          <w:tcPr>
            <w:tcW w:w="0" w:type="auto"/>
          </w:tcPr>
          <w:p w14:paraId="1CC96BD7" w14:textId="77777777" w:rsidR="00AA11A0" w:rsidRDefault="00000000">
            <w:pPr>
              <w:pStyle w:val="Compact"/>
            </w:pPr>
            <w:r>
              <w:t xml:space="preserve">Merge as your tutor suggested. Move the step-by-step BFM command list (uil2bm, condiembed, keepbel, solve, showbel) to an appendix. The </w:t>
            </w:r>
            <w:r>
              <w:rPr>
                <w:b/>
              </w:rPr>
              <w:t>worked example (4.4) duplicates the intro example and the L1/L4 narrative</w:t>
            </w:r>
            <w:r>
              <w:t xml:space="preserve"> — cut it to 2–3 sentences or remove it.</w:t>
            </w:r>
          </w:p>
        </w:tc>
        <w:tc>
          <w:tcPr>
            <w:tcW w:w="0" w:type="auto"/>
          </w:tcPr>
          <w:p w14:paraId="763ADB06" w14:textId="77777777" w:rsidR="00AA11A0" w:rsidRDefault="00000000">
            <w:pPr>
              <w:pStyle w:val="Compact"/>
            </w:pPr>
            <w:r>
              <w:t>0.5–0.75 pp</w:t>
            </w:r>
          </w:p>
        </w:tc>
      </w:tr>
      <w:tr w:rsidR="00AA11A0" w14:paraId="5A297303" w14:textId="77777777">
        <w:tc>
          <w:tcPr>
            <w:tcW w:w="0" w:type="auto"/>
          </w:tcPr>
          <w:p w14:paraId="2D1867E7" w14:textId="77777777" w:rsidR="00AA11A0" w:rsidRDefault="00000000">
            <w:pPr>
              <w:pStyle w:val="Compact"/>
            </w:pPr>
            <w:r>
              <w:rPr>
                <w:b/>
              </w:rPr>
              <w:t>§5.2–5.3 prose</w:t>
            </w:r>
          </w:p>
        </w:tc>
        <w:tc>
          <w:tcPr>
            <w:tcW w:w="0" w:type="auto"/>
          </w:tcPr>
          <w:p w14:paraId="1C56CCF5" w14:textId="77777777" w:rsidR="00AA11A0" w:rsidRDefault="00000000">
            <w:pPr>
              <w:pStyle w:val="Compact"/>
            </w:pPr>
            <w:r>
              <w:t>If you add the consolidated Scenario 8 table, you can delete the repeated Scenario 8 walk-through that currently appears in both subsections.</w:t>
            </w:r>
          </w:p>
        </w:tc>
        <w:tc>
          <w:tcPr>
            <w:tcW w:w="0" w:type="auto"/>
          </w:tcPr>
          <w:p w14:paraId="490183C8" w14:textId="77777777" w:rsidR="00AA11A0" w:rsidRDefault="00000000">
            <w:pPr>
              <w:pStyle w:val="Compact"/>
            </w:pPr>
            <w:r>
              <w:t>~0.3 pp</w:t>
            </w:r>
          </w:p>
        </w:tc>
      </w:tr>
      <w:tr w:rsidR="00AA11A0" w14:paraId="06C07740" w14:textId="77777777">
        <w:tc>
          <w:tcPr>
            <w:tcW w:w="0" w:type="auto"/>
          </w:tcPr>
          <w:p w14:paraId="032E0E63" w14:textId="77777777" w:rsidR="00AA11A0" w:rsidRDefault="00000000">
            <w:pPr>
              <w:pStyle w:val="Compact"/>
            </w:pPr>
            <w:r>
              <w:rPr>
                <w:b/>
              </w:rPr>
              <w:t>§5.5 vs §6.1</w:t>
            </w:r>
          </w:p>
        </w:tc>
        <w:tc>
          <w:tcPr>
            <w:tcW w:w="0" w:type="auto"/>
          </w:tcPr>
          <w:p w14:paraId="18EAACB5" w14:textId="77777777" w:rsidR="00AA11A0" w:rsidRDefault="00000000">
            <w:pPr>
              <w:pStyle w:val="Compact"/>
            </w:pPr>
            <w:r>
              <w:t>The “three patterns” recap in 5.5 and the “when recommended” text in 6.1 say much the same thing. Keep one; trim 6.1/6.2 to the decision criteria.</w:t>
            </w:r>
          </w:p>
        </w:tc>
        <w:tc>
          <w:tcPr>
            <w:tcW w:w="0" w:type="auto"/>
          </w:tcPr>
          <w:p w14:paraId="7DF04CD5" w14:textId="77777777" w:rsidR="00AA11A0" w:rsidRDefault="00000000">
            <w:pPr>
              <w:pStyle w:val="Compact"/>
            </w:pPr>
            <w:r>
              <w:t>~0.3 pp</w:t>
            </w:r>
          </w:p>
        </w:tc>
      </w:tr>
      <w:tr w:rsidR="00AA11A0" w14:paraId="2D84DC2E" w14:textId="77777777">
        <w:tc>
          <w:tcPr>
            <w:tcW w:w="0" w:type="auto"/>
          </w:tcPr>
          <w:p w14:paraId="20AB8D12" w14:textId="77777777" w:rsidR="00AA11A0" w:rsidRDefault="00000000">
            <w:pPr>
              <w:pStyle w:val="Compact"/>
            </w:pPr>
            <w:r>
              <w:rPr>
                <w:b/>
              </w:rPr>
              <w:t>Tables 2–5 prose</w:t>
            </w:r>
          </w:p>
        </w:tc>
        <w:tc>
          <w:tcPr>
            <w:tcW w:w="0" w:type="auto"/>
          </w:tcPr>
          <w:p w14:paraId="704FB591" w14:textId="77777777" w:rsidR="00AA11A0" w:rsidRDefault="00000000">
            <w:pPr>
              <w:pStyle w:val="Compact"/>
            </w:pPr>
            <w:r>
              <w:t>Each table already has an “Interpretation” column; shorten the paragraph under each table that re-explains the same point.</w:t>
            </w:r>
          </w:p>
        </w:tc>
        <w:tc>
          <w:tcPr>
            <w:tcW w:w="0" w:type="auto"/>
          </w:tcPr>
          <w:p w14:paraId="3CF56733" w14:textId="77777777" w:rsidR="00AA11A0" w:rsidRDefault="00000000">
            <w:pPr>
              <w:pStyle w:val="Compact"/>
            </w:pPr>
            <w:r>
              <w:t>~0.2 pp</w:t>
            </w:r>
          </w:p>
        </w:tc>
      </w:tr>
      <w:tr w:rsidR="00AA11A0" w14:paraId="5FE7957F" w14:textId="77777777">
        <w:tc>
          <w:tcPr>
            <w:tcW w:w="0" w:type="auto"/>
          </w:tcPr>
          <w:p w14:paraId="5CFFA395" w14:textId="77777777" w:rsidR="00AA11A0" w:rsidRDefault="00000000">
            <w:pPr>
              <w:pStyle w:val="Compact"/>
            </w:pPr>
            <w:r>
              <w:rPr>
                <w:b/>
              </w:rPr>
              <w:t>§7 Conclusion</w:t>
            </w:r>
          </w:p>
        </w:tc>
        <w:tc>
          <w:tcPr>
            <w:tcW w:w="0" w:type="auto"/>
          </w:tcPr>
          <w:p w14:paraId="563360EC" w14:textId="77777777" w:rsidR="00AA11A0" w:rsidRDefault="00000000">
            <w:pPr>
              <w:pStyle w:val="Compact"/>
            </w:pPr>
            <w:r>
              <w:t>Repeats the intro motivation almost verbatim. Tighten to a single paragraph.</w:t>
            </w:r>
          </w:p>
        </w:tc>
        <w:tc>
          <w:tcPr>
            <w:tcW w:w="0" w:type="auto"/>
          </w:tcPr>
          <w:p w14:paraId="0C1A16C1" w14:textId="77777777" w:rsidR="00AA11A0" w:rsidRDefault="00000000">
            <w:pPr>
              <w:pStyle w:val="Compact"/>
            </w:pPr>
            <w:r>
              <w:t>~0.2 pp</w:t>
            </w:r>
          </w:p>
        </w:tc>
      </w:tr>
    </w:tbl>
    <w:p w14:paraId="525F097E" w14:textId="77777777" w:rsidR="00AA11A0" w:rsidRDefault="00000000">
      <w:pPr>
        <w:pStyle w:val="Corpsdetexte"/>
      </w:pPr>
      <w:r>
        <w:t xml:space="preserve">That totals roughly </w:t>
      </w:r>
      <w:r>
        <w:rPr>
          <w:b/>
        </w:rPr>
        <w:t>2.5–3.5 pages</w:t>
      </w:r>
      <w:r>
        <w:t xml:space="preserve">, which gets you to 16 with some margin. The single highest-value structural cut is the </w:t>
      </w:r>
      <w:r>
        <w:rPr>
          <w:b/>
        </w:rPr>
        <w:t>Section 4 merge plus removing the duplicated worked example</w:t>
      </w:r>
      <w:r>
        <w:t xml:space="preserve">, closely followed by removing the </w:t>
      </w:r>
      <w:r>
        <w:rPr>
          <w:b/>
        </w:rPr>
        <w:t>Scenario-8 / interpretation duplication</w:t>
      </w:r>
      <w:r>
        <w:t xml:space="preserve"> in Section 5. Trim the intro too — but don’t expect the intro alone to do it.</w:t>
      </w:r>
    </w:p>
    <w:p w14:paraId="22FC173E" w14:textId="77777777" w:rsidR="00AA11A0" w:rsidRDefault="00000000">
      <w:pPr>
        <w:pStyle w:val="Corpsdetexte"/>
      </w:pPr>
      <w:r>
        <w:t xml:space="preserve">One caution: the four appendices are all </w:t>
      </w:r>
      <w:r>
        <w:rPr>
          <w:rStyle w:val="VerbatimChar"/>
        </w:rPr>
        <w:t>[TO FILL]</w:t>
      </w:r>
      <w:r>
        <w:t>. If they stay empty, an LNCS reviewer will notice, and the main text repeatedly defers detail “to the appendix.” At minimum, fill the BN specification (priors/CPTs) and the BFM/UIL construction details before submission, since those are the two places the main text points to.</w:t>
      </w:r>
    </w:p>
    <w:p w14:paraId="3C1471A7" w14:textId="77777777" w:rsidR="00AA11A0" w:rsidRDefault="00AC2550">
      <w:r>
        <w:rPr>
          <w:noProof/>
        </w:rPr>
        <w:pict w14:anchorId="1764F3E8">
          <v:rect id="_x0000_i1025" alt="" style="width:453.6pt;height:.05pt;mso-width-percent:0;mso-height-percent:0;mso-width-percent:0;mso-height-percent:0" o:hralign="center" o:hrstd="t" o:hr="t"/>
        </w:pict>
      </w:r>
    </w:p>
    <w:p w14:paraId="7758DC1F" w14:textId="77777777" w:rsidR="00AA11A0" w:rsidRDefault="00000000">
      <w:pPr>
        <w:pStyle w:val="Titre1"/>
      </w:pPr>
      <w:bookmarkStart w:id="12" w:name="X7436e0cffd9567e2d597fe255a2a61c095c4faa"/>
      <w:r>
        <w:t>5. Further feedback on the rest of the paper</w:t>
      </w:r>
      <w:bookmarkEnd w:id="12"/>
    </w:p>
    <w:p w14:paraId="270183E7" w14:textId="77777777" w:rsidR="00AA11A0" w:rsidRDefault="00000000">
      <w:pPr>
        <w:pStyle w:val="Compact"/>
        <w:numPr>
          <w:ilvl w:val="0"/>
          <w:numId w:val="7"/>
        </w:numPr>
      </w:pPr>
      <w:r>
        <w:rPr>
          <w:b/>
        </w:rPr>
        <w:t>Strengths worth keeping.</w:t>
      </w:r>
      <w:r>
        <w:t xml:space="preserve"> The L0 → L1 → L2 → L4 narrative is clear and, as verified above, matches your data. The honest framing (“not more accurate, but more transparent under incompleteness”) is exactly right and now consistent throughout. The conceptual fix on belief/plausibility is handled well — that was your tutor’s single biggest concern in the draft.</w:t>
      </w:r>
    </w:p>
    <w:p w14:paraId="002E0B51" w14:textId="77777777" w:rsidR="00AA11A0" w:rsidRDefault="00000000">
      <w:pPr>
        <w:pStyle w:val="Compact"/>
        <w:numPr>
          <w:ilvl w:val="0"/>
          <w:numId w:val="7"/>
        </w:numPr>
      </w:pPr>
      <w:r>
        <w:rPr>
          <w:b/>
        </w:rPr>
        <w:t>Scenario 14 compound fault.</w:t>
      </w:r>
      <w:r>
        <w:t xml:space="preserve"> You handle it correctly (two non-mutually-exclusive variables can both reach belief 1). Consider adding the one-line justification from your analysis notes in a footnote, since a careful reader may otherwise think two faults at belief 1 is a contradiction.</w:t>
      </w:r>
    </w:p>
    <w:p w14:paraId="0174C01A" w14:textId="77777777" w:rsidR="00AA11A0" w:rsidRDefault="00000000">
      <w:pPr>
        <w:pStyle w:val="Compact"/>
        <w:numPr>
          <w:ilvl w:val="0"/>
          <w:numId w:val="7"/>
        </w:numPr>
      </w:pPr>
      <w:r>
        <w:rPr>
          <w:b/>
        </w:rPr>
        <w:t>Empty-set mass / conflict.</w:t>
      </w:r>
      <w:r>
        <w:t xml:space="preserve"> The §5.5 framing is good. You might add a single sentence reminding the reader that conflict here measures prior-vs-evidence tension, not sensor disagreement — it pre-empts a likely reviewer question.</w:t>
      </w:r>
    </w:p>
    <w:p w14:paraId="76FA5639" w14:textId="77777777" w:rsidR="00AA11A0" w:rsidRDefault="00000000">
      <w:pPr>
        <w:pStyle w:val="Compact"/>
        <w:numPr>
          <w:ilvl w:val="0"/>
          <w:numId w:val="7"/>
        </w:numPr>
      </w:pPr>
      <w:r>
        <w:rPr>
          <w:b/>
        </w:rPr>
        <w:t>Typo, conclusion (p. 16).</w:t>
      </w:r>
      <w:r>
        <w:t xml:space="preserve"> “…simple single-probability outputs. </w:t>
      </w:r>
      <w:r>
        <w:rPr>
          <w:b/>
        </w:rPr>
        <w:t>belief</w:t>
      </w:r>
      <w:r>
        <w:t xml:space="preserve"> networks are not a universal replacement…” — lowercase “belief” after the full stop. Capitalize.</w:t>
      </w:r>
    </w:p>
    <w:p w14:paraId="7CCABA6F" w14:textId="77777777" w:rsidR="00AA11A0" w:rsidRDefault="00000000">
      <w:pPr>
        <w:pStyle w:val="Compact"/>
        <w:numPr>
          <w:ilvl w:val="0"/>
          <w:numId w:val="7"/>
        </w:numPr>
      </w:pPr>
      <w:r>
        <w:rPr>
          <w:b/>
        </w:rPr>
        <w:t>Terminology consistency.</w:t>
      </w:r>
      <w:r>
        <w:t xml:space="preserve"> You settled on “belief network,” which is fine and matches your tutor’s “pick one and keep it.” Just make sure “belief-function model,” “belief network,” and “BFM model” are used deliberately (model = the instance, BFM = the software/tool) and not interchangeably.</w:t>
      </w:r>
    </w:p>
    <w:p w14:paraId="085F1ECD" w14:textId="77777777" w:rsidR="00AA11A0" w:rsidRDefault="00000000">
      <w:pPr>
        <w:pStyle w:val="Compact"/>
        <w:numPr>
          <w:ilvl w:val="0"/>
          <w:numId w:val="7"/>
        </w:numPr>
      </w:pPr>
      <w:r>
        <w:rPr>
          <w:b/>
        </w:rPr>
        <w:t>Abstract.</w:t>
      </w:r>
      <w:r>
        <w:t xml:space="preserve"> Currently empty (keywords only). You said you’ll add it — when you do, make sure it states the </w:t>
      </w:r>
      <w:r>
        <w:rPr>
          <w:i/>
        </w:rPr>
        <w:t>practical/readiness</w:t>
      </w:r>
      <w:r>
        <w:t xml:space="preserve"> contribution, not a performance comparison, to stay consistent with the reframing.</w:t>
      </w:r>
    </w:p>
    <w:p w14:paraId="442D564B" w14:textId="77777777" w:rsidR="00AA11A0" w:rsidRDefault="00000000">
      <w:pPr>
        <w:pStyle w:val="FirstParagraph"/>
      </w:pPr>
      <w:r>
        <w:t>Net: address the citations (biggest gap), fix the two L4 result statements, apply the shortening plan, and drop in the rewritten intro, and the paper will be in strong shape for submission.</w:t>
      </w:r>
    </w:p>
    <w:sectPr w:rsidR="00AA11A0">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7787B" w14:textId="77777777" w:rsidR="00AC2550" w:rsidRDefault="00AC2550">
      <w:pPr>
        <w:spacing w:after="0"/>
      </w:pPr>
      <w:r>
        <w:separator/>
      </w:r>
    </w:p>
  </w:endnote>
  <w:endnote w:type="continuationSeparator" w:id="0">
    <w:p w14:paraId="01C99D6F" w14:textId="77777777" w:rsidR="00AC2550" w:rsidRDefault="00AC25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EC90" w14:textId="77777777" w:rsidR="00AC2550" w:rsidRDefault="00AC2550">
      <w:r>
        <w:separator/>
      </w:r>
    </w:p>
  </w:footnote>
  <w:footnote w:type="continuationSeparator" w:id="0">
    <w:p w14:paraId="5C7E07B7" w14:textId="77777777" w:rsidR="00AC2550" w:rsidRDefault="00AC2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C7658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D0DE626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274AB3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650672912">
    <w:abstractNumId w:val="1"/>
  </w:num>
  <w:num w:numId="2" w16cid:durableId="1620890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3634437">
    <w:abstractNumId w:val="2"/>
  </w:num>
  <w:num w:numId="4" w16cid:durableId="1959143992">
    <w:abstractNumId w:val="2"/>
  </w:num>
  <w:num w:numId="5" w16cid:durableId="87775188">
    <w:abstractNumId w:val="2"/>
  </w:num>
  <w:num w:numId="6" w16cid:durableId="1907378056">
    <w:abstractNumId w:val="2"/>
  </w:num>
  <w:num w:numId="7" w16cid:durableId="1843884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784D58"/>
    <w:rsid w:val="008D6863"/>
    <w:rsid w:val="00AA11A0"/>
    <w:rsid w:val="00AC2550"/>
    <w:rsid w:val="00B86B75"/>
    <w:rsid w:val="00BC48D5"/>
    <w:rsid w:val="00BE6756"/>
    <w:rsid w:val="00C36279"/>
    <w:rsid w:val="00DE652B"/>
    <w:rsid w:val="00E315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DE0E"/>
  <w15:docId w15:val="{02133936-8ECA-AC4C-A592-EE5D1291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3326</Words>
  <Characters>18296</Characters>
  <Application>Microsoft Office Word</Application>
  <DocSecurity>0</DocSecurity>
  <Lines>152</Lines>
  <Paragraphs>43</Paragraphs>
  <ScaleCrop>false</ScaleCrop>
  <Company/>
  <LinksUpToDate>false</LinksUpToDate>
  <CharactersWithSpaces>21579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and Revision Pack</dc:title>
  <dc:creator>Belief Networks for Fault Diagnosis under Incomplete Information</dc:creator>
  <cp:keywords/>
  <cp:lastModifiedBy>Charlotte Schneider</cp:lastModifiedBy>
  <cp:revision>2</cp:revision>
  <dcterms:created xsi:type="dcterms:W3CDTF">2026-06-16T14:56:00Z</dcterms:created>
  <dcterms:modified xsi:type="dcterms:W3CDTF">2026-06-16T14:56:00Z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for Pablo Garcia-Legaz Levi — 16 June 2026</vt:lpwstr>
  </property>
</Properties>
</file>