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F61"/>
          <w:sz w:val="44"/>
          <w:szCs w:val="44"/>
        </w:rPr>
        <w:t xml:space="preserve">Manual de Arquitectura — Proyectos Unity</w:t>
      </w:r>
    </w:p>
    <w:p>
      <w:pPr>
        <w:spacing w:after="400"/>
      </w:pPr>
      <w:r>
        <w:rPr>
          <w:i/>
          <w:iCs/>
          <w:color w:val="2E5A88"/>
          <w:sz w:val="24"/>
          <w:szCs w:val="24"/>
        </w:rPr>
        <w:t xml:space="preserve">Estándar de equipo para arquitectura desacoplada. Aplica a todo proyecto Unity del estudio, independientemente del género o etapa.</w:t>
      </w:r>
    </w:p>
    <w:p>
      <w:pPr>
        <w:pStyle w:val="Heading1"/>
        <w:spacing w:after="200" w:before="400"/>
      </w:pPr>
      <w:r>
        <w:t xml:space="preserve">1. Propósito y alcance</w:t>
      </w:r>
    </w:p>
    <w:p>
      <w:pPr>
        <w:spacing w:after="150"/>
      </w:pPr>
      <w:r>
        <w:t xml:space="preserve">Este manual define las reglas de arquitectura obligatorias para proyectos Unity desarrollados por el equipo. El objetivo es que cualquier programador del equipo pueda incorporarse a cualquier proyecto y reconocer de inmediato dónde vive cada responsabilidad, sin depender de que alguien le explique decisiones tomadas ad-hoc.</w:t>
      </w:r>
    </w:p>
    <w:p>
      <w:pPr>
        <w:spacing w:after="150"/>
      </w:pPr>
      <w:r>
        <w:t xml:space="preserve">Este manual aplica a proyectos nuevos, desde su primer commit. No cubre la adopción de estas reglas en proyectos ya existentes.</w:t>
      </w:r>
    </w:p>
    <w:p>
      <w:pPr>
        <w:pBdr>
          <w:left w:val="single" w:color="2E5A88" w:sz="12" w:space="8"/>
        </w:pBdr>
        <w:spacing w:after="200" w:before="100"/>
        <w:ind w:left="220"/>
      </w:pPr>
      <w:r>
        <w:rPr>
          <w:b/>
          <w:bCs/>
        </w:rPr>
        <w:t xml:space="preserve">Nota: </w:t>
      </w:r>
      <w:r>
        <w:t xml:space="preserve">Este documento define reglas y patrones, no una arquitectura específica de un juego. Los ejemplos de dominio (inventario, misiones, salud) son ilustrativos; cada proyecto define sus propios dominios.</w:t>
      </w:r>
    </w:p>
    <w:p>
      <w:pPr>
        <w:pStyle w:val="Heading1"/>
        <w:spacing w:after="200" w:before="400"/>
      </w:pPr>
      <w:r>
        <w:t xml:space="preserve">2. Principios rectores</w:t>
      </w:r>
    </w:p>
    <w:p>
      <w:pPr>
        <w:spacing w:after="150"/>
      </w:pPr>
      <w:r>
        <w:t xml:space="preserve">Cada principio se acompaña del patrón de diseño que lo implementa, el antipatrón que evita, y el/los principios SOLID con los que se relaciona — para que la regla no se perciba como arbitraria.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300"/>
      </w:tblGrid>
      <w:tr>
        <w:trPr>
          <w:tblHeader/>
        </w:trPr>
        <w:tc>
          <w:tcPr>
            <w:tcW w:type="dxa" w:w="2600"/>
            <w:shd w:fill="DCE6F1" w:val="clear"/>
            <w:vAlign w:val="center"/>
          </w:tcPr>
          <w:p>
            <w:pPr>
              <w:spacing w:after="0"/>
            </w:pPr>
            <w:r>
              <w:rPr>
                <w:b/>
                <w:bCs/>
                <w:sz w:val="20"/>
                <w:szCs w:val="20"/>
              </w:rPr>
              <w:t xml:space="preserve">Principio</w:t>
            </w:r>
          </w:p>
        </w:tc>
        <w:tc>
          <w:tcPr>
            <w:tcW w:type="dxa" w:w="2300"/>
            <w:shd w:fill="DCE6F1" w:val="clear"/>
            <w:vAlign w:val="center"/>
          </w:tcPr>
          <w:p>
            <w:pPr>
              <w:spacing w:after="0"/>
            </w:pPr>
            <w:r>
              <w:rPr>
                <w:b/>
                <w:bCs/>
                <w:sz w:val="20"/>
                <w:szCs w:val="20"/>
              </w:rPr>
              <w:t xml:space="preserve">Patrón de diseño</w:t>
            </w:r>
          </w:p>
        </w:tc>
        <w:tc>
          <w:tcPr>
            <w:tcW w:type="dxa" w:w="2300"/>
            <w:shd w:fill="DCE6F1" w:val="clear"/>
            <w:vAlign w:val="center"/>
          </w:tcPr>
          <w:p>
            <w:pPr>
              <w:spacing w:after="0"/>
            </w:pPr>
            <w:r>
              <w:rPr>
                <w:b/>
                <w:bCs/>
                <w:sz w:val="20"/>
                <w:szCs w:val="20"/>
              </w:rPr>
              <w:t xml:space="preserve">Antipatrón a evitar</w:t>
            </w:r>
          </w:p>
        </w:tc>
        <w:tc>
          <w:tcPr>
            <w:tcW w:type="dxa" w:w="2300"/>
            <w:shd w:fill="DCE6F1" w:val="clear"/>
            <w:vAlign w:val="center"/>
          </w:tcPr>
          <w:p>
            <w:pPr>
              <w:spacing w:after="0"/>
            </w:pPr>
            <w:r>
              <w:rPr>
                <w:b/>
                <w:bCs/>
                <w:sz w:val="20"/>
                <w:szCs w:val="20"/>
              </w:rPr>
              <w:t xml:space="preserve">SOLID relacionado</w:t>
            </w:r>
          </w:p>
        </w:tc>
      </w:tr>
      <w:tr>
        <w:tc>
          <w:tcPr>
            <w:tcW w:type="dxa" w:w="2600"/>
            <w:vAlign w:val="center"/>
          </w:tcPr>
          <w:p>
            <w:pPr>
              <w:spacing w:after="0"/>
            </w:pPr>
            <w:r>
              <w:rPr>
                <w:b w:val="false"/>
                <w:bCs w:val="false"/>
                <w:sz w:val="20"/>
                <w:szCs w:val="20"/>
              </w:rPr>
              <w:t xml:space="preserve">Ninguna ruta global mutable representa estado de gameplay. Prohibido GameManager.Instance y equivalentes.</w:t>
            </w:r>
          </w:p>
        </w:tc>
        <w:tc>
          <w:tcPr>
            <w:tcW w:type="dxa" w:w="2300"/>
            <w:vAlign w:val="center"/>
          </w:tcPr>
          <w:p>
            <w:pPr>
              <w:spacing w:after="0"/>
            </w:pPr>
            <w:r>
              <w:rPr>
                <w:b w:val="false"/>
                <w:bCs w:val="false"/>
                <w:sz w:val="20"/>
                <w:szCs w:val="20"/>
              </w:rPr>
              <w:t xml:space="preserve">Dependency Injection (vía Inspector) / Composition Root</w:t>
            </w:r>
          </w:p>
        </w:tc>
        <w:tc>
          <w:tcPr>
            <w:tcW w:type="dxa" w:w="2300"/>
            <w:vAlign w:val="center"/>
          </w:tcPr>
          <w:p>
            <w:pPr>
              <w:spacing w:after="0"/>
            </w:pPr>
            <w:r>
              <w:rPr>
                <w:b w:val="false"/>
                <w:bCs w:val="false"/>
                <w:sz w:val="20"/>
                <w:szCs w:val="20"/>
              </w:rPr>
              <w:t xml:space="preserve">Singleton global, Service Locator oculto</w:t>
            </w:r>
          </w:p>
        </w:tc>
        <w:tc>
          <w:tcPr>
            <w:tcW w:type="dxa" w:w="2300"/>
            <w:vAlign w:val="center"/>
          </w:tcPr>
          <w:p>
            <w:pPr>
              <w:spacing w:after="0"/>
            </w:pPr>
            <w:r>
              <w:rPr>
                <w:b w:val="false"/>
                <w:bCs w:val="false"/>
                <w:sz w:val="20"/>
                <w:szCs w:val="20"/>
              </w:rPr>
              <w:t xml:space="preserve">Dependency Inversion (DIP)</w:t>
            </w:r>
          </w:p>
        </w:tc>
      </w:tr>
      <w:tr>
        <w:tc>
          <w:tcPr>
            <w:tcW w:type="dxa" w:w="2600"/>
            <w:vAlign w:val="center"/>
          </w:tcPr>
          <w:p>
            <w:pPr>
              <w:spacing w:after="0"/>
            </w:pPr>
            <w:r>
              <w:rPr>
                <w:b w:val="false"/>
                <w:bCs w:val="false"/>
                <w:sz w:val="20"/>
                <w:szCs w:val="20"/>
              </w:rPr>
              <w:t xml:space="preserve">La escena o el prefab compone las dependencias de forma visible; el código de runtime no las busca ni las fabrica.</w:t>
            </w:r>
          </w:p>
        </w:tc>
        <w:tc>
          <w:tcPr>
            <w:tcW w:type="dxa" w:w="2300"/>
            <w:vAlign w:val="center"/>
          </w:tcPr>
          <w:p>
            <w:pPr>
              <w:spacing w:after="0"/>
            </w:pPr>
            <w:r>
              <w:rPr>
                <w:b w:val="false"/>
                <w:bCs w:val="false"/>
                <w:sz w:val="20"/>
                <w:szCs w:val="20"/>
              </w:rPr>
              <w:t xml:space="preserve">Composition Root</w:t>
            </w:r>
          </w:p>
        </w:tc>
        <w:tc>
          <w:tcPr>
            <w:tcW w:type="dxa" w:w="2300"/>
            <w:vAlign w:val="center"/>
          </w:tcPr>
          <w:p>
            <w:pPr>
              <w:spacing w:after="0"/>
            </w:pPr>
            <w:r>
              <w:rPr>
                <w:b w:val="false"/>
                <w:bCs w:val="false"/>
                <w:sz w:val="20"/>
                <w:szCs w:val="20"/>
              </w:rPr>
              <w:t xml:space="preserve">Control Freak (el objeto crea sus propias dependencias), Service Locator</w:t>
            </w:r>
          </w:p>
        </w:tc>
        <w:tc>
          <w:tcPr>
            <w:tcW w:type="dxa" w:w="2300"/>
            <w:vAlign w:val="center"/>
          </w:tcPr>
          <w:p>
            <w:pPr>
              <w:spacing w:after="0"/>
            </w:pPr>
            <w:r>
              <w:rPr>
                <w:b w:val="false"/>
                <w:bCs w:val="false"/>
                <w:sz w:val="20"/>
                <w:szCs w:val="20"/>
              </w:rPr>
              <w:t xml:space="preserve">Dependency Inversion (DIP), Single Responsibility (SRP)</w:t>
            </w:r>
          </w:p>
        </w:tc>
      </w:tr>
      <w:tr>
        <w:tc>
          <w:tcPr>
            <w:tcW w:type="dxa" w:w="2600"/>
            <w:vAlign w:val="center"/>
          </w:tcPr>
          <w:p>
            <w:pPr>
              <w:spacing w:after="0"/>
            </w:pPr>
            <w:r>
              <w:rPr>
                <w:b w:val="false"/>
                <w:bCs w:val="false"/>
                <w:sz w:val="20"/>
                <w:szCs w:val="20"/>
              </w:rPr>
              <w:t xml:space="preserve">Los contratos son pequeños y explícitos (una interfaz, una responsabilidad) — no interfaces "god" que agrupan todo un subsistema.</w:t>
            </w:r>
          </w:p>
        </w:tc>
        <w:tc>
          <w:tcPr>
            <w:tcW w:type="dxa" w:w="2300"/>
            <w:vAlign w:val="center"/>
          </w:tcPr>
          <w:p>
            <w:pPr>
              <w:spacing w:after="0"/>
            </w:pPr>
            <w:r>
              <w:rPr>
                <w:b w:val="false"/>
                <w:bCs w:val="false"/>
                <w:sz w:val="20"/>
                <w:szCs w:val="20"/>
              </w:rPr>
              <w:t xml:space="preserve">Role Interface</w:t>
            </w:r>
          </w:p>
        </w:tc>
        <w:tc>
          <w:tcPr>
            <w:tcW w:type="dxa" w:w="2300"/>
            <w:vAlign w:val="center"/>
          </w:tcPr>
          <w:p>
            <w:pPr>
              <w:spacing w:after="0"/>
            </w:pPr>
            <w:r>
              <w:rPr>
                <w:b w:val="false"/>
                <w:bCs w:val="false"/>
                <w:sz w:val="20"/>
                <w:szCs w:val="20"/>
              </w:rPr>
              <w:t xml:space="preserve">God Interface / Fat Interface</w:t>
            </w:r>
          </w:p>
        </w:tc>
        <w:tc>
          <w:tcPr>
            <w:tcW w:type="dxa" w:w="2300"/>
            <w:vAlign w:val="center"/>
          </w:tcPr>
          <w:p>
            <w:pPr>
              <w:spacing w:after="0"/>
            </w:pPr>
            <w:r>
              <w:rPr>
                <w:b w:val="false"/>
                <w:bCs w:val="false"/>
                <w:sz w:val="20"/>
                <w:szCs w:val="20"/>
              </w:rPr>
              <w:t xml:space="preserve">Interface Segregation (ISP), Single Responsibility (SRP)</w:t>
            </w:r>
          </w:p>
        </w:tc>
      </w:tr>
      <w:tr>
        <w:tc>
          <w:tcPr>
            <w:tcW w:type="dxa" w:w="2600"/>
            <w:vAlign w:val="center"/>
          </w:tcPr>
          <w:p>
            <w:pPr>
              <w:spacing w:after="0"/>
            </w:pPr>
            <w:r>
              <w:rPr>
                <w:b w:val="false"/>
                <w:bCs w:val="false"/>
                <w:sz w:val="20"/>
                <w:szCs w:val="20"/>
              </w:rPr>
              <w:t xml:space="preserve">La comunicación entre sistemas que no deben conocerse usa EventChannels tipados, no buses estáticos ni delegates globales.</w:t>
            </w:r>
          </w:p>
        </w:tc>
        <w:tc>
          <w:tcPr>
            <w:tcW w:type="dxa" w:w="2300"/>
            <w:vAlign w:val="center"/>
          </w:tcPr>
          <w:p>
            <w:pPr>
              <w:spacing w:after="0"/>
            </w:pPr>
            <w:r>
              <w:rPr>
                <w:b w:val="false"/>
                <w:bCs w:val="false"/>
                <w:sz w:val="20"/>
                <w:szCs w:val="20"/>
              </w:rPr>
              <w:t xml:space="preserve">Observer / Publish-Subscribe (implementado como SO Event Channel)</w:t>
            </w:r>
          </w:p>
        </w:tc>
        <w:tc>
          <w:tcPr>
            <w:tcW w:type="dxa" w:w="2300"/>
            <w:vAlign w:val="center"/>
          </w:tcPr>
          <w:p>
            <w:pPr>
              <w:spacing w:after="0"/>
            </w:pPr>
            <w:r>
              <w:rPr>
                <w:b w:val="false"/>
                <w:bCs w:val="false"/>
                <w:sz w:val="20"/>
                <w:szCs w:val="20"/>
              </w:rPr>
              <w:t xml:space="preserve">Static Event Bus, Singleton EventManager</w:t>
            </w:r>
          </w:p>
        </w:tc>
        <w:tc>
          <w:tcPr>
            <w:tcW w:type="dxa" w:w="2300"/>
            <w:vAlign w:val="center"/>
          </w:tcPr>
          <w:p>
            <w:pPr>
              <w:spacing w:after="0"/>
            </w:pPr>
            <w:r>
              <w:rPr>
                <w:b w:val="false"/>
                <w:bCs w:val="false"/>
                <w:sz w:val="20"/>
                <w:szCs w:val="20"/>
              </w:rPr>
              <w:t xml:space="preserve">Open/Closed (OCP), Dependency Inversion (DIP)</w:t>
            </w:r>
          </w:p>
        </w:tc>
      </w:tr>
      <w:tr>
        <w:tc>
          <w:tcPr>
            <w:tcW w:type="dxa" w:w="2600"/>
            <w:vAlign w:val="center"/>
          </w:tcPr>
          <w:p>
            <w:pPr>
              <w:spacing w:after="0"/>
            </w:pPr>
            <w:r>
              <w:rPr>
                <w:b w:val="false"/>
                <w:bCs w:val="false"/>
                <w:sz w:val="20"/>
                <w:szCs w:val="20"/>
              </w:rPr>
              <w:t xml:space="preserve">Toda referencia crítica faltante produce un comportamiento visible (warning, error, bloqueo) — nunca un fallback oculto que enmascare el problema.</w:t>
            </w:r>
          </w:p>
        </w:tc>
        <w:tc>
          <w:tcPr>
            <w:tcW w:type="dxa" w:w="2300"/>
            <w:vAlign w:val="center"/>
          </w:tcPr>
          <w:p>
            <w:pPr>
              <w:spacing w:after="0"/>
            </w:pPr>
            <w:r>
              <w:rPr>
                <w:b w:val="false"/>
                <w:bCs w:val="false"/>
                <w:sz w:val="20"/>
                <w:szCs w:val="20"/>
              </w:rPr>
              <w:t xml:space="preserve">Fail-Fast</w:t>
            </w:r>
          </w:p>
        </w:tc>
        <w:tc>
          <w:tcPr>
            <w:tcW w:type="dxa" w:w="2300"/>
            <w:vAlign w:val="center"/>
          </w:tcPr>
          <w:p>
            <w:pPr>
              <w:spacing w:after="0"/>
            </w:pPr>
            <w:r>
              <w:rPr>
                <w:b w:val="false"/>
                <w:bCs w:val="false"/>
                <w:sz w:val="20"/>
                <w:szCs w:val="20"/>
              </w:rPr>
              <w:t xml:space="preserve">Silent Failure / fallback oculto</w:t>
            </w:r>
          </w:p>
        </w:tc>
        <w:tc>
          <w:tcPr>
            <w:tcW w:type="dxa" w:w="2300"/>
            <w:vAlign w:val="center"/>
          </w:tcPr>
          <w:p>
            <w:pPr>
              <w:spacing w:after="0"/>
            </w:pPr>
            <w:r>
              <w:rPr>
                <w:b w:val="false"/>
                <w:bCs w:val="false"/>
                <w:sz w:val="20"/>
                <w:szCs w:val="20"/>
              </w:rPr>
              <w:t xml:space="preserve">— no aplica directamente a SOLID</w:t>
            </w:r>
          </w:p>
        </w:tc>
      </w:tr>
      <w:tr>
        <w:tc>
          <w:tcPr>
            <w:tcW w:type="dxa" w:w="2600"/>
            <w:vAlign w:val="center"/>
          </w:tcPr>
          <w:p>
            <w:pPr>
              <w:spacing w:after="0"/>
            </w:pPr>
            <w:r>
              <w:rPr>
                <w:b w:val="false"/>
                <w:bCs w:val="false"/>
                <w:sz w:val="20"/>
                <w:szCs w:val="20"/>
              </w:rPr>
              <w:t xml:space="preserve">Composición sobre herencia: preferir componer comportamiento con múltiples componentes pequeños antes que jerarquías de herencia profundas.</w:t>
            </w:r>
          </w:p>
        </w:tc>
        <w:tc>
          <w:tcPr>
            <w:tcW w:type="dxa" w:w="2300"/>
            <w:vAlign w:val="center"/>
          </w:tcPr>
          <w:p>
            <w:pPr>
              <w:spacing w:after="0"/>
            </w:pPr>
            <w:r>
              <w:rPr>
                <w:b w:val="false"/>
                <w:bCs w:val="false"/>
                <w:sz w:val="20"/>
                <w:szCs w:val="20"/>
              </w:rPr>
              <w:t xml:space="preserve">Composition over Inheritance, Strategy</w:t>
            </w:r>
          </w:p>
        </w:tc>
        <w:tc>
          <w:tcPr>
            <w:tcW w:type="dxa" w:w="2300"/>
            <w:vAlign w:val="center"/>
          </w:tcPr>
          <w:p>
            <w:pPr>
              <w:spacing w:after="0"/>
            </w:pPr>
            <w:r>
              <w:rPr>
                <w:b w:val="false"/>
                <w:bCs w:val="false"/>
                <w:sz w:val="20"/>
                <w:szCs w:val="20"/>
              </w:rPr>
              <w:t xml:space="preserve">God Base Class / Fragile Base Class Problem</w:t>
            </w:r>
          </w:p>
        </w:tc>
        <w:tc>
          <w:tcPr>
            <w:tcW w:type="dxa" w:w="2300"/>
            <w:vAlign w:val="center"/>
          </w:tcPr>
          <w:p>
            <w:pPr>
              <w:spacing w:after="0"/>
            </w:pPr>
            <w:r>
              <w:rPr>
                <w:b w:val="false"/>
                <w:bCs w:val="false"/>
                <w:sz w:val="20"/>
                <w:szCs w:val="20"/>
              </w:rPr>
              <w:t xml:space="preserve">Liskov Substitution (LSP), Open/Closed (OCP)</w:t>
            </w:r>
          </w:p>
        </w:tc>
      </w:tr>
    </w:tbl>
    <w:p>
      <w:pPr>
        <w:pStyle w:val="Heading1"/>
        <w:spacing w:after="200" w:before="400"/>
      </w:pPr>
      <w:r>
        <w:t xml:space="preserve">3. Estructura de capas estándar</w:t>
      </w:r>
    </w:p>
    <w:p>
      <w:pPr>
        <w:spacing w:after="150"/>
      </w:pPr>
      <w:r>
        <w:t xml:space="preserve">Todo dominio de gameplay (inventario, combate, diálogo, economía, etc.) se organiza en las mismas cinco capas. La carpeta se organiza por dominio primero, por capa después — no por tipo de archivo:</w:t>
      </w:r>
    </w:p>
    <w:p>
      <w:pPr>
        <w:shd w:fill="F2F2F2" w:val="clear"/>
        <w:spacing w:after="200" w:before="100"/>
      </w:pPr>
      <w:r>
        <w:rPr>
          <w:rFonts w:ascii="Consolas" w:cs="Consolas" w:eastAsia="Consolas" w:hAnsi="Consolas"/>
          <w:sz w:val="20"/>
          <w:szCs w:val="20"/>
        </w:rPr>
        <w:t xml:space="preserve">Assets/Project/Systems/&lt;Dominio&gt;/{Contracts, Data, Runtime, UI}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900"/>
      </w:tblGrid>
      <w:tr>
        <w:trPr>
          <w:tblHeader/>
        </w:trPr>
        <w:tc>
          <w:tcPr>
            <w:tcW w:type="dxa" w:w="1600"/>
            <w:shd w:fill="DCE6F1" w:val="clear"/>
            <w:vAlign w:val="center"/>
          </w:tcPr>
          <w:p>
            <w:pPr>
              <w:spacing w:after="0"/>
            </w:pPr>
            <w:r>
              <w:rPr>
                <w:b/>
                <w:bCs/>
                <w:sz w:val="20"/>
                <w:szCs w:val="20"/>
              </w:rPr>
              <w:t xml:space="preserve">Capa</w:t>
            </w:r>
          </w:p>
        </w:tc>
        <w:tc>
          <w:tcPr>
            <w:tcW w:type="dxa" w:w="4500"/>
            <w:shd w:fill="DCE6F1" w:val="clear"/>
            <w:vAlign w:val="center"/>
          </w:tcPr>
          <w:p>
            <w:pPr>
              <w:spacing w:after="0"/>
            </w:pPr>
            <w:r>
              <w:rPr>
                <w:b/>
                <w:bCs/>
                <w:sz w:val="20"/>
                <w:szCs w:val="20"/>
              </w:rPr>
              <w:t xml:space="preserve">Responsabilidad</w:t>
            </w:r>
          </w:p>
        </w:tc>
        <w:tc>
          <w:tcPr>
            <w:tcW w:type="dxa" w:w="3900"/>
            <w:shd w:fill="DCE6F1" w:val="clear"/>
            <w:vAlign w:val="center"/>
          </w:tcPr>
          <w:p>
            <w:pPr>
              <w:spacing w:after="0"/>
            </w:pPr>
            <w:r>
              <w:rPr>
                <w:b/>
                <w:bCs/>
                <w:sz w:val="20"/>
                <w:szCs w:val="20"/>
              </w:rPr>
              <w:t xml:space="preserve">Regla de dependencia</w:t>
            </w:r>
          </w:p>
        </w:tc>
      </w:tr>
      <w:tr>
        <w:tc>
          <w:tcPr>
            <w:tcW w:type="dxa" w:w="1600"/>
            <w:vAlign w:val="center"/>
          </w:tcPr>
          <w:p>
            <w:pPr>
              <w:spacing w:after="0"/>
            </w:pPr>
            <w:r>
              <w:rPr>
                <w:b w:val="false"/>
                <w:bCs w:val="false"/>
                <w:sz w:val="20"/>
                <w:szCs w:val="20"/>
              </w:rPr>
              <w:t xml:space="preserve">Contracts</w:t>
            </w:r>
          </w:p>
        </w:tc>
        <w:tc>
          <w:tcPr>
            <w:tcW w:type="dxa" w:w="4500"/>
            <w:vAlign w:val="center"/>
          </w:tcPr>
          <w:p>
            <w:pPr>
              <w:spacing w:after="0"/>
            </w:pPr>
            <w:r>
              <w:rPr>
                <w:b w:val="false"/>
                <w:bCs w:val="false"/>
                <w:sz w:val="20"/>
                <w:szCs w:val="20"/>
              </w:rPr>
              <w:t xml:space="preserve">Interfaces y modelos puros de C#.</w:t>
            </w:r>
          </w:p>
        </w:tc>
        <w:tc>
          <w:tcPr>
            <w:tcW w:type="dxa" w:w="3900"/>
            <w:vAlign w:val="center"/>
          </w:tcPr>
          <w:p>
            <w:pPr>
              <w:spacing w:after="0"/>
            </w:pPr>
            <w:r>
              <w:rPr>
                <w:b w:val="false"/>
                <w:bCs w:val="false"/>
                <w:sz w:val="20"/>
                <w:szCs w:val="20"/>
              </w:rPr>
              <w:t xml:space="preserve">No depende de UnityEngine salvo tipos serializables básicos. No depende de ninguna otra capa del dominio.</w:t>
            </w:r>
          </w:p>
        </w:tc>
      </w:tr>
      <w:tr>
        <w:tc>
          <w:tcPr>
            <w:tcW w:type="dxa" w:w="1600"/>
            <w:vAlign w:val="center"/>
          </w:tcPr>
          <w:p>
            <w:pPr>
              <w:spacing w:after="0"/>
            </w:pPr>
            <w:r>
              <w:rPr>
                <w:b w:val="false"/>
                <w:bCs w:val="false"/>
                <w:sz w:val="20"/>
                <w:szCs w:val="20"/>
              </w:rPr>
              <w:t xml:space="preserve">Data</w:t>
            </w:r>
          </w:p>
        </w:tc>
        <w:tc>
          <w:tcPr>
            <w:tcW w:type="dxa" w:w="4500"/>
            <w:vAlign w:val="center"/>
          </w:tcPr>
          <w:p>
            <w:pPr>
              <w:spacing w:after="0"/>
            </w:pPr>
            <w:r>
              <w:rPr>
                <w:b w:val="false"/>
                <w:bCs w:val="false"/>
                <w:sz w:val="20"/>
                <w:szCs w:val="20"/>
              </w:rPr>
              <w:t xml:space="preserve">ScriptableObjects y assets de configuración.</w:t>
            </w:r>
          </w:p>
        </w:tc>
        <w:tc>
          <w:tcPr>
            <w:tcW w:type="dxa" w:w="3900"/>
            <w:vAlign w:val="center"/>
          </w:tcPr>
          <w:p>
            <w:pPr>
              <w:spacing w:after="0"/>
            </w:pPr>
            <w:r>
              <w:rPr>
                <w:b w:val="false"/>
                <w:bCs w:val="false"/>
                <w:sz w:val="20"/>
                <w:szCs w:val="20"/>
              </w:rPr>
              <w:t xml:space="preserve">Puede depender de Contracts. No contiene lógica de comportamiento, solo datos y validación de forma.</w:t>
            </w:r>
          </w:p>
        </w:tc>
      </w:tr>
      <w:tr>
        <w:tc>
          <w:tcPr>
            <w:tcW w:type="dxa" w:w="1600"/>
            <w:vAlign w:val="center"/>
          </w:tcPr>
          <w:p>
            <w:pPr>
              <w:spacing w:after="0"/>
            </w:pPr>
            <w:r>
              <w:rPr>
                <w:b w:val="false"/>
                <w:bCs w:val="false"/>
                <w:sz w:val="20"/>
                <w:szCs w:val="20"/>
              </w:rPr>
              <w:t xml:space="preserve">Runtime</w:t>
            </w:r>
          </w:p>
        </w:tc>
        <w:tc>
          <w:tcPr>
            <w:tcW w:type="dxa" w:w="4500"/>
            <w:vAlign w:val="center"/>
          </w:tcPr>
          <w:p>
            <w:pPr>
              <w:spacing w:after="0"/>
            </w:pPr>
            <w:r>
              <w:rPr>
                <w:b w:val="false"/>
                <w:bCs w:val="false"/>
                <w:sz w:val="20"/>
                <w:szCs w:val="20"/>
              </w:rPr>
              <w:t xml:space="preserve">MonoBehaviours que implementan Contracts: servicios, controllers, fachadas de escena.</w:t>
            </w:r>
          </w:p>
        </w:tc>
        <w:tc>
          <w:tcPr>
            <w:tcW w:type="dxa" w:w="3900"/>
            <w:vAlign w:val="center"/>
          </w:tcPr>
          <w:p>
            <w:pPr>
              <w:spacing w:after="0"/>
            </w:pPr>
            <w:r>
              <w:rPr>
                <w:b w:val="false"/>
                <w:bCs w:val="false"/>
                <w:sz w:val="20"/>
                <w:szCs w:val="20"/>
              </w:rPr>
              <w:t xml:space="preserve">Puede depender de Contracts y Data. No depende de UI.</w:t>
            </w:r>
          </w:p>
        </w:tc>
      </w:tr>
      <w:tr>
        <w:tc>
          <w:tcPr>
            <w:tcW w:type="dxa" w:w="1600"/>
            <w:vAlign w:val="center"/>
          </w:tcPr>
          <w:p>
            <w:pPr>
              <w:spacing w:after="0"/>
            </w:pPr>
            <w:r>
              <w:rPr>
                <w:b w:val="false"/>
                <w:bCs w:val="false"/>
                <w:sz w:val="20"/>
                <w:szCs w:val="20"/>
              </w:rPr>
              <w:t xml:space="preserve">UI</w:t>
            </w:r>
          </w:p>
        </w:tc>
        <w:tc>
          <w:tcPr>
            <w:tcW w:type="dxa" w:w="4500"/>
            <w:vAlign w:val="center"/>
          </w:tcPr>
          <w:p>
            <w:pPr>
              <w:spacing w:after="0"/>
            </w:pPr>
            <w:r>
              <w:rPr>
                <w:b w:val="false"/>
                <w:bCs w:val="false"/>
                <w:sz w:val="20"/>
                <w:szCs w:val="20"/>
              </w:rPr>
              <w:t xml:space="preserve">Presenters que leen estado o escuchan canales y actualizan controles visuales.</w:t>
            </w:r>
          </w:p>
        </w:tc>
        <w:tc>
          <w:tcPr>
            <w:tcW w:type="dxa" w:w="3900"/>
            <w:vAlign w:val="center"/>
          </w:tcPr>
          <w:p>
            <w:pPr>
              <w:spacing w:after="0"/>
            </w:pPr>
            <w:r>
              <w:rPr>
                <w:b w:val="false"/>
                <w:bCs w:val="false"/>
                <w:sz w:val="20"/>
                <w:szCs w:val="20"/>
              </w:rPr>
              <w:t xml:space="preserve">Puede depender de Contracts. No contiene reglas de dominio ni modifica datos directamente.</w:t>
            </w:r>
          </w:p>
        </w:tc>
      </w:tr>
      <w:tr>
        <w:tc>
          <w:tcPr>
            <w:tcW w:type="dxa" w:w="1600"/>
            <w:vAlign w:val="center"/>
          </w:tcPr>
          <w:p>
            <w:pPr>
              <w:spacing w:after="0"/>
            </w:pPr>
            <w:r>
              <w:rPr>
                <w:b w:val="false"/>
                <w:bCs w:val="false"/>
                <w:sz w:val="20"/>
                <w:szCs w:val="20"/>
              </w:rPr>
              <w:t xml:space="preserve">Scenes / Bindings</w:t>
            </w:r>
          </w:p>
        </w:tc>
        <w:tc>
          <w:tcPr>
            <w:tcW w:type="dxa" w:w="4500"/>
            <w:vAlign w:val="center"/>
          </w:tcPr>
          <w:p>
            <w:pPr>
              <w:spacing w:after="0"/>
            </w:pPr>
            <w:r>
              <w:rPr>
                <w:b w:val="false"/>
                <w:bCs w:val="false"/>
                <w:sz w:val="20"/>
                <w:szCs w:val="20"/>
              </w:rPr>
              <w:t xml:space="preserve">Escenas y prefabs con las referencias serializadas — el cableado real.</w:t>
            </w:r>
          </w:p>
        </w:tc>
        <w:tc>
          <w:tcPr>
            <w:tcW w:type="dxa" w:w="3900"/>
            <w:vAlign w:val="center"/>
          </w:tcPr>
          <w:p>
            <w:pPr>
              <w:spacing w:after="0"/>
            </w:pPr>
            <w:r>
              <w:rPr>
                <w:b w:val="false"/>
                <w:bCs w:val="false"/>
                <w:sz w:val="20"/>
                <w:szCs w:val="20"/>
              </w:rPr>
              <w:t xml:space="preserve">Es la única capa que "conoce" instancias concretas de todas las demás.</w:t>
            </w:r>
          </w:p>
        </w:tc>
      </w:tr>
    </w:tbl>
    <w:p>
      <w:pPr>
        <w:pBdr>
          <w:left w:val="single" w:color="2E5A88" w:sz="12" w:space="8"/>
        </w:pBdr>
        <w:spacing w:after="200" w:before="100"/>
        <w:ind w:left="220"/>
      </w:pPr>
      <w:r>
        <w:rPr>
          <w:b/>
          <w:bCs/>
        </w:rPr>
        <w:t xml:space="preserve">Nota: </w:t>
      </w:r>
      <w:r>
        <w:t xml:space="preserve">La regla de dependencia se verifica en code review, no solo se documenta. Un PR que introduce una referencia de Contracts hacia Runtime, o de Data hacia UI, se rechaza.</w:t>
      </w:r>
    </w:p>
    <w:p>
      <w:pPr>
        <w:pStyle w:val="Heading1"/>
        <w:spacing w:after="200" w:before="400"/>
      </w:pPr>
      <w:r>
        <w:t xml:space="preserve">4. Composición de dependencias</w:t>
      </w:r>
    </w:p>
    <w:p>
      <w:pPr>
        <w:spacing w:after="150"/>
      </w:pPr>
      <w:r>
        <w:t xml:space="preserve">Todo servicio se expone como una interfaz pequeña (Contracts) implementada por un MonoBehaviour (Runtime), y se asigna a sus consumidores como campo serializado por Inspector — nunca por búsqueda en runtime.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DCE6F1" w:val="clear"/>
            <w:vAlign w:val="center"/>
          </w:tcPr>
          <w:p>
            <w:pPr>
              <w:spacing w:after="0"/>
            </w:pPr>
            <w:r>
              <w:rPr>
                <w:b/>
                <w:bCs/>
                <w:sz w:val="20"/>
                <w:szCs w:val="20"/>
              </w:rPr>
              <w:t xml:space="preserve">Permitido</w:t>
            </w:r>
          </w:p>
        </w:tc>
        <w:tc>
          <w:tcPr>
            <w:tcW w:type="dxa" w:w="4700"/>
            <w:shd w:fill="DCE6F1" w:val="clear"/>
            <w:vAlign w:val="center"/>
          </w:tcPr>
          <w:p>
            <w:pPr>
              <w:spacing w:after="0"/>
            </w:pPr>
            <w:r>
              <w:rPr>
                <w:b/>
                <w:bCs/>
                <w:sz w:val="20"/>
                <w:szCs w:val="20"/>
              </w:rPr>
              <w:t xml:space="preserve">Prohibido</w:t>
            </w:r>
          </w:p>
        </w:tc>
      </w:tr>
      <w:tr>
        <w:tc>
          <w:tcPr>
            <w:tcW w:type="dxa" w:w="4700"/>
            <w:shd w:fill="E4F1E1" w:val="clear"/>
            <w:vAlign w:val="center"/>
          </w:tcPr>
          <w:p>
            <w:pPr>
              <w:spacing w:after="0"/>
            </w:pPr>
            <w:r>
              <w:rPr>
                <w:b w:val="false"/>
                <w:bCs w:val="false"/>
                <w:sz w:val="20"/>
                <w:szCs w:val="20"/>
              </w:rPr>
              <w:t xml:space="preserve">Campo serializado + interfaz, asignado por Inspector en escena o prefab.</w:t>
            </w:r>
          </w:p>
        </w:tc>
        <w:tc>
          <w:tcPr>
            <w:tcW w:type="dxa" w:w="4700"/>
            <w:shd w:fill="E4F1E1" w:val="clear"/>
            <w:vAlign w:val="center"/>
          </w:tcPr>
          <w:p>
            <w:pPr>
              <w:spacing w:after="0"/>
            </w:pPr>
            <w:r>
              <w:rPr>
                <w:b w:val="false"/>
                <w:bCs w:val="false"/>
                <w:sz w:val="20"/>
                <w:szCs w:val="20"/>
              </w:rPr>
              <w:t xml:space="preserve">Singleton estático (.Instance) para cualquier servicio o manager.</w:t>
            </w:r>
          </w:p>
        </w:tc>
      </w:tr>
      <w:tr>
        <w:tc>
          <w:tcPr>
            <w:tcW w:type="dxa" w:w="4700"/>
            <w:shd w:fill="FBE0E0" w:val="clear"/>
            <w:vAlign w:val="center"/>
          </w:tcPr>
          <w:p>
            <w:pPr>
              <w:spacing w:after="0"/>
            </w:pPr>
            <w:r>
              <w:rPr>
                <w:b w:val="false"/>
                <w:bCs w:val="false"/>
                <w:sz w:val="20"/>
                <w:szCs w:val="20"/>
              </w:rPr>
              <w:t xml:space="preserve">EventChannel_SO como puerto de comunicación entre sistemas desacoplados.</w:t>
            </w:r>
          </w:p>
        </w:tc>
        <w:tc>
          <w:tcPr>
            <w:tcW w:type="dxa" w:w="4700"/>
            <w:shd w:fill="FBE0E0" w:val="clear"/>
            <w:vAlign w:val="center"/>
          </w:tcPr>
          <w:p>
            <w:pPr>
              <w:spacing w:after="0"/>
            </w:pPr>
            <w:r>
              <w:rPr>
                <w:b w:val="false"/>
                <w:bCs w:val="false"/>
                <w:sz w:val="20"/>
                <w:szCs w:val="20"/>
              </w:rPr>
              <w:t xml:space="preserve">Bus de eventos estático (static event / static Action).</w:t>
            </w:r>
          </w:p>
        </w:tc>
      </w:tr>
      <w:tr>
        <w:tc>
          <w:tcPr>
            <w:tcW w:type="dxa" w:w="4700"/>
            <w:shd w:fill="E4F1E1" w:val="clear"/>
            <w:vAlign w:val="center"/>
          </w:tcPr>
          <w:p>
            <w:pPr>
              <w:spacing w:after="0"/>
            </w:pPr>
            <w:r>
              <w:rPr>
                <w:b w:val="false"/>
                <w:bCs w:val="false"/>
                <w:sz w:val="20"/>
                <w:szCs w:val="20"/>
              </w:rPr>
              <w:t xml:space="preserve">AddComponent / Resources.Load documentado como excepción explícita para pooling o spawning dinámico.</w:t>
            </w:r>
          </w:p>
        </w:tc>
        <w:tc>
          <w:tcPr>
            <w:tcW w:type="dxa" w:w="4700"/>
            <w:shd w:fill="E4F1E1" w:val="clear"/>
            <w:vAlign w:val="center"/>
          </w:tcPr>
          <w:p>
            <w:pPr>
              <w:spacing w:after="0"/>
            </w:pPr>
            <w:r>
              <w:rPr>
                <w:b w:val="false"/>
                <w:bCs w:val="false"/>
                <w:sz w:val="20"/>
                <w:szCs w:val="20"/>
              </w:rPr>
              <w:t xml:space="preserve">FindObjectOfType, Resources.Load o AddComponent como forma normal de configuración de un sistema.</w:t>
            </w:r>
          </w:p>
        </w:tc>
      </w:tr>
      <w:tr>
        <w:tc>
          <w:tcPr>
            <w:tcW w:type="dxa" w:w="4700"/>
            <w:shd w:fill="FBE0E0" w:val="clear"/>
            <w:vAlign w:val="center"/>
          </w:tcPr>
          <w:p>
            <w:pPr>
              <w:spacing w:after="0"/>
            </w:pPr>
            <w:r>
              <w:rPr>
                <w:b w:val="false"/>
                <w:bCs w:val="false"/>
                <w:sz w:val="20"/>
                <w:szCs w:val="20"/>
              </w:rPr>
              <w:t xml:space="preserve">DontDestroyOnLoad para un objeto con una responsabilidad puntual y documentada (ej. AudioListener persistente).</w:t>
            </w:r>
          </w:p>
        </w:tc>
        <w:tc>
          <w:tcPr>
            <w:tcW w:type="dxa" w:w="4700"/>
            <w:shd w:fill="FBE0E0" w:val="clear"/>
            <w:vAlign w:val="center"/>
          </w:tcPr>
          <w:p>
            <w:pPr>
              <w:spacing w:after="0"/>
            </w:pPr>
            <w:r>
              <w:rPr>
                <w:b w:val="false"/>
                <w:bCs w:val="false"/>
                <w:sz w:val="20"/>
                <w:szCs w:val="20"/>
              </w:rPr>
              <w:t xml:space="preserve">DontDestroyOnLoad para un manager global que acumula responsabilidades de varios dominios.</w:t>
            </w:r>
          </w:p>
        </w:tc>
      </w:tr>
    </w:tbl>
    <w:p>
      <w:pPr>
        <w:pStyle w:val="Heading1"/>
        <w:spacing w:after="200" w:before="400"/>
      </w:pPr>
      <w:r>
        <w:t xml:space="preserve">5. EventChannels — patrón estándar</w:t>
      </w:r>
    </w:p>
    <w:p>
      <w:pPr>
        <w:spacing w:after="150"/>
      </w:pPr>
      <w:r>
        <w:t xml:space="preserve">Los EventChannels son el único mecanismo permitido para comunicar sistemas que no deben conocerse entre sí. Un productor no conoce a sus consumidores; ambos solo comparten el asset del canal.</w:t>
      </w:r>
    </w:p>
    <w:p>
      <w:pPr>
        <w:pStyle w:val="Heading2"/>
        <w:spacing w:after="150" w:before="300"/>
      </w:pPr>
      <w:r>
        <w:t xml:space="preserve">5.1 Convención de nombres</w:t>
      </w:r>
    </w:p>
    <w:p>
      <w:pPr>
        <w:shd w:fill="F2F2F2" w:val="clear"/>
        <w:spacing w:after="200" w:before="100"/>
      </w:pPr>
      <w:r>
        <w:rPr>
          <w:rFonts w:ascii="Consolas" w:cs="Consolas" w:eastAsia="Consolas" w:hAnsi="Consolas"/>
          <w:sz w:val="20"/>
          <w:szCs w:val="20"/>
        </w:rPr>
        <w:t xml:space="preserve">&lt;Dominio&gt;&lt;Propósito&gt;EventChannel_SO   ej. InventoryChangedEventChannel_SO</w:t>
      </w:r>
    </w:p>
    <w:p>
      <w:pPr>
        <w:pStyle w:val="Heading2"/>
        <w:spacing w:after="150" w:before="300"/>
      </w:pPr>
      <w:r>
        <w:t xml:space="preserve">5.2 Reglas de implementación</w:t>
      </w:r>
    </w:p>
    <w:p>
      <w:pPr>
        <w:pStyle w:val="ListParagraph"/>
        <w:numPr>
          <w:ilvl w:val="0"/>
          <w:numId w:val="1"/>
        </w:numPr>
        <w:spacing w:after="60"/>
      </w:pPr>
      <w:r>
        <w:t xml:space="preserve">El productor recibe el canal por campo serializado y valida null antes de publicar, emitiendo warning si falta.</w:t>
      </w:r>
    </w:p>
    <w:p>
      <w:pPr>
        <w:pStyle w:val="ListParagraph"/>
        <w:numPr>
          <w:ilvl w:val="0"/>
          <w:numId w:val="1"/>
        </w:numPr>
        <w:spacing w:after="60"/>
      </w:pPr>
      <w:r>
        <w:t xml:space="preserve">El consumidor se suscribe en OnEnable y se desuscribe en OnDisable — sin excepciones.</w:t>
      </w:r>
    </w:p>
    <w:p>
      <w:pPr>
        <w:pStyle w:val="ListParagraph"/>
        <w:numPr>
          <w:ilvl w:val="0"/>
          <w:numId w:val="1"/>
        </w:numPr>
        <w:spacing w:after="60"/>
      </w:pPr>
      <w:r>
        <w:t xml:space="preserve">El payload es un tipo específico del dominio (struct o clase pequeña), nunca object genérico.</w:t>
      </w:r>
    </w:p>
    <w:p>
      <w:pPr>
        <w:pStyle w:val="ListParagraph"/>
        <w:numPr>
          <w:ilvl w:val="0"/>
          <w:numId w:val="1"/>
        </w:numPr>
        <w:spacing w:after="60"/>
      </w:pPr>
      <w:r>
        <w:t xml:space="preserve">Un canal es un solo asset. Duplicarlo (Ctrl+D) rompe la integración en silencio — ver sección 8.3.</w:t>
      </w:r>
    </w:p>
    <w:p>
      <w:pPr>
        <w:pStyle w:val="Heading2"/>
        <w:spacing w:after="150" w:before="300"/>
      </w:pPr>
      <w:r>
        <w:t xml:space="preserve">5.3 Cuándo NO usar un EventChannel</w:t>
      </w:r>
    </w:p>
    <w:p>
      <w:pPr>
        <w:spacing w:after="150"/>
      </w:pPr>
      <w:r>
        <w:t xml:space="preserve">Para comunicación 1 a 1 dentro del mismo dominio, con ambos objetos ya conocidos por composición (ej. un Presenter que ya tiene la referencia a su Controller), un event de C# (Action/Func) simple es preferible — más barato, más fácil de rastrear en el debugger. El EventChannel se reserva para comunicación entre dominios que no deben acoplarse.</w:t>
      </w:r>
    </w:p>
    <w:p>
      <w:pPr>
        <w:pStyle w:val="Heading1"/>
        <w:spacing w:after="200" w:before="400"/>
      </w:pPr>
      <w:r>
        <w:t xml:space="preserve">6. Persistencia</w:t>
      </w:r>
    </w:p>
    <w:p>
      <w:pPr>
        <w:spacing w:after="150"/>
      </w:pPr>
      <w:r>
        <w:t xml:space="preserve">Cuando un proyecto tiene sistema de guardado, se sigue el patrón participante + registro, nunca un SaveManager monolítico que conoce cada sistema del juego.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DCE6F1" w:val="clear"/>
            <w:vAlign w:val="center"/>
          </w:tcPr>
          <w:p>
            <w:pPr>
              <w:spacing w:after="0"/>
            </w:pPr>
            <w:r>
              <w:rPr>
                <w:b/>
                <w:bCs/>
                <w:sz w:val="20"/>
                <w:szCs w:val="20"/>
              </w:rPr>
              <w:t xml:space="preserve">Pieza</w:t>
            </w:r>
          </w:p>
        </w:tc>
        <w:tc>
          <w:tcPr>
            <w:tcW w:type="dxa" w:w="6200"/>
            <w:shd w:fill="DCE6F1" w:val="clear"/>
            <w:vAlign w:val="center"/>
          </w:tcPr>
          <w:p>
            <w:pPr>
              <w:spacing w:after="0"/>
            </w:pPr>
            <w:r>
              <w:rPr>
                <w:b/>
                <w:bCs/>
                <w:sz w:val="20"/>
                <w:szCs w:val="20"/>
              </w:rPr>
              <w:t xml:space="preserve">Responsabilidad</w:t>
            </w:r>
          </w:p>
        </w:tc>
      </w:tr>
      <w:tr>
        <w:tc>
          <w:tcPr>
            <w:tcW w:type="dxa" w:w="3200"/>
            <w:vAlign w:val="center"/>
          </w:tcPr>
          <w:p>
            <w:pPr>
              <w:spacing w:after="0"/>
            </w:pPr>
            <w:r>
              <w:rPr>
                <w:b w:val="false"/>
                <w:bCs w:val="false"/>
                <w:sz w:val="20"/>
                <w:szCs w:val="20"/>
              </w:rPr>
              <w:t xml:space="preserve">ISaveParticipant</w:t>
            </w:r>
          </w:p>
        </w:tc>
        <w:tc>
          <w:tcPr>
            <w:tcW w:type="dxa" w:w="6200"/>
            <w:vAlign w:val="center"/>
          </w:tcPr>
          <w:p>
            <w:pPr>
              <w:spacing w:after="0"/>
            </w:pPr>
            <w:r>
              <w:rPr>
                <w:b w:val="false"/>
                <w:bCs w:val="false"/>
                <w:sz w:val="20"/>
                <w:szCs w:val="20"/>
              </w:rPr>
              <w:t xml:space="preserve">Contrato para capturar/restaurar el fragmento de datos de un sistema.</w:t>
            </w:r>
          </w:p>
        </w:tc>
      </w:tr>
      <w:tr>
        <w:tc>
          <w:tcPr>
            <w:tcW w:type="dxa" w:w="3200"/>
            <w:vAlign w:val="center"/>
          </w:tcPr>
          <w:p>
            <w:pPr>
              <w:spacing w:after="0"/>
            </w:pPr>
            <w:r>
              <w:rPr>
                <w:b w:val="false"/>
                <w:bCs w:val="false"/>
                <w:sz w:val="20"/>
                <w:szCs w:val="20"/>
              </w:rPr>
              <w:t xml:space="preserve">SaveParticipantRegistry</w:t>
            </w:r>
          </w:p>
        </w:tc>
        <w:tc>
          <w:tcPr>
            <w:tcW w:type="dxa" w:w="6200"/>
            <w:vAlign w:val="center"/>
          </w:tcPr>
          <w:p>
            <w:pPr>
              <w:spacing w:after="0"/>
            </w:pPr>
            <w:r>
              <w:rPr>
                <w:b w:val="false"/>
                <w:bCs w:val="false"/>
                <w:sz w:val="20"/>
                <w:szCs w:val="20"/>
              </w:rPr>
              <w:t xml:space="preserve">Lista explícita de participantes a capturar/restaurar. Sin auto-discovery en proyectos nuevos.</w:t>
            </w:r>
          </w:p>
        </w:tc>
      </w:tr>
      <w:tr>
        <w:tc>
          <w:tcPr>
            <w:tcW w:type="dxa" w:w="3200"/>
            <w:vAlign w:val="center"/>
          </w:tcPr>
          <w:p>
            <w:pPr>
              <w:spacing w:after="0"/>
            </w:pPr>
            <w:r>
              <w:rPr>
                <w:b w:val="false"/>
                <w:bCs w:val="false"/>
                <w:sz w:val="20"/>
                <w:szCs w:val="20"/>
              </w:rPr>
              <w:t xml:space="preserve">GameData</w:t>
            </w:r>
          </w:p>
        </w:tc>
        <w:tc>
          <w:tcPr>
            <w:tcW w:type="dxa" w:w="6200"/>
            <w:vAlign w:val="center"/>
          </w:tcPr>
          <w:p>
            <w:pPr>
              <w:spacing w:after="0"/>
            </w:pPr>
            <w:r>
              <w:rPr>
                <w:b w:val="false"/>
                <w:bCs w:val="false"/>
                <w:sz w:val="20"/>
                <w:szCs w:val="20"/>
              </w:rPr>
              <w:t xml:space="preserve">Modelo serializable del estado guardado, con campo saveDataVersion desde el primer commit.</w:t>
            </w:r>
          </w:p>
        </w:tc>
      </w:tr>
      <w:tr>
        <w:tc>
          <w:tcPr>
            <w:tcW w:type="dxa" w:w="3200"/>
            <w:vAlign w:val="center"/>
          </w:tcPr>
          <w:p>
            <w:pPr>
              <w:spacing w:after="0"/>
            </w:pPr>
            <w:r>
              <w:rPr>
                <w:b w:val="false"/>
                <w:bCs w:val="false"/>
                <w:sz w:val="20"/>
                <w:szCs w:val="20"/>
              </w:rPr>
              <w:t xml:space="preserve">Fachada de escena (ej. SaveLoadSceneBinding)</w:t>
            </w:r>
          </w:p>
        </w:tc>
        <w:tc>
          <w:tcPr>
            <w:tcW w:type="dxa" w:w="6200"/>
            <w:vAlign w:val="center"/>
          </w:tcPr>
          <w:p>
            <w:pPr>
              <w:spacing w:after="0"/>
            </w:pPr>
            <w:r>
              <w:rPr>
                <w:b w:val="false"/>
                <w:bCs w:val="false"/>
                <w:sz w:val="20"/>
                <w:szCs w:val="20"/>
              </w:rPr>
              <w:t xml:space="preserve">Orquesta slot, sesión, servicios y participantes. Una por escena que lo necesite, no un singleton global.</w:t>
            </w:r>
          </w:p>
        </w:tc>
      </w:tr>
    </w:tbl>
    <w:p>
      <w:pPr>
        <w:pStyle w:val="Heading2"/>
        <w:spacing w:after="150" w:before="300"/>
      </w:pPr>
      <w:r>
        <w:t xml:space="preserve">6.1 Versionado obligatorio desde el inicio</w:t>
      </w:r>
    </w:p>
    <w:p>
      <w:pPr>
        <w:pStyle w:val="ListParagraph"/>
        <w:numPr>
          <w:ilvl w:val="0"/>
          <w:numId w:val="1"/>
        </w:numPr>
        <w:spacing w:after="60"/>
      </w:pPr>
      <w:r>
        <w:t xml:space="preserve">GameData incluye saveDataVersion (int) desde el primer commit, aunque el proyecto no tenga saves reales todavía.</w:t>
      </w:r>
    </w:p>
    <w:p>
      <w:pPr>
        <w:pStyle w:val="ListParagraph"/>
        <w:numPr>
          <w:ilvl w:val="0"/>
          <w:numId w:val="1"/>
        </w:numPr>
        <w:spacing w:after="60"/>
      </w:pPr>
      <w:r>
        <w:t xml:space="preserve">Cualquier cambio de significado o forma de un campo persistido requiere un migrador (IGameDataMigration), no un ajuste silencioso.</w:t>
      </w:r>
    </w:p>
    <w:p>
      <w:pPr>
        <w:pStyle w:val="ListParagraph"/>
        <w:numPr>
          <w:ilvl w:val="0"/>
          <w:numId w:val="1"/>
        </w:numPr>
        <w:spacing w:after="60"/>
      </w:pPr>
      <w:r>
        <w:t xml:space="preserve">Agregar campos nuevos con valor por defecto seguro no requiere migrador; cambiar el significado de uno existente sí.</w:t>
      </w:r>
    </w:p>
    <w:p>
      <w:pPr>
        <w:pStyle w:val="Heading1"/>
        <w:spacing w:after="200" w:before="400"/>
      </w:pPr>
      <w:r>
        <w:t xml:space="preserve">7. Política de criticidad (Soft-fail / Hard-fail)</w:t>
      </w:r>
    </w:p>
    <w:p>
      <w:pPr>
        <w:spacing w:after="150"/>
      </w:pPr>
      <w:r>
        <w:t xml:space="preserve">No todos los sistemas tienen el mismo costo cuando una referencia crítica falta. Cada proyecto clasifica sus propios sistemas en dos categorías al iniciar el desarrollo; la clasificación se documenta en el README de arquitectura del proyecto.</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5000"/>
      </w:tblGrid>
      <w:tr>
        <w:trPr>
          <w:tblHeader/>
        </w:trPr>
        <w:tc>
          <w:tcPr>
            <w:tcW w:type="dxa" w:w="1800"/>
            <w:shd w:fill="DCE6F1" w:val="clear"/>
            <w:vAlign w:val="center"/>
          </w:tcPr>
          <w:p>
            <w:pPr>
              <w:spacing w:after="0"/>
            </w:pPr>
            <w:r>
              <w:rPr>
                <w:b/>
                <w:bCs/>
                <w:sz w:val="20"/>
                <w:szCs w:val="20"/>
              </w:rPr>
              <w:t xml:space="preserve">Categoría</w:t>
            </w:r>
          </w:p>
        </w:tc>
        <w:tc>
          <w:tcPr>
            <w:tcW w:type="dxa" w:w="4200"/>
            <w:shd w:fill="DCE6F1" w:val="clear"/>
            <w:vAlign w:val="center"/>
          </w:tcPr>
          <w:p>
            <w:pPr>
              <w:spacing w:after="0"/>
            </w:pPr>
            <w:r>
              <w:rPr>
                <w:b/>
                <w:bCs/>
                <w:sz w:val="20"/>
                <w:szCs w:val="20"/>
              </w:rPr>
              <w:t xml:space="preserve">Ejemplos típicos</w:t>
            </w:r>
          </w:p>
        </w:tc>
        <w:tc>
          <w:tcPr>
            <w:tcW w:type="dxa" w:w="5000"/>
            <w:shd w:fill="DCE6F1" w:val="clear"/>
            <w:vAlign w:val="center"/>
          </w:tcPr>
          <w:p>
            <w:pPr>
              <w:spacing w:after="0"/>
            </w:pPr>
            <w:r>
              <w:rPr>
                <w:b/>
                <w:bCs/>
                <w:sz w:val="20"/>
                <w:szCs w:val="20"/>
              </w:rPr>
              <w:t xml:space="preserve">Comportamiento ante referencia crítica faltante</w:t>
            </w:r>
          </w:p>
        </w:tc>
      </w:tr>
      <w:tr>
        <w:tc>
          <w:tcPr>
            <w:tcW w:type="dxa" w:w="1800"/>
            <w:shd w:fill="E4F1E1" w:val="clear"/>
            <w:vAlign w:val="center"/>
          </w:tcPr>
          <w:p>
            <w:pPr>
              <w:spacing w:after="0"/>
            </w:pPr>
            <w:r>
              <w:rPr>
                <w:b w:val="false"/>
                <w:bCs w:val="false"/>
                <w:sz w:val="20"/>
                <w:szCs w:val="20"/>
              </w:rPr>
              <w:t xml:space="preserve">Soft-fail</w:t>
            </w:r>
          </w:p>
        </w:tc>
        <w:tc>
          <w:tcPr>
            <w:tcW w:type="dxa" w:w="4200"/>
            <w:shd w:fill="E4F1E1" w:val="clear"/>
            <w:vAlign w:val="center"/>
          </w:tcPr>
          <w:p>
            <w:pPr>
              <w:spacing w:after="0"/>
            </w:pPr>
            <w:r>
              <w:rPr>
                <w:b w:val="false"/>
                <w:bCs w:val="false"/>
                <w:sz w:val="20"/>
                <w:szCs w:val="20"/>
              </w:rPr>
              <w:t xml:space="preserve">Audio, VFX, notificaciones cosméticas, feedback de cámara.</w:t>
            </w:r>
          </w:p>
        </w:tc>
        <w:tc>
          <w:tcPr>
            <w:tcW w:type="dxa" w:w="5000"/>
            <w:shd w:fill="E4F1E1" w:val="clear"/>
            <w:vAlign w:val="center"/>
          </w:tcPr>
          <w:p>
            <w:pPr>
              <w:spacing w:after="0"/>
            </w:pPr>
            <w:r>
              <w:rPr>
                <w:b w:val="false"/>
                <w:bCs w:val="false"/>
                <w:sz w:val="20"/>
                <w:szCs w:val="20"/>
              </w:rPr>
              <w:t xml:space="preserve">Warning en consola + no-op. Degradación aceptable.</w:t>
            </w:r>
          </w:p>
        </w:tc>
      </w:tr>
      <w:tr>
        <w:tc>
          <w:tcPr>
            <w:tcW w:type="dxa" w:w="1800"/>
            <w:shd w:fill="FBE0E0" w:val="clear"/>
            <w:vAlign w:val="center"/>
          </w:tcPr>
          <w:p>
            <w:pPr>
              <w:spacing w:after="0"/>
            </w:pPr>
            <w:r>
              <w:rPr>
                <w:b w:val="false"/>
                <w:bCs w:val="false"/>
                <w:sz w:val="20"/>
                <w:szCs w:val="20"/>
              </w:rPr>
              <w:t xml:space="preserve">Hard-fail</w:t>
            </w:r>
          </w:p>
        </w:tc>
        <w:tc>
          <w:tcPr>
            <w:tcW w:type="dxa" w:w="4200"/>
            <w:shd w:fill="FBE0E0" w:val="clear"/>
            <w:vAlign w:val="center"/>
          </w:tcPr>
          <w:p>
            <w:pPr>
              <w:spacing w:after="0"/>
            </w:pPr>
            <w:r>
              <w:rPr>
                <w:b w:val="false"/>
                <w:bCs w:val="false"/>
                <w:sz w:val="20"/>
                <w:szCs w:val="20"/>
              </w:rPr>
              <w:t xml:space="preserve">Guardado, progresión del jugador, transacciones/compras, sistemas de input principal.</w:t>
            </w:r>
          </w:p>
        </w:tc>
        <w:tc>
          <w:tcPr>
            <w:tcW w:type="dxa" w:w="5000"/>
            <w:shd w:fill="FBE0E0" w:val="clear"/>
            <w:vAlign w:val="center"/>
          </w:tcPr>
          <w:p>
            <w:pPr>
              <w:spacing w:after="0"/>
            </w:pPr>
            <w:r>
              <w:rPr>
                <w:b w:val="false"/>
                <w:bCs w:val="false"/>
                <w:sz w:val="20"/>
                <w:szCs w:val="20"/>
              </w:rPr>
              <w:t xml:space="preserve">Error logueado + no-op + feedback visible al jugador + bloqueo explícito de la acción asociada.</w:t>
            </w:r>
          </w:p>
        </w:tc>
      </w:tr>
    </w:tbl>
    <w:p>
      <w:pPr>
        <w:pBdr>
          <w:left w:val="single" w:color="2E5A88" w:sz="12" w:space="8"/>
        </w:pBdr>
        <w:spacing w:after="200" w:before="100"/>
        <w:ind w:left="220"/>
      </w:pPr>
      <w:r>
        <w:rPr>
          <w:b/>
          <w:bCs/>
        </w:rPr>
        <w:t xml:space="preserve">Nota: </w:t>
      </w:r>
      <w:r>
        <w:t xml:space="preserve">La clasificación es responsabilidad del lead técnico del proyecto al arrancar, no una decisión que cada programador toma por su cuenta sistema por sistema.</w:t>
      </w:r>
    </w:p>
    <w:p>
      <w:pPr>
        <w:pStyle w:val="Heading1"/>
        <w:spacing w:after="200" w:before="400"/>
      </w:pPr>
      <w:r>
        <w:t xml:space="preserve">8. Validación automática obligatoria</w:t>
      </w:r>
    </w:p>
    <w:p>
      <w:pPr>
        <w:spacing w:after="150"/>
      </w:pPr>
      <w:r>
        <w:t xml:space="preserve">El wiring por Inspector es la decisión correcta para mantener el sistema auditable visualmente, pero no reemplaza la verificación automática. Todo proyecto nuevo parte de un template que incluye estas tres piezas:</w:t>
      </w:r>
    </w:p>
    <w:p>
      <w:pPr>
        <w:pStyle w:val="Heading2"/>
        <w:spacing w:after="150" w:before="300"/>
      </w:pPr>
      <w:r>
        <w:t xml:space="preserve">8.1 RequiredReferenceAttribute</w:t>
      </w:r>
    </w:p>
    <w:p>
      <w:pPr>
        <w:spacing w:after="150"/>
      </w:pPr>
      <w:r>
        <w:t xml:space="preserve">Atributo + PropertyDrawer que marca campos serializados como obligatorios y los resalta en rojo en el Inspector si están vacíos.</w:t>
      </w:r>
    </w:p>
    <w:p>
      <w:pPr>
        <w:shd w:fill="F2F2F2" w:val="clear"/>
        <w:spacing w:after="200" w:before="100"/>
      </w:pPr>
      <w:r>
        <w:rPr>
          <w:rFonts w:ascii="Consolas" w:cs="Consolas" w:eastAsia="Consolas" w:hAnsi="Consolas"/>
          <w:sz w:val="20"/>
          <w:szCs w:val="20"/>
        </w:rPr>
        <w:t xml:space="preserve">[SerializeField, RequiredReference] private IGamePauseService pauseService;</w:t>
      </w:r>
    </w:p>
    <w:p>
      <w:pPr>
        <w:pStyle w:val="Heading2"/>
        <w:spacing w:after="150" w:before="300"/>
      </w:pPr>
      <w:r>
        <w:t xml:space="preserve">8.2 SceneReferenceValidator + build gate</w:t>
      </w:r>
    </w:p>
    <w:p>
      <w:pPr>
        <w:spacing w:after="150"/>
      </w:pPr>
      <w:r>
        <w:t xml:space="preserve">Script de Editor que recorre las escenas de Build Settings y los prefabs del proyecto, reporta campos [RequiredReference] vacíos, y se ejecuta como IPreprocessBuildWithReport: los sistemas Hard-fail bloquean el build si tienen referencias críticas faltantes; los Soft-fail solo generan advertencia.</w:t>
      </w:r>
    </w:p>
    <w:p>
      <w:pPr>
        <w:pStyle w:val="Heading2"/>
        <w:spacing w:after="150" w:before="300"/>
      </w:pPr>
      <w:r>
        <w:t xml:space="preserve">8.3 Registro canónico de EventChannels</w:t>
      </w:r>
    </w:p>
    <w:p>
      <w:pPr>
        <w:spacing w:after="150"/>
      </w:pPr>
      <w:r>
        <w:t xml:space="preserve">Un asset EventChannelRegistry_SO enumera los canales válidos del proyecto. Un validador de Editor compara las referencias serializadas contra este registro y reporta cualquier asset de canal que no esté en la lista — la forma más común de detectar un canal duplicado por accidente.</w:t>
      </w:r>
    </w:p>
    <w:p>
      <w:pPr>
        <w:pStyle w:val="Heading1"/>
        <w:spacing w:after="200" w:before="400"/>
      </w:pPr>
      <w:r>
        <w:t xml:space="preserve">9. Convenciones de nombres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rPr>
          <w:tblHeader/>
        </w:trPr>
        <w:tc>
          <w:tcPr>
            <w:tcW w:type="dxa" w:w="3200"/>
            <w:shd w:fill="DCE6F1" w:val="clear"/>
            <w:vAlign w:val="center"/>
          </w:tcPr>
          <w:p>
            <w:pPr>
              <w:spacing w:after="0"/>
            </w:pPr>
            <w:r>
              <w:rPr>
                <w:b/>
                <w:bCs/>
                <w:sz w:val="20"/>
                <w:szCs w:val="20"/>
              </w:rPr>
              <w:t xml:space="preserve">Elemento</w:t>
            </w:r>
          </w:p>
        </w:tc>
        <w:tc>
          <w:tcPr>
            <w:tcW w:type="dxa" w:w="3000"/>
            <w:shd w:fill="DCE6F1" w:val="clear"/>
            <w:vAlign w:val="center"/>
          </w:tcPr>
          <w:p>
            <w:pPr>
              <w:spacing w:after="0"/>
            </w:pPr>
            <w:r>
              <w:rPr>
                <w:b/>
                <w:bCs/>
                <w:sz w:val="20"/>
                <w:szCs w:val="20"/>
              </w:rPr>
              <w:t xml:space="preserve">Convención</w:t>
            </w:r>
          </w:p>
        </w:tc>
        <w:tc>
          <w:tcPr>
            <w:tcW w:type="dxa" w:w="2800"/>
            <w:shd w:fill="DCE6F1" w:val="clear"/>
            <w:vAlign w:val="center"/>
          </w:tcPr>
          <w:p>
            <w:pPr>
              <w:spacing w:after="0"/>
            </w:pPr>
            <w:r>
              <w:rPr>
                <w:b/>
                <w:bCs/>
                <w:sz w:val="20"/>
                <w:szCs w:val="20"/>
              </w:rPr>
              <w:t xml:space="preserve">Ejemplo</w:t>
            </w:r>
          </w:p>
        </w:tc>
      </w:tr>
      <w:tr>
        <w:tc>
          <w:tcPr>
            <w:tcW w:type="dxa" w:w="3200"/>
            <w:vAlign w:val="center"/>
          </w:tcPr>
          <w:p>
            <w:pPr>
              <w:spacing w:after="0"/>
            </w:pPr>
            <w:r>
              <w:rPr>
                <w:b w:val="false"/>
                <w:bCs w:val="false"/>
                <w:sz w:val="20"/>
                <w:szCs w:val="20"/>
              </w:rPr>
              <w:t xml:space="preserve">Interfaz</w:t>
            </w:r>
          </w:p>
        </w:tc>
        <w:tc>
          <w:tcPr>
            <w:tcW w:type="dxa" w:w="3000"/>
            <w:vAlign w:val="center"/>
          </w:tcPr>
          <w:p>
            <w:pPr>
              <w:spacing w:after="0"/>
            </w:pPr>
            <w:r>
              <w:rPr>
                <w:b w:val="false"/>
                <w:bCs w:val="false"/>
                <w:sz w:val="20"/>
                <w:szCs w:val="20"/>
              </w:rPr>
              <w:t xml:space="preserve">Prefijo I</w:t>
            </w:r>
          </w:p>
        </w:tc>
        <w:tc>
          <w:tcPr>
            <w:tcW w:type="dxa" w:w="2800"/>
            <w:vAlign w:val="center"/>
          </w:tcPr>
          <w:p>
            <w:pPr>
              <w:spacing w:after="0"/>
            </w:pPr>
            <w:r>
              <w:rPr>
                <w:rFonts w:ascii="Consolas" w:cs="Consolas" w:eastAsia="Consolas" w:hAnsi="Consolas"/>
                <w:b w:val="false"/>
                <w:bCs w:val="false"/>
                <w:sz w:val="20"/>
                <w:szCs w:val="20"/>
              </w:rPr>
              <w:t xml:space="preserve">IInventoryService</w:t>
            </w:r>
          </w:p>
        </w:tc>
      </w:tr>
      <w:tr>
        <w:tc>
          <w:tcPr>
            <w:tcW w:type="dxa" w:w="3200"/>
            <w:vAlign w:val="center"/>
          </w:tcPr>
          <w:p>
            <w:pPr>
              <w:spacing w:after="0"/>
            </w:pPr>
            <w:r>
              <w:rPr>
                <w:b w:val="false"/>
                <w:bCs w:val="false"/>
                <w:sz w:val="20"/>
                <w:szCs w:val="20"/>
              </w:rPr>
              <w:t xml:space="preserve">ScriptableObject</w:t>
            </w:r>
          </w:p>
        </w:tc>
        <w:tc>
          <w:tcPr>
            <w:tcW w:type="dxa" w:w="3000"/>
            <w:vAlign w:val="center"/>
          </w:tcPr>
          <w:p>
            <w:pPr>
              <w:spacing w:after="0"/>
            </w:pPr>
            <w:r>
              <w:rPr>
                <w:b w:val="false"/>
                <w:bCs w:val="false"/>
                <w:sz w:val="20"/>
                <w:szCs w:val="20"/>
              </w:rPr>
              <w:t xml:space="preserve">Sufijo _SO</w:t>
            </w:r>
          </w:p>
        </w:tc>
        <w:tc>
          <w:tcPr>
            <w:tcW w:type="dxa" w:w="2800"/>
            <w:vAlign w:val="center"/>
          </w:tcPr>
          <w:p>
            <w:pPr>
              <w:spacing w:after="0"/>
            </w:pPr>
            <w:r>
              <w:rPr>
                <w:rFonts w:ascii="Consolas" w:cs="Consolas" w:eastAsia="Consolas" w:hAnsi="Consolas"/>
                <w:b w:val="false"/>
                <w:bCs w:val="false"/>
                <w:sz w:val="20"/>
                <w:szCs w:val="20"/>
              </w:rPr>
              <w:t xml:space="preserve">InventoryEventChannel_SO</w:t>
            </w:r>
          </w:p>
        </w:tc>
      </w:tr>
      <w:tr>
        <w:tc>
          <w:tcPr>
            <w:tcW w:type="dxa" w:w="3200"/>
            <w:vAlign w:val="center"/>
          </w:tcPr>
          <w:p>
            <w:pPr>
              <w:spacing w:after="0"/>
            </w:pPr>
            <w:r>
              <w:rPr>
                <w:b w:val="false"/>
                <w:bCs w:val="false"/>
                <w:sz w:val="20"/>
                <w:szCs w:val="20"/>
              </w:rPr>
              <w:t xml:space="preserve">Servicio (implementación)</w:t>
            </w:r>
          </w:p>
        </w:tc>
        <w:tc>
          <w:tcPr>
            <w:tcW w:type="dxa" w:w="3000"/>
            <w:vAlign w:val="center"/>
          </w:tcPr>
          <w:p>
            <w:pPr>
              <w:spacing w:after="0"/>
            </w:pPr>
            <w:r>
              <w:rPr>
                <w:b w:val="false"/>
                <w:bCs w:val="false"/>
                <w:sz w:val="20"/>
                <w:szCs w:val="20"/>
              </w:rPr>
              <w:t xml:space="preserve">Sufijo Service</w:t>
            </w:r>
          </w:p>
        </w:tc>
        <w:tc>
          <w:tcPr>
            <w:tcW w:type="dxa" w:w="2800"/>
            <w:vAlign w:val="center"/>
          </w:tcPr>
          <w:p>
            <w:pPr>
              <w:spacing w:after="0"/>
            </w:pPr>
            <w:r>
              <w:rPr>
                <w:rFonts w:ascii="Consolas" w:cs="Consolas" w:eastAsia="Consolas" w:hAnsi="Consolas"/>
                <w:b w:val="false"/>
                <w:bCs w:val="false"/>
                <w:sz w:val="20"/>
                <w:szCs w:val="20"/>
              </w:rPr>
              <w:t xml:space="preserve">InventoryService</w:t>
            </w:r>
          </w:p>
        </w:tc>
      </w:tr>
      <w:tr>
        <w:tc>
          <w:tcPr>
            <w:tcW w:type="dxa" w:w="3200"/>
            <w:vAlign w:val="center"/>
          </w:tcPr>
          <w:p>
            <w:pPr>
              <w:spacing w:after="0"/>
            </w:pPr>
            <w:r>
              <w:rPr>
                <w:b w:val="false"/>
                <w:bCs w:val="false"/>
                <w:sz w:val="20"/>
                <w:szCs w:val="20"/>
              </w:rPr>
              <w:t xml:space="preserve">Dueño de reglas de dominio</w:t>
            </w:r>
          </w:p>
        </w:tc>
        <w:tc>
          <w:tcPr>
            <w:tcW w:type="dxa" w:w="3000"/>
            <w:vAlign w:val="center"/>
          </w:tcPr>
          <w:p>
            <w:pPr>
              <w:spacing w:after="0"/>
            </w:pPr>
            <w:r>
              <w:rPr>
                <w:b w:val="false"/>
                <w:bCs w:val="false"/>
                <w:sz w:val="20"/>
                <w:szCs w:val="20"/>
              </w:rPr>
              <w:t xml:space="preserve">Sufijo Controller</w:t>
            </w:r>
          </w:p>
        </w:tc>
        <w:tc>
          <w:tcPr>
            <w:tcW w:type="dxa" w:w="2800"/>
            <w:vAlign w:val="center"/>
          </w:tcPr>
          <w:p>
            <w:pPr>
              <w:spacing w:after="0"/>
            </w:pPr>
            <w:r>
              <w:rPr>
                <w:rFonts w:ascii="Consolas" w:cs="Consolas" w:eastAsia="Consolas" w:hAnsi="Consolas"/>
                <w:b w:val="false"/>
                <w:bCs w:val="false"/>
                <w:sz w:val="20"/>
                <w:szCs w:val="20"/>
              </w:rPr>
              <w:t xml:space="preserve">InventoryController</w:t>
            </w:r>
          </w:p>
        </w:tc>
      </w:tr>
      <w:tr>
        <w:tc>
          <w:tcPr>
            <w:tcW w:type="dxa" w:w="3200"/>
            <w:vAlign w:val="center"/>
          </w:tcPr>
          <w:p>
            <w:pPr>
              <w:spacing w:after="0"/>
            </w:pPr>
            <w:r>
              <w:rPr>
                <w:b w:val="false"/>
                <w:bCs w:val="false"/>
                <w:sz w:val="20"/>
                <w:szCs w:val="20"/>
              </w:rPr>
              <w:t xml:space="preserve">Componente de UI</w:t>
            </w:r>
          </w:p>
        </w:tc>
        <w:tc>
          <w:tcPr>
            <w:tcW w:type="dxa" w:w="3000"/>
            <w:vAlign w:val="center"/>
          </w:tcPr>
          <w:p>
            <w:pPr>
              <w:spacing w:after="0"/>
            </w:pPr>
            <w:r>
              <w:rPr>
                <w:b w:val="false"/>
                <w:bCs w:val="false"/>
                <w:sz w:val="20"/>
                <w:szCs w:val="20"/>
              </w:rPr>
              <w:t xml:space="preserve">Sufijo Presenter o View</w:t>
            </w:r>
          </w:p>
        </w:tc>
        <w:tc>
          <w:tcPr>
            <w:tcW w:type="dxa" w:w="2800"/>
            <w:vAlign w:val="center"/>
          </w:tcPr>
          <w:p>
            <w:pPr>
              <w:spacing w:after="0"/>
            </w:pPr>
            <w:r>
              <w:rPr>
                <w:rFonts w:ascii="Consolas" w:cs="Consolas" w:eastAsia="Consolas" w:hAnsi="Consolas"/>
                <w:b w:val="false"/>
                <w:bCs w:val="false"/>
                <w:sz w:val="20"/>
                <w:szCs w:val="20"/>
              </w:rPr>
              <w:t xml:space="preserve">InventoryPresenter</w:t>
            </w:r>
          </w:p>
        </w:tc>
      </w:tr>
      <w:tr>
        <w:tc>
          <w:tcPr>
            <w:tcW w:type="dxa" w:w="3200"/>
            <w:vAlign w:val="center"/>
          </w:tcPr>
          <w:p>
            <w:pPr>
              <w:spacing w:after="0"/>
            </w:pPr>
            <w:r>
              <w:rPr>
                <w:b w:val="false"/>
                <w:bCs w:val="false"/>
                <w:sz w:val="20"/>
                <w:szCs w:val="20"/>
              </w:rPr>
              <w:t xml:space="preserve">Fachada de escena</w:t>
            </w:r>
          </w:p>
        </w:tc>
        <w:tc>
          <w:tcPr>
            <w:tcW w:type="dxa" w:w="3000"/>
            <w:vAlign w:val="center"/>
          </w:tcPr>
          <w:p>
            <w:pPr>
              <w:spacing w:after="0"/>
            </w:pPr>
            <w:r>
              <w:rPr>
                <w:b w:val="false"/>
                <w:bCs w:val="false"/>
                <w:sz w:val="20"/>
                <w:szCs w:val="20"/>
              </w:rPr>
              <w:t xml:space="preserve">Sufijo SceneBinding</w:t>
            </w:r>
          </w:p>
        </w:tc>
        <w:tc>
          <w:tcPr>
            <w:tcW w:type="dxa" w:w="2800"/>
            <w:vAlign w:val="center"/>
          </w:tcPr>
          <w:p>
            <w:pPr>
              <w:spacing w:after="0"/>
            </w:pPr>
            <w:r>
              <w:rPr>
                <w:rFonts w:ascii="Consolas" w:cs="Consolas" w:eastAsia="Consolas" w:hAnsi="Consolas"/>
                <w:b w:val="false"/>
                <w:bCs w:val="false"/>
                <w:sz w:val="20"/>
                <w:szCs w:val="20"/>
              </w:rPr>
              <w:t xml:space="preserve">SaveLoadSceneBinding</w:t>
            </w:r>
          </w:p>
        </w:tc>
      </w:tr>
    </w:tbl>
    <w:p>
      <w:pPr>
        <w:pStyle w:val="Heading1"/>
        <w:spacing w:after="200" w:before="400"/>
      </w:pPr>
      <w:r>
        <w:t xml:space="preserve">10. Patrones a copiar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CE6F1" w:val="clear"/>
            <w:vAlign w:val="center"/>
          </w:tcPr>
          <w:p>
            <w:pPr>
              <w:spacing w:after="0"/>
            </w:pPr>
            <w:r>
              <w:rPr>
                <w:b/>
                <w:bCs/>
                <w:sz w:val="20"/>
                <w:szCs w:val="20"/>
              </w:rPr>
              <w:t xml:space="preserve">Patrón</w:t>
            </w:r>
          </w:p>
        </w:tc>
        <w:tc>
          <w:tcPr>
            <w:tcW w:type="dxa" w:w="5800"/>
            <w:shd w:fill="DCE6F1" w:val="clear"/>
            <w:vAlign w:val="center"/>
          </w:tcPr>
          <w:p>
            <w:pPr>
              <w:spacing w:after="0"/>
            </w:pPr>
            <w:r>
              <w:rPr>
                <w:b/>
                <w:bCs/>
                <w:sz w:val="20"/>
                <w:szCs w:val="20"/>
              </w:rPr>
              <w:t xml:space="preserve">Aplicación</w:t>
            </w:r>
          </w:p>
        </w:tc>
      </w:tr>
      <w:tr>
        <w:tc>
          <w:tcPr>
            <w:tcW w:type="dxa" w:w="3200"/>
            <w:vAlign w:val="center"/>
          </w:tcPr>
          <w:p>
            <w:pPr>
              <w:spacing w:after="0"/>
            </w:pPr>
            <w:r>
              <w:rPr>
                <w:b w:val="false"/>
                <w:bCs w:val="false"/>
                <w:sz w:val="20"/>
                <w:szCs w:val="20"/>
              </w:rPr>
              <w:t xml:space="preserve">Fachada de escena</w:t>
            </w:r>
          </w:p>
        </w:tc>
        <w:tc>
          <w:tcPr>
            <w:tcW w:type="dxa" w:w="5800"/>
            <w:vAlign w:val="center"/>
          </w:tcPr>
          <w:p>
            <w:pPr>
              <w:spacing w:after="0"/>
            </w:pPr>
            <w:r>
              <w:rPr>
                <w:b w:val="false"/>
                <w:bCs w:val="false"/>
                <w:sz w:val="20"/>
                <w:szCs w:val="20"/>
              </w:rPr>
              <w:t xml:space="preserve">Un componente visible compone servicios y casos de uso de una escena.</w:t>
            </w:r>
          </w:p>
        </w:tc>
      </w:tr>
      <w:tr>
        <w:tc>
          <w:tcPr>
            <w:tcW w:type="dxa" w:w="3200"/>
            <w:vAlign w:val="center"/>
          </w:tcPr>
          <w:p>
            <w:pPr>
              <w:spacing w:after="0"/>
            </w:pPr>
            <w:r>
              <w:rPr>
                <w:b w:val="false"/>
                <w:bCs w:val="false"/>
                <w:sz w:val="20"/>
                <w:szCs w:val="20"/>
              </w:rPr>
              <w:t xml:space="preserve">Presenter de UI</w:t>
            </w:r>
          </w:p>
        </w:tc>
        <w:tc>
          <w:tcPr>
            <w:tcW w:type="dxa" w:w="5800"/>
            <w:vAlign w:val="center"/>
          </w:tcPr>
          <w:p>
            <w:pPr>
              <w:spacing w:after="0"/>
            </w:pPr>
            <w:r>
              <w:rPr>
                <w:b w:val="false"/>
                <w:bCs w:val="false"/>
                <w:sz w:val="20"/>
                <w:szCs w:val="20"/>
              </w:rPr>
              <w:t xml:space="preserve">La UI lee estado o escucha canales y actualiza controles; no contiene reglas de dominio.</w:t>
            </w:r>
          </w:p>
        </w:tc>
      </w:tr>
      <w:tr>
        <w:tc>
          <w:tcPr>
            <w:tcW w:type="dxa" w:w="3200"/>
            <w:vAlign w:val="center"/>
          </w:tcPr>
          <w:p>
            <w:pPr>
              <w:spacing w:after="0"/>
            </w:pPr>
            <w:r>
              <w:rPr>
                <w:b w:val="false"/>
                <w:bCs w:val="false"/>
                <w:sz w:val="20"/>
                <w:szCs w:val="20"/>
              </w:rPr>
              <w:t xml:space="preserve">EventChannel</w:t>
            </w:r>
          </w:p>
        </w:tc>
        <w:tc>
          <w:tcPr>
            <w:tcW w:type="dxa" w:w="5800"/>
            <w:vAlign w:val="center"/>
          </w:tcPr>
          <w:p>
            <w:pPr>
              <w:spacing w:after="0"/>
            </w:pPr>
            <w:r>
              <w:rPr>
                <w:b w:val="false"/>
                <w:bCs w:val="false"/>
                <w:sz w:val="20"/>
                <w:szCs w:val="20"/>
              </w:rPr>
              <w:t xml:space="preserve">Asset compartido entre productor y consumidores, suscripción limpia en OnEnable/OnDisable.</w:t>
            </w:r>
          </w:p>
        </w:tc>
      </w:tr>
      <w:tr>
        <w:tc>
          <w:tcPr>
            <w:tcW w:type="dxa" w:w="3200"/>
            <w:vAlign w:val="center"/>
          </w:tcPr>
          <w:p>
            <w:pPr>
              <w:spacing w:after="0"/>
            </w:pPr>
            <w:r>
              <w:rPr>
                <w:b w:val="false"/>
                <w:bCs w:val="false"/>
                <w:sz w:val="20"/>
                <w:szCs w:val="20"/>
              </w:rPr>
              <w:t xml:space="preserve">Servicio por interfaz</w:t>
            </w:r>
          </w:p>
        </w:tc>
        <w:tc>
          <w:tcPr>
            <w:tcW w:type="dxa" w:w="5800"/>
            <w:vAlign w:val="center"/>
          </w:tcPr>
          <w:p>
            <w:pPr>
              <w:spacing w:after="0"/>
            </w:pPr>
            <w:r>
              <w:rPr>
                <w:b w:val="false"/>
                <w:bCs w:val="false"/>
                <w:sz w:val="20"/>
                <w:szCs w:val="20"/>
              </w:rPr>
              <w:t xml:space="preserve">Un MonoBehaviour implementa una interfaz pequeña y se asigna como Behaviour serializado.</w:t>
            </w:r>
          </w:p>
        </w:tc>
      </w:tr>
      <w:tr>
        <w:tc>
          <w:tcPr>
            <w:tcW w:type="dxa" w:w="3200"/>
            <w:vAlign w:val="center"/>
          </w:tcPr>
          <w:p>
            <w:pPr>
              <w:spacing w:after="0"/>
            </w:pPr>
            <w:r>
              <w:rPr>
                <w:b w:val="false"/>
                <w:bCs w:val="false"/>
                <w:sz w:val="20"/>
                <w:szCs w:val="20"/>
              </w:rPr>
              <w:t xml:space="preserve">Participante de guardado</w:t>
            </w:r>
          </w:p>
        </w:tc>
        <w:tc>
          <w:tcPr>
            <w:tcW w:type="dxa" w:w="5800"/>
            <w:vAlign w:val="center"/>
          </w:tcPr>
          <w:p>
            <w:pPr>
              <w:spacing w:after="0"/>
            </w:pPr>
            <w:r>
              <w:rPr>
                <w:b w:val="false"/>
                <w:bCs w:val="false"/>
                <w:sz w:val="20"/>
                <w:szCs w:val="20"/>
              </w:rPr>
              <w:t xml:space="preserve">Cada sistema persistente implementa captura/restauración de su propio fragmento de GameData.</w:t>
            </w:r>
          </w:p>
        </w:tc>
      </w:tr>
      <w:tr>
        <w:tc>
          <w:tcPr>
            <w:tcW w:type="dxa" w:w="3200"/>
            <w:vAlign w:val="center"/>
          </w:tcPr>
          <w:p>
            <w:pPr>
              <w:spacing w:after="0"/>
            </w:pPr>
            <w:r>
              <w:rPr>
                <w:b w:val="false"/>
                <w:bCs w:val="false"/>
                <w:sz w:val="20"/>
                <w:szCs w:val="20"/>
              </w:rPr>
              <w:t xml:space="preserve">Warning + no-op (Soft-fail)</w:t>
            </w:r>
          </w:p>
        </w:tc>
        <w:tc>
          <w:tcPr>
            <w:tcW w:type="dxa" w:w="5800"/>
            <w:vAlign w:val="center"/>
          </w:tcPr>
          <w:p>
            <w:pPr>
              <w:spacing w:after="0"/>
            </w:pPr>
            <w:r>
              <w:rPr>
                <w:b w:val="false"/>
                <w:bCs w:val="false"/>
                <w:sz w:val="20"/>
                <w:szCs w:val="20"/>
              </w:rPr>
              <w:t xml:space="preserve">Referencia faltante en sistema no crítico: se expone en consola, sin fallback automático.</w:t>
            </w:r>
          </w:p>
        </w:tc>
      </w:tr>
      <w:tr>
        <w:tc>
          <w:tcPr>
            <w:tcW w:type="dxa" w:w="3200"/>
            <w:vAlign w:val="center"/>
          </w:tcPr>
          <w:p>
            <w:pPr>
              <w:spacing w:after="0"/>
            </w:pPr>
            <w:r>
              <w:rPr>
                <w:b w:val="false"/>
                <w:bCs w:val="false"/>
                <w:sz w:val="20"/>
                <w:szCs w:val="20"/>
              </w:rPr>
              <w:t xml:space="preserve">Warning + bloqueo visible (Hard-fail)</w:t>
            </w:r>
          </w:p>
        </w:tc>
        <w:tc>
          <w:tcPr>
            <w:tcW w:type="dxa" w:w="5800"/>
            <w:vAlign w:val="center"/>
          </w:tcPr>
          <w:p>
            <w:pPr>
              <w:spacing w:after="0"/>
            </w:pPr>
            <w:r>
              <w:rPr>
                <w:b w:val="false"/>
                <w:bCs w:val="false"/>
                <w:sz w:val="20"/>
                <w:szCs w:val="20"/>
              </w:rPr>
              <w:t xml:space="preserve">Referencia faltante en sistema crítico: error logueado, feedback visible, acción bloqueada.</w:t>
            </w:r>
          </w:p>
        </w:tc>
      </w:tr>
      <w:tr>
        <w:tc>
          <w:tcPr>
            <w:tcW w:type="dxa" w:w="3200"/>
            <w:vAlign w:val="center"/>
          </w:tcPr>
          <w:p>
            <w:pPr>
              <w:spacing w:after="0"/>
            </w:pPr>
            <w:r>
              <w:rPr>
                <w:b w:val="false"/>
                <w:bCs w:val="false"/>
                <w:sz w:val="20"/>
                <w:szCs w:val="20"/>
              </w:rPr>
              <w:t xml:space="preserve">Required Reference</w:t>
            </w:r>
          </w:p>
        </w:tc>
        <w:tc>
          <w:tcPr>
            <w:tcW w:type="dxa" w:w="5800"/>
            <w:vAlign w:val="center"/>
          </w:tcPr>
          <w:p>
            <w:pPr>
              <w:spacing w:after="0"/>
            </w:pPr>
            <w:r>
              <w:rPr>
                <w:b w:val="false"/>
                <w:bCs w:val="false"/>
                <w:sz w:val="20"/>
                <w:szCs w:val="20"/>
              </w:rPr>
              <w:t xml:space="preserve">Atributo que marca campos obligatorios y los valida en Editor antes de build.</w:t>
            </w:r>
          </w:p>
        </w:tc>
      </w:tr>
      <w:tr>
        <w:tc>
          <w:tcPr>
            <w:tcW w:type="dxa" w:w="3200"/>
            <w:vAlign w:val="center"/>
          </w:tcPr>
          <w:p>
            <w:pPr>
              <w:spacing w:after="0"/>
            </w:pPr>
            <w:r>
              <w:rPr>
                <w:b w:val="false"/>
                <w:bCs w:val="false"/>
                <w:sz w:val="20"/>
                <w:szCs w:val="20"/>
              </w:rPr>
              <w:t xml:space="preserve">Registro canónico</w:t>
            </w:r>
          </w:p>
        </w:tc>
        <w:tc>
          <w:tcPr>
            <w:tcW w:type="dxa" w:w="5800"/>
            <w:vAlign w:val="center"/>
          </w:tcPr>
          <w:p>
            <w:pPr>
              <w:spacing w:after="0"/>
            </w:pPr>
            <w:r>
              <w:rPr>
                <w:b w:val="false"/>
                <w:bCs w:val="false"/>
                <w:sz w:val="20"/>
                <w:szCs w:val="20"/>
              </w:rPr>
              <w:t xml:space="preserve">Asset único que enumera instancias válidas de un tipo, para detectar duplicados.</w:t>
            </w:r>
          </w:p>
        </w:tc>
      </w:tr>
    </w:tbl>
    <w:p>
      <w:pPr>
        <w:pStyle w:val="Heading1"/>
        <w:spacing w:after="200" w:before="400"/>
      </w:pPr>
      <w:r>
        <w:t xml:space="preserve">11. Antipatrones prohibidos</w:t>
      </w:r>
    </w:p>
    <w:p>
      <w:pPr>
        <w:pStyle w:val="ListParagraph"/>
        <w:numPr>
          <w:ilvl w:val="0"/>
          <w:numId w:val="1"/>
        </w:numPr>
        <w:spacing w:after="60"/>
      </w:pPr>
      <w:r>
        <w:t xml:space="preserve">Campos static mutables para representar objetos activos de gameplay.</w:t>
      </w:r>
    </w:p>
    <w:p>
      <w:pPr>
        <w:pStyle w:val="ListParagraph"/>
        <w:numPr>
          <w:ilvl w:val="0"/>
          <w:numId w:val="1"/>
        </w:numPr>
        <w:spacing w:after="60"/>
      </w:pPr>
      <w:r>
        <w:t xml:space="preserve">Managers globales persistentes vía DontDestroyOnLoad que acumulan responsabilidades de varios dominios.</w:t>
      </w:r>
    </w:p>
    <w:p>
      <w:pPr>
        <w:pStyle w:val="ListParagraph"/>
        <w:numPr>
          <w:ilvl w:val="0"/>
          <w:numId w:val="1"/>
        </w:numPr>
        <w:spacing w:after="60"/>
      </w:pPr>
      <w:r>
        <w:t xml:space="preserve">FindObjectOfType, Resources.Load o AddComponent como configuración normal de un sistema.</w:t>
      </w:r>
    </w:p>
    <w:p>
      <w:pPr>
        <w:pStyle w:val="ListParagraph"/>
        <w:numPr>
          <w:ilvl w:val="0"/>
          <w:numId w:val="1"/>
        </w:numPr>
        <w:spacing w:after="60"/>
      </w:pPr>
      <w:r>
        <w:t xml:space="preserve">UI que modifica modelos de dominio directamente, saltándose controllers o servicios.</w:t>
      </w:r>
    </w:p>
    <w:p>
      <w:pPr>
        <w:pStyle w:val="ListParagraph"/>
        <w:numPr>
          <w:ilvl w:val="0"/>
          <w:numId w:val="1"/>
        </w:numPr>
        <w:spacing w:after="60"/>
      </w:pPr>
      <w:r>
        <w:t xml:space="preserve">Persistir datos de un sistema nuevo fuera de ISaveParticipant.</w:t>
      </w:r>
    </w:p>
    <w:p>
      <w:pPr>
        <w:pStyle w:val="ListParagraph"/>
        <w:numPr>
          <w:ilvl w:val="0"/>
          <w:numId w:val="1"/>
        </w:numPr>
        <w:spacing w:after="60"/>
      </w:pPr>
      <w:r>
        <w:t xml:space="preserve">Auto-discovery de participantes de guardado — SaveParticipantRegistry siempre usa lista explícita, desde el primer commit.</w:t>
      </w:r>
    </w:p>
    <w:p>
      <w:pPr>
        <w:pStyle w:val="ListParagraph"/>
        <w:numPr>
          <w:ilvl w:val="0"/>
          <w:numId w:val="1"/>
        </w:numPr>
        <w:spacing w:after="60"/>
      </w:pPr>
      <w:r>
        <w:t xml:space="preserve">Modificar el significado de un campo persistido existente sin migrador asociado.</w:t>
      </w:r>
    </w:p>
    <w:p>
      <w:pPr>
        <w:pStyle w:val="ListParagraph"/>
        <w:numPr>
          <w:ilvl w:val="0"/>
          <w:numId w:val="1"/>
        </w:numPr>
        <w:spacing w:after="60"/>
      </w:pPr>
      <w:r>
        <w:t xml:space="preserve">Interfaces que agrupan métodos de más de una responsabilidad ("god interfaces").</w:t>
      </w:r>
    </w:p>
    <w:p>
      <w:pPr>
        <w:pStyle w:val="Heading1"/>
        <w:spacing w:after="200" w:before="400"/>
      </w:pPr>
      <w:r>
        <w:t xml:space="preserve">12. Definition of Done arquitectónico (code review)</w:t>
      </w:r>
    </w:p>
    <w:p>
      <w:pPr>
        <w:spacing w:after="150"/>
      </w:pPr>
      <w:r>
        <w:t xml:space="preserve">Todo Pull Request que toca Systems/ debe cumplir lo siguiente antes de aprobarse — es responsabilidad del revisor verificarlo, no solo del autor:</w:t>
      </w:r>
    </w:p>
    <w:p>
      <w:pPr>
        <w:pStyle w:val="ListParagraph"/>
        <w:numPr>
          <w:ilvl w:val="0"/>
          <w:numId w:val="1"/>
        </w:numPr>
        <w:spacing w:after="60"/>
      </w:pPr>
      <w:r>
        <w:t xml:space="preserve">Ninguna referencia nueva viola la regla de dependencia entre capas (sección 3).</w:t>
      </w:r>
    </w:p>
    <w:p>
      <w:pPr>
        <w:pStyle w:val="ListParagraph"/>
        <w:numPr>
          <w:ilvl w:val="0"/>
          <w:numId w:val="1"/>
        </w:numPr>
        <w:spacing w:after="60"/>
      </w:pPr>
      <w:r>
        <w:t xml:space="preserve">Ningún singleton, bus estático ni FindObjectOfType nuevo (sección 4 y 11).</w:t>
      </w:r>
    </w:p>
    <w:p>
      <w:pPr>
        <w:pStyle w:val="ListParagraph"/>
        <w:numPr>
          <w:ilvl w:val="0"/>
          <w:numId w:val="1"/>
        </w:numPr>
        <w:spacing w:after="60"/>
      </w:pPr>
      <w:r>
        <w:t xml:space="preserve">Todo campo serializado crítico usa [RequiredReference] (sección 8.1).</w:t>
      </w:r>
    </w:p>
    <w:p>
      <w:pPr>
        <w:pStyle w:val="ListParagraph"/>
        <w:numPr>
          <w:ilvl w:val="0"/>
          <w:numId w:val="1"/>
        </w:numPr>
        <w:spacing w:after="60"/>
      </w:pPr>
      <w:r>
        <w:t xml:space="preserve">Todo EventChannel_SO nuevo está registrado en EventChannelRegistry_SO (sección 8.3).</w:t>
      </w:r>
    </w:p>
    <w:p>
      <w:pPr>
        <w:pStyle w:val="ListParagraph"/>
        <w:numPr>
          <w:ilvl w:val="0"/>
          <w:numId w:val="1"/>
        </w:numPr>
        <w:spacing w:after="60"/>
      </w:pPr>
      <w:r>
        <w:t xml:space="preserve">Si el PR agrega persistencia, incluye ISaveParticipant y, si cambia el significado de un campo existente, su migrador.</w:t>
      </w:r>
    </w:p>
    <w:p>
      <w:pPr>
        <w:pStyle w:val="ListParagraph"/>
        <w:numPr>
          <w:ilvl w:val="0"/>
          <w:numId w:val="1"/>
        </w:numPr>
        <w:spacing w:after="60"/>
      </w:pPr>
      <w:r>
        <w:t xml:space="preserve">Nombres siguen las convenciones de la sección 9.</w:t>
      </w:r>
    </w:p>
    <w:p>
      <w:pPr>
        <w:pStyle w:val="Heading1"/>
        <w:spacing w:after="200" w:before="400"/>
      </w:pPr>
      <w:r>
        <w:t xml:space="preserve">13. Checklist de auditoría (por release o sprint)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400"/>
      </w:tblGrid>
      <w:tr>
        <w:trPr>
          <w:tblHeader/>
        </w:trPr>
        <w:tc>
          <w:tcPr>
            <w:tcW w:type="dxa" w:w="900"/>
            <w:shd w:fill="DCE6F1" w:val="clear"/>
            <w:vAlign w:val="center"/>
          </w:tcPr>
          <w:p>
            <w:pPr>
              <w:spacing w:after="0"/>
            </w:pPr>
            <w:r>
              <w:rPr>
                <w:b/>
                <w:bCs/>
                <w:sz w:val="20"/>
                <w:szCs w:val="20"/>
              </w:rPr>
              <w:t xml:space="preserve">Paso</w:t>
            </w:r>
          </w:p>
        </w:tc>
        <w:tc>
          <w:tcPr>
            <w:tcW w:type="dxa" w:w="1700"/>
            <w:shd w:fill="DCE6F1" w:val="clear"/>
            <w:vAlign w:val="center"/>
          </w:tcPr>
          <w:p>
            <w:pPr>
              <w:spacing w:after="0"/>
            </w:pPr>
            <w:r>
              <w:rPr>
                <w:b/>
                <w:bCs/>
                <w:sz w:val="20"/>
                <w:szCs w:val="20"/>
              </w:rPr>
              <w:t xml:space="preserve">Tipo</w:t>
            </w:r>
          </w:p>
        </w:tc>
        <w:tc>
          <w:tcPr>
            <w:tcW w:type="dxa" w:w="6400"/>
            <w:shd w:fill="DCE6F1" w:val="clear"/>
            <w:vAlign w:val="center"/>
          </w:tcPr>
          <w:p>
            <w:pPr>
              <w:spacing w:after="0"/>
            </w:pPr>
            <w:r>
              <w:rPr>
                <w:b/>
                <w:bCs/>
                <w:sz w:val="20"/>
                <w:szCs w:val="20"/>
              </w:rPr>
              <w:t xml:space="preserve">Acción</w:t>
            </w:r>
          </w:p>
        </w:tc>
      </w:tr>
      <w:tr>
        <w:tc>
          <w:tcPr>
            <w:tcW w:type="dxa" w:w="900"/>
            <w:vAlign w:val="center"/>
          </w:tcPr>
          <w:p>
            <w:pPr>
              <w:spacing w:after="0"/>
            </w:pPr>
            <w:r>
              <w:rPr>
                <w:b w:val="false"/>
                <w:bCs w:val="false"/>
                <w:sz w:val="20"/>
                <w:szCs w:val="20"/>
              </w:rPr>
              <w:t xml:space="preserve">1</w:t>
            </w:r>
          </w:p>
        </w:tc>
        <w:tc>
          <w:tcPr>
            <w:tcW w:type="dxa" w:w="1700"/>
            <w:vAlign w:val="center"/>
          </w:tcPr>
          <w:p>
            <w:pPr>
              <w:spacing w:after="0"/>
            </w:pPr>
            <w:r>
              <w:rPr>
                <w:b w:val="false"/>
                <w:bCs w:val="false"/>
                <w:sz w:val="20"/>
                <w:szCs w:val="20"/>
              </w:rPr>
              <w:t xml:space="preserve">Automático</w:t>
            </w:r>
          </w:p>
        </w:tc>
        <w:tc>
          <w:tcPr>
            <w:tcW w:type="dxa" w:w="6400"/>
            <w:vAlign w:val="center"/>
          </w:tcPr>
          <w:p>
            <w:pPr>
              <w:spacing w:after="0"/>
            </w:pPr>
            <w:r>
              <w:rPr>
                <w:b w:val="false"/>
                <w:bCs w:val="false"/>
                <w:sz w:val="20"/>
                <w:szCs w:val="20"/>
              </w:rPr>
              <w:t xml:space="preserve">Compilar el proyecto (todas las configuraciones relevantes).</w:t>
            </w:r>
          </w:p>
        </w:tc>
      </w:tr>
      <w:tr>
        <w:tc>
          <w:tcPr>
            <w:tcW w:type="dxa" w:w="900"/>
            <w:vAlign w:val="center"/>
          </w:tcPr>
          <w:p>
            <w:pPr>
              <w:spacing w:after="0"/>
            </w:pPr>
            <w:r>
              <w:rPr>
                <w:b w:val="false"/>
                <w:bCs w:val="false"/>
                <w:sz w:val="20"/>
                <w:szCs w:val="20"/>
              </w:rPr>
              <w:t xml:space="preserve">2</w:t>
            </w:r>
          </w:p>
        </w:tc>
        <w:tc>
          <w:tcPr>
            <w:tcW w:type="dxa" w:w="1700"/>
            <w:vAlign w:val="center"/>
          </w:tcPr>
          <w:p>
            <w:pPr>
              <w:spacing w:after="0"/>
            </w:pPr>
            <w:r>
              <w:rPr>
                <w:b w:val="false"/>
                <w:bCs w:val="false"/>
                <w:sz w:val="20"/>
                <w:szCs w:val="20"/>
              </w:rPr>
              <w:t xml:space="preserve">Automático</w:t>
            </w:r>
          </w:p>
        </w:tc>
        <w:tc>
          <w:tcPr>
            <w:tcW w:type="dxa" w:w="6400"/>
            <w:vAlign w:val="center"/>
          </w:tcPr>
          <w:p>
            <w:pPr>
              <w:spacing w:after="0"/>
            </w:pPr>
            <w:r>
              <w:rPr>
                <w:b w:val="false"/>
                <w:bCs w:val="false"/>
                <w:sz w:val="20"/>
                <w:szCs w:val="20"/>
              </w:rPr>
              <w:t xml:space="preserve">Ejecutar SceneReferenceValidator sobre todas las escenas de Build Settings y prefabs del proyecto.</w:t>
            </w:r>
          </w:p>
        </w:tc>
      </w:tr>
      <w:tr>
        <w:tc>
          <w:tcPr>
            <w:tcW w:type="dxa" w:w="900"/>
            <w:vAlign w:val="center"/>
          </w:tcPr>
          <w:p>
            <w:pPr>
              <w:spacing w:after="0"/>
            </w:pPr>
            <w:r>
              <w:rPr>
                <w:b w:val="false"/>
                <w:bCs w:val="false"/>
                <w:sz w:val="20"/>
                <w:szCs w:val="20"/>
              </w:rPr>
              <w:t xml:space="preserve">3</w:t>
            </w:r>
          </w:p>
        </w:tc>
        <w:tc>
          <w:tcPr>
            <w:tcW w:type="dxa" w:w="1700"/>
            <w:vAlign w:val="center"/>
          </w:tcPr>
          <w:p>
            <w:pPr>
              <w:spacing w:after="0"/>
            </w:pPr>
            <w:r>
              <w:rPr>
                <w:b w:val="false"/>
                <w:bCs w:val="false"/>
                <w:sz w:val="20"/>
                <w:szCs w:val="20"/>
              </w:rPr>
              <w:t xml:space="preserve">Automático</w:t>
            </w:r>
          </w:p>
        </w:tc>
        <w:tc>
          <w:tcPr>
            <w:tcW w:type="dxa" w:w="6400"/>
            <w:vAlign w:val="center"/>
          </w:tcPr>
          <w:p>
            <w:pPr>
              <w:spacing w:after="0"/>
            </w:pPr>
            <w:r>
              <w:rPr>
                <w:b w:val="false"/>
                <w:bCs w:val="false"/>
                <w:sz w:val="20"/>
                <w:szCs w:val="20"/>
              </w:rPr>
              <w:t xml:space="preserve">Ejecutar el validador de EventChannelRegistry_SO.</w:t>
            </w:r>
          </w:p>
        </w:tc>
      </w:tr>
      <w:tr>
        <w:tc>
          <w:tcPr>
            <w:tcW w:type="dxa" w:w="900"/>
            <w:vAlign w:val="center"/>
          </w:tcPr>
          <w:p>
            <w:pPr>
              <w:spacing w:after="0"/>
            </w:pPr>
            <w:r>
              <w:rPr>
                <w:b w:val="false"/>
                <w:bCs w:val="false"/>
                <w:sz w:val="20"/>
                <w:szCs w:val="20"/>
              </w:rPr>
              <w:t xml:space="preserve">4</w:t>
            </w:r>
          </w:p>
        </w:tc>
        <w:tc>
          <w:tcPr>
            <w:tcW w:type="dxa" w:w="1700"/>
            <w:vAlign w:val="center"/>
          </w:tcPr>
          <w:p>
            <w:pPr>
              <w:spacing w:after="0"/>
            </w:pPr>
            <w:r>
              <w:rPr>
                <w:b w:val="false"/>
                <w:bCs w:val="false"/>
                <w:sz w:val="20"/>
                <w:szCs w:val="20"/>
              </w:rPr>
              <w:t xml:space="preserve">Automático</w:t>
            </w:r>
          </w:p>
        </w:tc>
        <w:tc>
          <w:tcPr>
            <w:tcW w:type="dxa" w:w="6400"/>
            <w:vAlign w:val="center"/>
          </w:tcPr>
          <w:p>
            <w:pPr>
              <w:spacing w:after="0"/>
            </w:pPr>
            <w:r>
              <w:rPr>
                <w:b w:val="false"/>
                <w:bCs w:val="false"/>
                <w:sz w:val="20"/>
                <w:szCs w:val="20"/>
              </w:rPr>
              <w:t xml:space="preserve">Ejecutar el health check de SaveParticipantRegistry (si el proyecto tiene guardado).</w:t>
            </w:r>
          </w:p>
        </w:tc>
      </w:tr>
      <w:tr>
        <w:tc>
          <w:tcPr>
            <w:tcW w:type="dxa" w:w="900"/>
            <w:vAlign w:val="center"/>
          </w:tcPr>
          <w:p>
            <w:pPr>
              <w:spacing w:after="0"/>
            </w:pPr>
            <w:r>
              <w:rPr>
                <w:b w:val="false"/>
                <w:bCs w:val="false"/>
                <w:sz w:val="20"/>
                <w:szCs w:val="20"/>
              </w:rPr>
              <w:t xml:space="preserve">5</w:t>
            </w:r>
          </w:p>
        </w:tc>
        <w:tc>
          <w:tcPr>
            <w:tcW w:type="dxa" w:w="1700"/>
            <w:vAlign w:val="center"/>
          </w:tcPr>
          <w:p>
            <w:pPr>
              <w:spacing w:after="0"/>
            </w:pPr>
            <w:r>
              <w:rPr>
                <w:b w:val="false"/>
                <w:bCs w:val="false"/>
                <w:sz w:val="20"/>
                <w:szCs w:val="20"/>
              </w:rPr>
              <w:t xml:space="preserve">Manual</w:t>
            </w:r>
          </w:p>
        </w:tc>
        <w:tc>
          <w:tcPr>
            <w:tcW w:type="dxa" w:w="6400"/>
            <w:vAlign w:val="center"/>
          </w:tcPr>
          <w:p>
            <w:pPr>
              <w:spacing w:after="0"/>
            </w:pPr>
            <w:r>
              <w:rPr>
                <w:b w:val="false"/>
                <w:bCs w:val="false"/>
                <w:sz w:val="20"/>
                <w:szCs w:val="20"/>
              </w:rPr>
              <w:t xml:space="preserve">Revisar Missing Script en escenas y prefabs clave.</w:t>
            </w:r>
          </w:p>
        </w:tc>
      </w:tr>
      <w:tr>
        <w:tc>
          <w:tcPr>
            <w:tcW w:type="dxa" w:w="900"/>
            <w:vAlign w:val="center"/>
          </w:tcPr>
          <w:p>
            <w:pPr>
              <w:spacing w:after="0"/>
            </w:pPr>
            <w:r>
              <w:rPr>
                <w:b w:val="false"/>
                <w:bCs w:val="false"/>
                <w:sz w:val="20"/>
                <w:szCs w:val="20"/>
              </w:rPr>
              <w:t xml:space="preserve">6</w:t>
            </w:r>
          </w:p>
        </w:tc>
        <w:tc>
          <w:tcPr>
            <w:tcW w:type="dxa" w:w="1700"/>
            <w:vAlign w:val="center"/>
          </w:tcPr>
          <w:p>
            <w:pPr>
              <w:spacing w:after="0"/>
            </w:pPr>
            <w:r>
              <w:rPr>
                <w:b w:val="false"/>
                <w:bCs w:val="false"/>
                <w:sz w:val="20"/>
                <w:szCs w:val="20"/>
              </w:rPr>
              <w:t xml:space="preserve">Manual</w:t>
            </w:r>
          </w:p>
        </w:tc>
        <w:tc>
          <w:tcPr>
            <w:tcW w:type="dxa" w:w="6400"/>
            <w:vAlign w:val="center"/>
          </w:tcPr>
          <w:p>
            <w:pPr>
              <w:spacing w:after="0"/>
            </w:pPr>
            <w:r>
              <w:rPr>
                <w:b w:val="false"/>
                <w:bCs w:val="false"/>
                <w:sz w:val="20"/>
                <w:szCs w:val="20"/>
              </w:rPr>
              <w:t xml:space="preserve">Probar los flujos críticos declarados Hard-fail del proyecto.</w:t>
            </w:r>
          </w:p>
        </w:tc>
      </w:tr>
    </w:tbl>
    <w:p>
      <w:pPr>
        <w:pStyle w:val="Heading1"/>
        <w:spacing w:after="200" w:before="400"/>
      </w:pPr>
      <w:r>
        <w:t xml:space="preserve">14. Excepciones</w:t>
      </w:r>
    </w:p>
    <w:p>
      <w:pPr>
        <w:spacing w:after="150"/>
      </w:pPr>
      <w:r>
        <w:t xml:space="preserve">Estas reglas son el estándar por defecto, no un dogma. Si un caso concreto justifica desviarse (por ejemplo, un uso legítimo de AddComponent para pooling de proyectiles), la excepción se documenta en un comentario en el código señalando la regla que se rompe y por qué, y se menciona explícitamente en el PR para que el revisor la evalúe — no se aplica en silencio.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2026-07-21T04:44:22.081Z</dcterms:created>
  <dcterms:modified xsi:type="dcterms:W3CDTF">2026-07-21T04:44:22.102Z</dcterms:modified>
</cp:coreProperties>
</file>

<file path=docProps/custom.xml><?xml version="1.0" encoding="utf-8"?>
<Properties xmlns="http://schemas.openxmlformats.org/officeDocument/2006/custom-properties" xmlns:vt="http://schemas.openxmlformats.org/officeDocument/2006/docPropsVTypes"/>
</file>