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6B5B4A"/>
          <w:sz w:val="24"/>
          <w:szCs w:val="24"/>
        </w:rPr>
        <w:t xml:space="preserve">MONTE ADENTRO</w:t>
      </w:r>
    </w:p>
    <w:p>
      <w:pPr>
        <w:spacing w:after="300"/>
        <w:jc w:val="center"/>
      </w:pPr>
      <w:r>
        <w:rPr>
          <w:rFonts w:ascii="Calibri" w:cs="Calibri" w:eastAsia="Calibri" w:hAnsi="Calibri"/>
          <w:b/>
          <w:bCs/>
          <w:color w:val="9C4B23"/>
          <w:sz w:val="56"/>
          <w:szCs w:val="56"/>
        </w:rPr>
        <w:t xml:space="preserve">Resumen General del Proyecto</w:t>
      </w:r>
    </w:p>
    <w:p>
      <w:pPr>
        <w:spacing w:after="500"/>
        <w:jc w:val="center"/>
      </w:pPr>
      <w:r>
        <w:rPr>
          <w:rFonts w:ascii="Calibri" w:cs="Calibri" w:eastAsia="Calibri" w:hAnsi="Calibri"/>
          <w:i/>
          <w:iCs/>
          <w:color w:val="3B2E22"/>
          <w:sz w:val="26"/>
          <w:szCs w:val="26"/>
        </w:rPr>
        <w:t xml:space="preserve">Guía de orientación para todo el equipo — qué es el juego, por qué existe cada regla, y cómo encajan los sistemas entre sí</w:t>
      </w:r>
    </w:p>
    <w:p>
      <w:pPr>
        <w:spacing w:after="60"/>
        <w:jc w:val="center"/>
      </w:pPr>
      <w:r>
        <w:rPr>
          <w:rFonts w:ascii="Calibri" w:cs="Calibri" w:eastAsia="Calibri" w:hAnsi="Calibri"/>
          <w:b/>
          <w:bCs/>
          <w:color w:val="6B5B4A"/>
          <w:sz w:val="20"/>
          <w:szCs w:val="20"/>
        </w:rPr>
        <w:t xml:space="preserve">Basado en: </w:t>
      </w:r>
      <w:r>
        <w:rPr>
          <w:rFonts w:ascii="Calibri" w:cs="Calibri" w:eastAsia="Calibri" w:hAnsi="Calibri"/>
          <w:color w:val="6B5B4A"/>
          <w:sz w:val="20"/>
          <w:szCs w:val="20"/>
        </w:rPr>
        <w:t xml:space="preserve">game-concept.md y systems-index.md</w:t>
      </w:r>
    </w:p>
    <w:p>
      <w:pPr>
        <w:spacing w:after="60"/>
        <w:jc w:val="center"/>
      </w:pPr>
      <w:r>
        <w:rPr>
          <w:rFonts w:ascii="Calibri" w:cs="Calibri" w:eastAsia="Calibri" w:hAnsi="Calibri"/>
          <w:b/>
          <w:bCs/>
          <w:color w:val="6B5B4A"/>
          <w:sz w:val="20"/>
          <w:szCs w:val="20"/>
        </w:rPr>
        <w:t xml:space="preserve">Estado del concepto: </w:t>
      </w:r>
      <w:r>
        <w:rPr>
          <w:rFonts w:ascii="Calibri" w:cs="Calibri" w:eastAsia="Calibri" w:hAnsi="Calibri"/>
          <w:color w:val="6B5B4A"/>
          <w:sz w:val="20"/>
          <w:szCs w:val="20"/>
        </w:rPr>
        <w:t xml:space="preserve">Aprobado (2026-07-15)</w:t>
      </w:r>
    </w:p>
    <w:p>
      <w:pPr>
        <w:spacing w:after="60"/>
        <w:jc w:val="center"/>
      </w:pPr>
      <w:r>
        <w:rPr>
          <w:rFonts w:ascii="Calibri" w:cs="Calibri" w:eastAsia="Calibri" w:hAnsi="Calibri"/>
          <w:b/>
          <w:bCs/>
          <w:color w:val="6B5B4A"/>
          <w:sz w:val="20"/>
          <w:szCs w:val="20"/>
        </w:rPr>
        <w:t xml:space="preserve">Última actualización de este resumen: </w:t>
      </w:r>
      <w:r>
        <w:rPr>
          <w:rFonts w:ascii="Calibri" w:cs="Calibri" w:eastAsia="Calibri" w:hAnsi="Calibri"/>
          <w:color w:val="6B5B4A"/>
          <w:sz w:val="20"/>
          <w:szCs w:val="20"/>
        </w:rPr>
        <w:t xml:space="preserve">2026-07-21</w:t>
      </w:r>
    </w:p>
    <w:p>
      <w:r>
        <w:br w:type="page"/>
      </w:r>
    </w:p>
    <w:p>
      <w:pPr>
        <w:pStyle w:val="Heading1"/>
        <w:pBdr>
          <w:bottom w:val="single" w:color="9C4B23" w:sz="8" w:space="4"/>
        </w:pBdr>
        <w:spacing w:after="240" w:before="400"/>
      </w:pPr>
      <w:r>
        <w:rPr>
          <w:rFonts w:ascii="Calibri" w:cs="Calibri" w:eastAsia="Calibri" w:hAnsi="Calibri"/>
          <w:b/>
          <w:bCs/>
          <w:color w:val="9C4B23"/>
          <w:sz w:val="40"/>
          <w:szCs w:val="40"/>
        </w:rPr>
        <w:t xml:space="preserve">1. ¿Qué es Monte Adentro?</w:t>
      </w:r>
    </w:p>
    <w:tbl>
      <w:tblPr>
        <w:tblW w:type="pct" w:w="100%"/>
        <w:tblBorders>
          <w:top w:val="single" w:color="C9B79C" w:sz="4"/>
          <w:left w:val="single" w:color="C9B79C" w:sz="4"/>
          <w:bottom w:val="single" w:color="C9B79C" w:sz="4"/>
          <w:right w:val="single" w:color="C9B79C" w:sz="4"/>
          <w:insideH w:val="none" w:color="FFFFFF" w:sz="0"/>
          <w:insideV w:val="none" w:color="FFFFFF" w:sz="0"/>
        </w:tblBorders>
      </w:tblPr>
      <w:tblGrid>
        <w:gridCol w:w="100"/>
      </w:tblGrid>
      <w:tr>
        <w:tc>
          <w:tcPr>
            <w:shd w:fill="F3EDE3" w:val="clear"/>
            <w:tcMar>
              <w:top w:type="dxa" w:w="160"/>
              <w:left w:type="dxa" w:w="200"/>
              <w:bottom w:type="dxa" w:w="160"/>
              <w:right w:type="dxa" w:w="200"/>
            </w:tcMar>
          </w:tcPr>
          <w:p>
            <w:pPr>
              <w:spacing w:after="80"/>
            </w:pPr>
            <w:r>
              <w:rPr>
                <w:rFonts w:ascii="Calibri" w:cs="Calibri" w:eastAsia="Calibri" w:hAnsi="Calibri"/>
                <w:b/>
                <w:bCs/>
                <w:color w:val="9C4B23"/>
                <w:sz w:val="22"/>
                <w:szCs w:val="22"/>
              </w:rPr>
              <w:t xml:space="preserve">En una frase</w:t>
            </w:r>
          </w:p>
          <w:p>
            <w:pPr>
              <w:spacing w:after="0" w:line="290"/>
            </w:pPr>
            <w:r>
              <w:rPr>
                <w:rFonts w:ascii="Calibri" w:cs="Calibri" w:eastAsia="Calibri" w:hAnsi="Calibri"/>
                <w:i/>
                <w:iCs/>
                <w:color w:val="3B2E22"/>
                <w:sz w:val="22"/>
                <w:szCs w:val="22"/>
              </w:rPr>
              <w:t xml:space="preserve">Investigas fenómenos inexplicables en un pueblo andino colombiano, decides qué ser mítico los está causando, y te enfrentas a él con reglas que solo funcionan si entendiste bien las pistas. Equivocarte no termina la partida: la transforma para siempre.</w:t>
            </w:r>
          </w:p>
        </w:tc>
      </w:tr>
    </w:tbl>
    <w:p>
      <w:pPr>
        <w:spacing w:after="120"/>
      </w:pPr>
    </w:p>
    <w:p>
      <w:pPr>
        <w:spacing w:after="160" w:line="300"/>
      </w:pPr>
      <w:r>
        <w:rPr>
          <w:rFonts w:ascii="Calibri" w:cs="Calibri" w:eastAsia="Calibri" w:hAnsi="Calibri"/>
          <w:b w:val="false"/>
          <w:bCs w:val="false"/>
          <w:i w:val="false"/>
          <w:iCs w:val="false"/>
          <w:color w:val="3B2E22"/>
          <w:sz w:val="22"/>
          <w:szCs w:val="22"/>
        </w:rPr>
        <w:t xml:space="preserve">Es un juego de un solo jugador, de deducción narrativa, para PC. No hay combate en el sentido tradicional: la "pelea" contra cada mito es una confrontación de ingenio que se resuelve con lo que entendiste sobre él, no con reflejos ni destreza motora. Piensa en Return of the Obra Dinn o The Case of the Golden Idol, pero ambientado en el folclore colombiano y con un giro propio: cada encuentro no tiene una única solución oculta que buscar, sino que sus reglas cambian según cómo interpretaste el caso.</w:t>
      </w:r>
    </w:p>
    <w:p>
      <w:pPr>
        <w:pStyle w:val="Heading3"/>
        <w:spacing w:after="120" w:before="240"/>
      </w:pPr>
      <w:r>
        <w:rPr>
          <w:rFonts w:ascii="Calibri" w:cs="Calibri" w:eastAsia="Calibri" w:hAnsi="Calibri"/>
          <w:b/>
          <w:bCs/>
          <w:color w:val="9C4B23"/>
          <w:sz w:val="25"/>
          <w:szCs w:val="25"/>
        </w:rPr>
        <w:t xml:space="preserve">Datos rápidos</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2520"/>
        <w:gridCol w:w="6480"/>
      </w:tblGrid>
      <w:tr>
        <w:trPr>
          <w:tblHeader/>
        </w:trPr>
        <w:tc>
          <w:tcPr>
            <w:tcW w:type="dxa" w:w="252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Aspecto</w:t>
            </w:r>
          </w:p>
        </w:tc>
        <w:tc>
          <w:tcPr>
            <w:tcW w:type="dxa" w:w="648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Detalle</w:t>
            </w:r>
          </w:p>
        </w:tc>
      </w:tr>
      <w:tr>
        <w:tc>
          <w:tcPr>
            <w:tcW w:type="dxa" w:w="25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Género</w:t>
            </w:r>
          </w:p>
        </w:tc>
        <w:tc>
          <w:tcPr>
            <w:tcW w:type="dxa" w:w="64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Deducción narrativa / "folk mystery", sin combate tradicional</w:t>
            </w:r>
          </w:p>
        </w:tc>
      </w:tr>
      <w:tr>
        <w:tc>
          <w:tcPr>
            <w:tcW w:type="dxa" w:w="25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Plataforma</w:t>
            </w:r>
          </w:p>
        </w:tc>
        <w:tc>
          <w:tcPr>
            <w:tcW w:type="dxa" w:w="64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PC (Steam / Epic)</w:t>
            </w:r>
          </w:p>
        </w:tc>
      </w:tr>
      <w:tr>
        <w:tc>
          <w:tcPr>
            <w:tcW w:type="dxa" w:w="25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Público</w:t>
            </w:r>
          </w:p>
        </w:tc>
        <w:tc>
          <w:tcPr>
            <w:tcW w:type="dxa" w:w="64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Fans de deducción pura (Obra Dinn, Golden Idol) interesados en folclore latinoamericano</w:t>
            </w:r>
          </w:p>
        </w:tc>
      </w:tr>
      <w:tr>
        <w:tc>
          <w:tcPr>
            <w:tcW w:type="dxa" w:w="25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Duración de sesión</w:t>
            </w:r>
          </w:p>
        </w:tc>
        <w:tc>
          <w:tcPr>
            <w:tcW w:type="dxa" w:w="64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30–90 minutos</w:t>
            </w:r>
          </w:p>
        </w:tc>
      </w:tr>
      <w:tr>
        <w:tc>
          <w:tcPr>
            <w:tcW w:type="dxa" w:w="25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Alcance del MVP</w:t>
            </w:r>
          </w:p>
        </w:tc>
        <w:tc>
          <w:tcPr>
            <w:tcW w:type="dxa" w:w="64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1 región (Andina), 1 pueblo/hub, 5 casos, 3 entidades míticas, 3–5 horas de juego</w:t>
            </w:r>
          </w:p>
        </w:tc>
      </w:tr>
      <w:tr>
        <w:tc>
          <w:tcPr>
            <w:tcW w:type="dxa" w:w="25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Motor</w:t>
            </w:r>
          </w:p>
        </w:tc>
        <w:tc>
          <w:tcPr>
            <w:tcW w:type="dxa" w:w="64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Unity 6.3 LTS</w:t>
            </w:r>
          </w:p>
        </w:tc>
      </w:tr>
    </w:tbl>
    <w:p>
      <w:pPr>
        <w:pStyle w:val="Heading3"/>
        <w:spacing w:after="120" w:before="240"/>
      </w:pPr>
      <w:r>
        <w:rPr>
          <w:rFonts w:ascii="Calibri" w:cs="Calibri" w:eastAsia="Calibri" w:hAnsi="Calibri"/>
          <w:b/>
          <w:bCs/>
          <w:color w:val="9C4B23"/>
          <w:sz w:val="25"/>
          <w:szCs w:val="25"/>
        </w:rPr>
        <w:t xml:space="preserve">La fantasía central</w:t>
      </w:r>
    </w:p>
    <w:p>
      <w:pPr>
        <w:spacing w:after="160" w:line="300"/>
      </w:pPr>
      <w:r>
        <w:rPr>
          <w:rFonts w:ascii="Calibri" w:cs="Calibri" w:eastAsia="Calibri" w:hAnsi="Calibri"/>
          <w:b w:val="false"/>
          <w:bCs w:val="false"/>
          <w:i w:val="false"/>
          <w:iCs w:val="false"/>
          <w:color w:val="3B2E22"/>
          <w:sz w:val="22"/>
          <w:szCs w:val="22"/>
        </w:rPr>
        <w:t xml:space="preserve">Eres quien traduce lo inexplicable en comprensible. Te enfrentas a los mitos vivos de la tradición oral colombiana, y tu única arma real es haber entendido bien sus reglas.</w:t>
      </w:r>
    </w:p>
    <w:p>
      <w:pPr>
        <w:pStyle w:val="Heading3"/>
        <w:spacing w:after="120" w:before="240"/>
      </w:pPr>
      <w:r>
        <w:rPr>
          <w:rFonts w:ascii="Calibri" w:cs="Calibri" w:eastAsia="Calibri" w:hAnsi="Calibri"/>
          <w:b/>
          <w:bCs/>
          <w:color w:val="9C4B23"/>
          <w:sz w:val="25"/>
          <w:szCs w:val="25"/>
        </w:rPr>
        <w:t xml:space="preserve">El gancho: por qué esto no es "otro Obra Dinn"</w:t>
      </w:r>
    </w:p>
    <w:p>
      <w:pPr>
        <w:spacing w:after="160" w:line="300"/>
      </w:pPr>
      <w:r>
        <w:rPr>
          <w:rFonts w:ascii="Calibri" w:cs="Calibri" w:eastAsia="Calibri" w:hAnsi="Calibri"/>
          <w:b w:val="false"/>
          <w:bCs w:val="false"/>
          <w:i w:val="false"/>
          <w:iCs w:val="false"/>
          <w:color w:val="3B2E22"/>
          <w:sz w:val="22"/>
          <w:szCs w:val="22"/>
        </w:rPr>
        <w:t xml:space="preserve">Como en Obra Dinn, la deducción pura es el corazón del juego, sin combate. La diferencia es que aquí cada encuentro no es un rompecabezas con una única respuesta oculta esperando a ser descubierta — es una confrontación cuyas reglas cambian según tu propia interpretación del caso. Equivocarte no termina el juego: lo transforma.</w:t>
      </w:r>
    </w:p>
    <w:p>
      <w:pPr>
        <w:pStyle w:val="Heading1"/>
        <w:pBdr>
          <w:bottom w:val="single" w:color="9C4B23" w:sz="8" w:space="4"/>
        </w:pBdr>
        <w:spacing w:after="240" w:before="400"/>
      </w:pPr>
      <w:r>
        <w:rPr>
          <w:rFonts w:ascii="Calibri" w:cs="Calibri" w:eastAsia="Calibri" w:hAnsi="Calibri"/>
          <w:b/>
          <w:bCs/>
          <w:color w:val="9C4B23"/>
          <w:sz w:val="40"/>
          <w:szCs w:val="40"/>
        </w:rPr>
        <w:t xml:space="preserve">2. Los 5 pilares (las reglas que no se negocian)</w:t>
      </w:r>
    </w:p>
    <w:p>
      <w:pPr>
        <w:spacing w:after="160" w:line="300"/>
      </w:pPr>
      <w:r>
        <w:rPr>
          <w:rFonts w:ascii="Calibri" w:cs="Calibri" w:eastAsia="Calibri" w:hAnsi="Calibri"/>
          <w:b w:val="false"/>
          <w:bCs w:val="false"/>
          <w:i w:val="false"/>
          <w:iCs w:val="false"/>
          <w:color w:val="3B2E22"/>
          <w:sz w:val="22"/>
          <w:szCs w:val="22"/>
        </w:rPr>
        <w:t xml:space="preserve">Todo lo que se diseñe para este juego — un sistema, un caso, una línea de diálogo — se puede poner a prueba contra estos 5 pilares. Si algo los contradice, no se aprueba, sin importar cuán buena sea la idea por sí sola.</w:t>
      </w:r>
    </w:p>
    <w:p>
      <w:pPr>
        <w:spacing w:after="100" w:before="200"/>
      </w:pPr>
      <w:r>
        <w:rPr>
          <w:rFonts w:ascii="Calibri" w:cs="Calibri" w:eastAsia="Calibri" w:hAnsi="Calibri"/>
          <w:b/>
          <w:bCs/>
          <w:i/>
          <w:iCs/>
          <w:color w:val="6B5B4A"/>
          <w:sz w:val="23"/>
          <w:szCs w:val="23"/>
        </w:rPr>
        <w:t xml:space="preserve">1. El conocimiento es la única forma de progresar</w:t>
      </w:r>
    </w:p>
    <w:p>
      <w:pPr>
        <w:spacing w:after="60" w:line="300"/>
      </w:pPr>
      <w:r>
        <w:rPr>
          <w:rFonts w:ascii="Calibri" w:cs="Calibri" w:eastAsia="Calibri" w:hAnsi="Calibri"/>
          <w:b w:val="false"/>
          <w:bCs w:val="false"/>
          <w:i w:val="false"/>
          <w:iCs w:val="false"/>
          <w:color w:val="3B2E22"/>
          <w:sz w:val="22"/>
          <w:szCs w:val="22"/>
        </w:rPr>
        <w:t xml:space="preserve">Lo único que hace avanzar al jugador es entender mejor el mundo — nunca la repetición ni la persistencia.</w:t>
      </w:r>
    </w:p>
    <w:p>
      <w:pPr>
        <w:spacing w:after="200" w:line="300"/>
      </w:pPr>
      <w:r>
        <w:rPr>
          <w:rFonts w:ascii="Calibri" w:cs="Calibri" w:eastAsia="Calibri" w:hAnsi="Calibri"/>
          <w:b w:val="false"/>
          <w:bCs w:val="false"/>
          <w:i/>
          <w:iCs/>
          <w:color w:val="6B5B4A"/>
          <w:sz w:val="20"/>
          <w:szCs w:val="20"/>
        </w:rPr>
        <w:t xml:space="preserve">Prueba de diseño: si un jugador puede resolver un caso probando todo al azar, la mecánica está mal diseñada.</w:t>
      </w:r>
    </w:p>
    <w:p>
      <w:pPr>
        <w:spacing w:after="100" w:before="200"/>
      </w:pPr>
      <w:r>
        <w:rPr>
          <w:rFonts w:ascii="Calibri" w:cs="Calibri" w:eastAsia="Calibri" w:hAnsi="Calibri"/>
          <w:b/>
          <w:bCs/>
          <w:i/>
          <w:iCs/>
          <w:color w:val="6B5B4A"/>
          <w:sz w:val="23"/>
          <w:szCs w:val="23"/>
        </w:rPr>
        <w:t xml:space="preserve">2. El error es contenido</w:t>
      </w:r>
    </w:p>
    <w:p>
      <w:pPr>
        <w:spacing w:after="60" w:line="300"/>
      </w:pPr>
      <w:r>
        <w:rPr>
          <w:rFonts w:ascii="Calibri" w:cs="Calibri" w:eastAsia="Calibri" w:hAnsi="Calibri"/>
          <w:b w:val="false"/>
          <w:bCs w:val="false"/>
          <w:i w:val="false"/>
          <w:iCs w:val="false"/>
          <w:color w:val="3B2E22"/>
          <w:sz w:val="22"/>
          <w:szCs w:val="22"/>
        </w:rPr>
        <w:t xml:space="preserve">Un fallo abre una rama narrativa nueva. Nunca hay pantalla de "game over".</w:t>
      </w:r>
    </w:p>
    <w:p>
      <w:pPr>
        <w:spacing w:after="200" w:line="300"/>
      </w:pPr>
      <w:r>
        <w:rPr>
          <w:rFonts w:ascii="Calibri" w:cs="Calibri" w:eastAsia="Calibri" w:hAnsi="Calibri"/>
          <w:b w:val="false"/>
          <w:bCs w:val="false"/>
          <w:i/>
          <w:iCs/>
          <w:color w:val="6B5B4A"/>
          <w:sz w:val="20"/>
          <w:szCs w:val="20"/>
        </w:rPr>
        <w:t xml:space="preserve">Prueba de diseño: si un fallo puede ser game-over o consecuencia narrativa, siempre elegimos la consecuencia.</w:t>
      </w:r>
    </w:p>
    <w:p>
      <w:pPr>
        <w:spacing w:after="100" w:before="200"/>
      </w:pPr>
      <w:r>
        <w:rPr>
          <w:rFonts w:ascii="Calibri" w:cs="Calibri" w:eastAsia="Calibri" w:hAnsi="Calibri"/>
          <w:b/>
          <w:bCs/>
          <w:i/>
          <w:iCs/>
          <w:color w:val="6B5B4A"/>
          <w:sz w:val="23"/>
          <w:szCs w:val="23"/>
        </w:rPr>
        <w:t xml:space="preserve">3. Cada mito rompe las reglas que ya aprendiste</w:t>
      </w:r>
    </w:p>
    <w:p>
      <w:pPr>
        <w:spacing w:after="60" w:line="300"/>
      </w:pPr>
      <w:r>
        <w:rPr>
          <w:rFonts w:ascii="Calibri" w:cs="Calibri" w:eastAsia="Calibri" w:hAnsi="Calibri"/>
          <w:b w:val="false"/>
          <w:bCs w:val="false"/>
          <w:i w:val="false"/>
          <w:iCs w:val="false"/>
          <w:color w:val="3B2E22"/>
          <w:sz w:val="22"/>
          <w:szCs w:val="22"/>
        </w:rPr>
        <w:t xml:space="preserve">Una entidad nueva te obliga a pensar distinto, no solo a lucir distinta.</w:t>
      </w:r>
    </w:p>
    <w:p>
      <w:pPr>
        <w:spacing w:after="200" w:line="300"/>
      </w:pPr>
      <w:r>
        <w:rPr>
          <w:rFonts w:ascii="Calibri" w:cs="Calibri" w:eastAsia="Calibri" w:hAnsi="Calibri"/>
          <w:b w:val="false"/>
          <w:bCs w:val="false"/>
          <w:i/>
          <w:iCs/>
          <w:color w:val="6B5B4A"/>
          <w:sz w:val="20"/>
          <w:szCs w:val="20"/>
        </w:rPr>
        <w:t xml:space="preserve">Prueba de diseño: si un mito nuevo se resuelve con la lógica del anterior, ese mito no está listo.</w:t>
      </w:r>
    </w:p>
    <w:p>
      <w:pPr>
        <w:spacing w:after="100" w:before="200"/>
      </w:pPr>
      <w:r>
        <w:rPr>
          <w:rFonts w:ascii="Calibri" w:cs="Calibri" w:eastAsia="Calibri" w:hAnsi="Calibri"/>
          <w:b/>
          <w:bCs/>
          <w:i/>
          <w:iCs/>
          <w:color w:val="6B5B4A"/>
          <w:sz w:val="23"/>
          <w:szCs w:val="23"/>
        </w:rPr>
        <w:t xml:space="preserve">4. Las consecuencias son permanentes, visibles y afectan el futuro</w:t>
      </w:r>
    </w:p>
    <w:p>
      <w:pPr>
        <w:spacing w:after="60" w:line="300"/>
      </w:pPr>
      <w:r>
        <w:rPr>
          <w:rFonts w:ascii="Calibri" w:cs="Calibri" w:eastAsia="Calibri" w:hAnsi="Calibri"/>
          <w:b w:val="false"/>
          <w:bCs w:val="false"/>
          <w:i w:val="false"/>
          <w:iCs w:val="false"/>
          <w:color w:val="3B2E22"/>
          <w:sz w:val="22"/>
          <w:szCs w:val="22"/>
        </w:rPr>
        <w:t xml:space="preserve">Toda decisión deja una huella real en el pueblo, sus NPCs y los casos que vienen después.</w:t>
      </w:r>
    </w:p>
    <w:p>
      <w:pPr>
        <w:spacing w:after="200" w:line="300"/>
      </w:pPr>
      <w:r>
        <w:rPr>
          <w:rFonts w:ascii="Calibri" w:cs="Calibri" w:eastAsia="Calibri" w:hAnsi="Calibri"/>
          <w:b w:val="false"/>
          <w:bCs w:val="false"/>
          <w:i/>
          <w:iCs/>
          <w:color w:val="6B5B4A"/>
          <w:sz w:val="20"/>
          <w:szCs w:val="20"/>
        </w:rPr>
        <w:t xml:space="preserve">Prueba de diseño: si una decisión no cambia comportamiento, oportunidad o dificultad futura, no es una consecuencia real.</w:t>
      </w:r>
    </w:p>
    <w:p>
      <w:pPr>
        <w:spacing w:after="100" w:before="200"/>
      </w:pPr>
      <w:r>
        <w:rPr>
          <w:rFonts w:ascii="Calibri" w:cs="Calibri" w:eastAsia="Calibri" w:hAnsi="Calibri"/>
          <w:b/>
          <w:bCs/>
          <w:i/>
          <w:iCs/>
          <w:color w:val="6B5B4A"/>
          <w:sz w:val="23"/>
          <w:szCs w:val="23"/>
        </w:rPr>
        <w:t xml:space="preserve">5. El jugador siempre decide con información incompleta</w:t>
      </w:r>
    </w:p>
    <w:p>
      <w:pPr>
        <w:spacing w:after="60" w:line="300"/>
      </w:pPr>
      <w:r>
        <w:rPr>
          <w:rFonts w:ascii="Calibri" w:cs="Calibri" w:eastAsia="Calibri" w:hAnsi="Calibri"/>
          <w:b w:val="false"/>
          <w:bCs w:val="false"/>
          <w:i w:val="false"/>
          <w:iCs w:val="false"/>
          <w:color w:val="3B2E22"/>
          <w:sz w:val="22"/>
          <w:szCs w:val="22"/>
        </w:rPr>
        <w:t xml:space="preserve">Nunca hay forma de estar 100% seguro antes de confrontar a una entidad.</w:t>
      </w:r>
    </w:p>
    <w:p>
      <w:pPr>
        <w:spacing w:after="200" w:line="300"/>
      </w:pPr>
      <w:r>
        <w:rPr>
          <w:rFonts w:ascii="Calibri" w:cs="Calibri" w:eastAsia="Calibri" w:hAnsi="Calibri"/>
          <w:b w:val="false"/>
          <w:bCs w:val="false"/>
          <w:i/>
          <w:iCs/>
          <w:color w:val="6B5B4A"/>
          <w:sz w:val="20"/>
          <w:szCs w:val="20"/>
        </w:rPr>
        <w:t xml:space="preserve">Prueba de diseño: si el jugador puede llegar con certeza total, el caso reveló demasiado.</w:t>
      </w:r>
    </w:p>
    <w:p>
      <w:pPr>
        <w:pStyle w:val="Heading3"/>
        <w:spacing w:after="120" w:before="240"/>
      </w:pPr>
      <w:r>
        <w:rPr>
          <w:rFonts w:ascii="Calibri" w:cs="Calibri" w:eastAsia="Calibri" w:hAnsi="Calibri"/>
          <w:b/>
          <w:bCs/>
          <w:color w:val="9C4B23"/>
          <w:sz w:val="25"/>
          <w:szCs w:val="25"/>
        </w:rPr>
        <w:t xml:space="preserve">Lo que este juego deliberadamente NO es</w:t>
      </w:r>
    </w:p>
    <w:p>
      <w:pPr>
        <w:pStyle w:val="ListParagraph"/>
        <w:numPr>
          <w:ilvl w:val="0"/>
          <w:numId w:val="1"/>
        </w:numPr>
        <w:spacing w:after="100" w:line="290"/>
      </w:pPr>
      <w:r>
        <w:rPr>
          <w:rFonts w:ascii="Calibri" w:cs="Calibri" w:eastAsia="Calibri" w:hAnsi="Calibri"/>
          <w:b/>
          <w:bCs/>
          <w:color w:val="9C4B23"/>
          <w:sz w:val="22"/>
          <w:szCs w:val="22"/>
        </w:rPr>
        <w:t xml:space="preserve">Sin sistema de niveles — </w:t>
      </w:r>
      <w:r>
        <w:rPr>
          <w:rFonts w:ascii="Calibri" w:cs="Calibri" w:eastAsia="Calibri" w:hAnsi="Calibri"/>
          <w:color w:val="3B2E22"/>
          <w:sz w:val="22"/>
          <w:szCs w:val="22"/>
        </w:rPr>
        <w:t xml:space="preserve">reemplazaría el dominio de conocimiento por grindeo — rompe el Pilar 1.</w:t>
      </w:r>
    </w:p>
    <w:p>
      <w:pPr>
        <w:pStyle w:val="ListParagraph"/>
        <w:numPr>
          <w:ilvl w:val="0"/>
          <w:numId w:val="1"/>
        </w:numPr>
        <w:spacing w:after="100" w:line="290"/>
      </w:pPr>
      <w:r>
        <w:rPr>
          <w:rFonts w:ascii="Calibri" w:cs="Calibri" w:eastAsia="Calibri" w:hAnsi="Calibri"/>
          <w:b/>
          <w:bCs/>
          <w:color w:val="9C4B23"/>
          <w:sz w:val="22"/>
          <w:szCs w:val="22"/>
        </w:rPr>
        <w:t xml:space="preserve">Sin árboles de habilidad — </w:t>
      </w:r>
      <w:r>
        <w:rPr>
          <w:rFonts w:ascii="Calibri" w:cs="Calibri" w:eastAsia="Calibri" w:hAnsi="Calibri"/>
          <w:color w:val="3B2E22"/>
          <w:sz w:val="22"/>
          <w:szCs w:val="22"/>
        </w:rPr>
        <w:t xml:space="preserve">mismo motivo que el anterior.</w:t>
      </w:r>
    </w:p>
    <w:p>
      <w:pPr>
        <w:pStyle w:val="ListParagraph"/>
        <w:numPr>
          <w:ilvl w:val="0"/>
          <w:numId w:val="1"/>
        </w:numPr>
        <w:spacing w:after="100" w:line="290"/>
      </w:pPr>
      <w:r>
        <w:rPr>
          <w:rFonts w:ascii="Calibri" w:cs="Calibri" w:eastAsia="Calibri" w:hAnsi="Calibri"/>
          <w:b/>
          <w:bCs/>
          <w:color w:val="9C4B23"/>
          <w:sz w:val="22"/>
          <w:szCs w:val="22"/>
        </w:rPr>
        <w:t xml:space="preserve">Sin loot innecesario — </w:t>
      </w:r>
      <w:r>
        <w:rPr>
          <w:rFonts w:ascii="Calibri" w:cs="Calibri" w:eastAsia="Calibri" w:hAnsi="Calibri"/>
          <w:color w:val="3B2E22"/>
          <w:sz w:val="22"/>
          <w:szCs w:val="22"/>
        </w:rPr>
        <w:t xml:space="preserve">distrae del gameplay real.</w:t>
      </w:r>
    </w:p>
    <w:p>
      <w:pPr>
        <w:pStyle w:val="ListParagraph"/>
        <w:numPr>
          <w:ilvl w:val="0"/>
          <w:numId w:val="1"/>
        </w:numPr>
        <w:spacing w:after="100" w:line="290"/>
      </w:pPr>
      <w:r>
        <w:rPr>
          <w:rFonts w:ascii="Calibri" w:cs="Calibri" w:eastAsia="Calibri" w:hAnsi="Calibri"/>
          <w:b/>
          <w:bCs/>
          <w:color w:val="9C4B23"/>
          <w:sz w:val="22"/>
          <w:szCs w:val="22"/>
        </w:rPr>
        <w:t xml:space="preserve">Sin combate tradicional de reflejos — </w:t>
      </w:r>
      <w:r>
        <w:rPr>
          <w:rFonts w:ascii="Calibri" w:cs="Calibri" w:eastAsia="Calibri" w:hAnsi="Calibri"/>
          <w:color w:val="3B2E22"/>
          <w:sz w:val="22"/>
          <w:szCs w:val="22"/>
        </w:rPr>
        <w:t xml:space="preserve">movería la habilidad de "interpretar" a "destreza motora" — rompe el Pilar 1.</w:t>
      </w:r>
    </w:p>
    <w:p>
      <w:pPr>
        <w:pStyle w:val="ListParagraph"/>
        <w:numPr>
          <w:ilvl w:val="0"/>
          <w:numId w:val="1"/>
        </w:numPr>
        <w:spacing w:after="100" w:line="290"/>
      </w:pPr>
      <w:r>
        <w:rPr>
          <w:rFonts w:ascii="Calibri" w:cs="Calibri" w:eastAsia="Calibri" w:hAnsi="Calibri"/>
          <w:b/>
          <w:bCs/>
          <w:color w:val="9C4B23"/>
          <w:sz w:val="22"/>
          <w:szCs w:val="22"/>
        </w:rPr>
        <w:t xml:space="preserve">Sin recarga limpia que borre consecuencias — </w:t>
      </w:r>
      <w:r>
        <w:rPr>
          <w:rFonts w:ascii="Calibri" w:cs="Calibri" w:eastAsia="Calibri" w:hAnsi="Calibri"/>
          <w:color w:val="3B2E22"/>
          <w:sz w:val="22"/>
          <w:szCs w:val="22"/>
        </w:rPr>
        <w:t xml:space="preserve">eliminaría el Pilar 2 por completo.</w:t>
      </w:r>
    </w:p>
    <w:p>
      <w:pPr>
        <w:pStyle w:val="ListParagraph"/>
        <w:numPr>
          <w:ilvl w:val="0"/>
          <w:numId w:val="1"/>
        </w:numPr>
        <w:spacing w:after="100" w:line="290"/>
      </w:pPr>
      <w:r>
        <w:rPr>
          <w:rFonts w:ascii="Calibri" w:cs="Calibri" w:eastAsia="Calibri" w:hAnsi="Calibri"/>
          <w:b/>
          <w:bCs/>
          <w:color w:val="9C4B23"/>
          <w:sz w:val="22"/>
          <w:szCs w:val="22"/>
        </w:rPr>
        <w:t xml:space="preserve">Sin soluciones por pixel-hunting o lógica arbitraria — </w:t>
      </w:r>
      <w:r>
        <w:rPr>
          <w:rFonts w:ascii="Calibri" w:cs="Calibri" w:eastAsia="Calibri" w:hAnsi="Calibri"/>
          <w:color w:val="3B2E22"/>
          <w:sz w:val="22"/>
          <w:szCs w:val="22"/>
        </w:rPr>
        <w:t xml:space="preserve">el jugador siempre debe poder decir "debí haberme dado cuenta", nunca "¿cómo se suponía que adivinara eso?"</w:t>
      </w:r>
    </w:p>
    <w:p>
      <w:pPr>
        <w:pStyle w:val="Heading1"/>
        <w:pBdr>
          <w:bottom w:val="single" w:color="9C4B23" w:sz="8" w:space="4"/>
        </w:pBdr>
        <w:spacing w:after="240" w:before="400"/>
      </w:pPr>
      <w:r>
        <w:rPr>
          <w:rFonts w:ascii="Calibri" w:cs="Calibri" w:eastAsia="Calibri" w:hAnsi="Calibri"/>
          <w:b/>
          <w:bCs/>
          <w:color w:val="9C4B23"/>
          <w:sz w:val="40"/>
          <w:szCs w:val="40"/>
        </w:rPr>
        <w:t xml:space="preserve">3. El bucle de juego</w:t>
      </w:r>
    </w:p>
    <w:p>
      <w:pPr>
        <w:spacing w:after="160" w:line="300"/>
      </w:pPr>
      <w:r>
        <w:rPr>
          <w:rFonts w:ascii="Calibri" w:cs="Calibri" w:eastAsia="Calibri" w:hAnsi="Calibri"/>
          <w:b w:val="false"/>
          <w:bCs w:val="false"/>
          <w:i w:val="false"/>
          <w:iCs w:val="false"/>
          <w:color w:val="3B2E22"/>
          <w:sz w:val="22"/>
          <w:szCs w:val="22"/>
        </w:rPr>
        <w:t xml:space="preserve">Todo caso se juega siguiendo el mismo bucle de cinco pasos:</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1980"/>
        <w:gridCol w:w="7020"/>
      </w:tblGrid>
      <w:tr>
        <w:trPr>
          <w:tblHeader/>
        </w:trPr>
        <w:tc>
          <w:tcPr>
            <w:tcW w:type="dxa" w:w="198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Paso</w:t>
            </w:r>
          </w:p>
        </w:tc>
        <w:tc>
          <w:tcPr>
            <w:tcW w:type="dxa" w:w="702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Qué hace el jugador</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1. Observar</w:t>
            </w:r>
          </w:p>
        </w:tc>
        <w:tc>
          <w:tcPr>
            <w:tcW w:type="dxa" w:w="70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Nota un fenómeno extraño en el pueblo.</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2. Hipotetizar</w:t>
            </w:r>
          </w:p>
        </w:tc>
        <w:tc>
          <w:tcPr>
            <w:tcW w:type="dxa" w:w="70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Formula o ajusta una idea de qué entidad lo está causando.</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3. Buscar pruebas</w:t>
            </w:r>
          </w:p>
        </w:tc>
        <w:tc>
          <w:tcPr>
            <w:tcW w:type="dxa" w:w="70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Explora, conversa y reúne evidencia — 2 a 4 candidatos plausibles por caso.</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4. Preparar</w:t>
            </w:r>
          </w:p>
        </w:tc>
        <w:tc>
          <w:tcPr>
            <w:tcW w:type="dxa" w:w="70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Arma un plan según las reglas de la entidad que sospecha.</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5. Confrontar</w:t>
            </w:r>
          </w:p>
        </w:tc>
        <w:tc>
          <w:tcPr>
            <w:tcW w:type="dxa" w:w="70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Vive el encuentro de ingenio, cuyo resultado depende de cómo interpretó todo lo anterior.</w:t>
            </w:r>
          </w:p>
        </w:tc>
      </w:tr>
    </w:tbl>
    <w:p>
      <w:pPr>
        <w:spacing w:after="160" w:line="300"/>
      </w:pPr>
      <w:r>
        <w:rPr>
          <w:rFonts w:ascii="Calibri" w:cs="Calibri" w:eastAsia="Calibri" w:hAnsi="Calibri"/>
          <w:b w:val="false"/>
          <w:bCs w:val="false"/>
          <w:i w:val="false"/>
          <w:iCs w:val="false"/>
          <w:color w:val="3B2E22"/>
          <w:sz w:val="22"/>
          <w:szCs w:val="22"/>
        </w:rPr>
        <w:t xml:space="preserve">Este bucle se repite en distintas escalas: 30 segundos (observar algo puntual), 5–15 minutos (investigar y preparar un caso), y 30–120 minutos (resolver 1–2 casos completos en una sesión). No hay progresión de poder — el juego avanza como una crónica viva: el pueblo y sus NPCs cambian permanentemente según cómo resolviste (bien o mal) cada caso.</w:t>
      </w:r>
    </w:p>
    <w:p>
      <w:pPr>
        <w:pStyle w:val="Heading1"/>
        <w:pBdr>
          <w:bottom w:val="single" w:color="9C4B23" w:sz="8" w:space="4"/>
        </w:pBdr>
        <w:spacing w:after="240" w:before="400"/>
      </w:pPr>
      <w:r>
        <w:rPr>
          <w:rFonts w:ascii="Calibri" w:cs="Calibri" w:eastAsia="Calibri" w:hAnsi="Calibri"/>
          <w:b/>
          <w:bCs/>
          <w:color w:val="9C4B23"/>
          <w:sz w:val="40"/>
          <w:szCs w:val="40"/>
        </w:rPr>
        <w:t xml:space="preserve">4. A quién le va a gustar este juego</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2700"/>
        <w:gridCol w:w="6300"/>
      </w:tblGrid>
      <w:tr>
        <w:trPr>
          <w:tblHeader/>
        </w:trPr>
        <w:tc>
          <w:tcPr>
            <w:tcW w:type="dxa" w:w="270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Atributo</w:t>
            </w:r>
          </w:p>
        </w:tc>
        <w:tc>
          <w:tcPr>
            <w:tcW w:type="dxa" w:w="630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Detalle</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Edad</w:t>
            </w:r>
          </w:p>
        </w:tc>
        <w:tc>
          <w:tcPr>
            <w:tcW w:type="dxa" w:w="63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18–35</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Experiencia con videojuegos</w:t>
            </w:r>
          </w:p>
        </w:tc>
        <w:tc>
          <w:tcPr>
            <w:tcW w:type="dxa" w:w="63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Mid-core</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Referencias que ya juegan</w:t>
            </w:r>
          </w:p>
        </w:tc>
        <w:tc>
          <w:tcPr>
            <w:tcW w:type="dxa" w:w="63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Return of the Obra Dinn, The Case of the Golden Idol, Pentiment, Disco Elysium</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Qué buscan</w:t>
            </w:r>
          </w:p>
        </w:tc>
        <w:tc>
          <w:tcPr>
            <w:tcW w:type="dxa" w:w="63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Deducción real con impacto narrativo permanente, en un contexto culturalmente fresco</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Qué los ahuyenta</w:t>
            </w:r>
          </w:p>
        </w:tc>
        <w:tc>
          <w:tcPr>
            <w:tcW w:type="dxa" w:w="63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Combate de reflejos obligatorio, soluciones por adivinanza, progresión RPG genérica</w:t>
            </w:r>
          </w:p>
        </w:tc>
      </w:tr>
    </w:tbl>
    <w:p>
      <w:pPr>
        <w:pStyle w:val="Heading3"/>
        <w:spacing w:after="120" w:before="240"/>
      </w:pPr>
      <w:r>
        <w:rPr>
          <w:rFonts w:ascii="Calibri" w:cs="Calibri" w:eastAsia="Calibri" w:hAnsi="Calibri"/>
          <w:b/>
          <w:bCs/>
          <w:color w:val="9C4B23"/>
          <w:sz w:val="25"/>
          <w:szCs w:val="25"/>
        </w:rPr>
        <w:t xml:space="preserve">Lo que el jugador siente al jugar (aesthetics, priorizadas)</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1350"/>
        <w:gridCol w:w="2700"/>
        <w:gridCol w:w="4950"/>
      </w:tblGrid>
      <w:tr>
        <w:trPr>
          <w:tblHeader/>
        </w:trPr>
        <w:tc>
          <w:tcPr>
            <w:tcW w:type="dxa" w:w="135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Prioridad</w:t>
            </w:r>
          </w:p>
        </w:tc>
        <w:tc>
          <w:tcPr>
            <w:tcW w:type="dxa" w:w="270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Sensación</w:t>
            </w:r>
          </w:p>
        </w:tc>
        <w:tc>
          <w:tcPr>
            <w:tcW w:type="dxa" w:w="495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Cómo la entregamos</w:t>
            </w:r>
          </w:p>
        </w:tc>
      </w:tr>
      <w:tr>
        <w:tc>
          <w:tcPr>
            <w:tcW w:type="dxa" w:w="13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5 (máxima)</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Sensación / placer sensorial</w:t>
            </w:r>
          </w:p>
        </w:tc>
        <w:tc>
          <w:tcPr>
            <w:tcW w:type="dxa" w:w="49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Diseño de sonido ambiental y arte evocador del paisaje andino</w:t>
            </w:r>
          </w:p>
        </w:tc>
      </w:tr>
      <w:tr>
        <w:tc>
          <w:tcPr>
            <w:tcW w:type="dxa" w:w="13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4</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Fantasía / juego de rol</w:t>
            </w:r>
          </w:p>
        </w:tc>
        <w:tc>
          <w:tcPr>
            <w:tcW w:type="dxa" w:w="49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Ser el puente entre la razón moderna y el saber ancestral</w:t>
            </w:r>
          </w:p>
        </w:tc>
      </w:tr>
      <w:tr>
        <w:tc>
          <w:tcPr>
            <w:tcW w:type="dxa" w:w="13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3</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Desafío / dominio</w:t>
            </w:r>
          </w:p>
        </w:tc>
        <w:tc>
          <w:tcPr>
            <w:tcW w:type="dxa" w:w="49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Dominar la lógica única de cada entidad mítica</w:t>
            </w:r>
          </w:p>
        </w:tc>
      </w:tr>
      <w:tr>
        <w:tc>
          <w:tcPr>
            <w:tcW w:type="dxa" w:w="13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2</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Narrativa</w:t>
            </w:r>
          </w:p>
        </w:tc>
        <w:tc>
          <w:tcPr>
            <w:tcW w:type="dxa" w:w="49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Casos con consecuencias permanentes que forman una crónica del pueblo</w:t>
            </w:r>
          </w:p>
        </w:tc>
      </w:tr>
      <w:tr>
        <w:tc>
          <w:tcPr>
            <w:tcW w:type="dxa" w:w="13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1</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Descubrimiento</w:t>
            </w:r>
          </w:p>
        </w:tc>
        <w:tc>
          <w:tcPr>
            <w:tcW w:type="dxa" w:w="49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Deducir la verdad detrás de cada fenómeno</w:t>
            </w:r>
          </w:p>
        </w:tc>
      </w:tr>
    </w:tbl>
    <w:p>
      <w:pPr>
        <w:pStyle w:val="Heading1"/>
        <w:pBdr>
          <w:bottom w:val="single" w:color="9C4B23" w:sz="8" w:space="4"/>
        </w:pBdr>
        <w:spacing w:after="240" w:before="400"/>
      </w:pPr>
      <w:r>
        <w:rPr>
          <w:rFonts w:ascii="Calibri" w:cs="Calibri" w:eastAsia="Calibri" w:hAnsi="Calibri"/>
          <w:b/>
          <w:bCs/>
          <w:color w:val="9C4B23"/>
          <w:sz w:val="40"/>
          <w:szCs w:val="40"/>
        </w:rPr>
        <w:t xml:space="preserve">5. Qué incluye el MVP (y qué no)</w:t>
      </w:r>
    </w:p>
    <w:p>
      <w:pPr>
        <w:pStyle w:val="Heading3"/>
        <w:spacing w:after="120" w:before="240"/>
      </w:pPr>
      <w:r>
        <w:rPr>
          <w:rFonts w:ascii="Calibri" w:cs="Calibri" w:eastAsia="Calibri" w:hAnsi="Calibri"/>
          <w:b/>
          <w:bCs/>
          <w:color w:val="9C4B23"/>
          <w:sz w:val="25"/>
          <w:szCs w:val="25"/>
        </w:rPr>
        <w:t xml:space="preserve">Incluido en el MVP</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Sistema completo de pistas y reducción de hipótesis para las 3 entidades míticas.</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Sistema de confrontación de ingenio, ramificado según la hipótesis del jugador.</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Sistema de consecuencias persistentes, visibles en NPCs y casos futuros.</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5 casos completos: 1 tutorial + 3 estándar + 1 final que combina las 3 entidades, todos en la región Andina.</w:t>
      </w:r>
    </w:p>
    <w:p>
      <w:pPr>
        <w:pStyle w:val="Heading3"/>
        <w:spacing w:after="120" w:before="240"/>
      </w:pPr>
      <w:r>
        <w:rPr>
          <w:rFonts w:ascii="Calibri" w:cs="Calibri" w:eastAsia="Calibri" w:hAnsi="Calibri"/>
          <w:b/>
          <w:bCs/>
          <w:color w:val="9C4B23"/>
          <w:sz w:val="25"/>
          <w:szCs w:val="25"/>
        </w:rPr>
        <w:t xml:space="preserve">Explícitamente fuera del MVP</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Regiones adicionales (Pacífico, Amazonía, Caribe, Llanos, Sierra Nevada) — contenido post-lanzamiento.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Sistemas de niveles, loot o árboles de habilidad — excluidos permanentemente por los anti-pilares.</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Doblaje de voz completo o cinemáticas.</w:t>
      </w:r>
    </w:p>
    <w:p>
      <w:pPr>
        <w:pStyle w:val="Heading3"/>
        <w:spacing w:after="120" w:before="240"/>
      </w:pPr>
      <w:r>
        <w:rPr>
          <w:rFonts w:ascii="Calibri" w:cs="Calibri" w:eastAsia="Calibri" w:hAnsi="Calibri"/>
          <w:b/>
          <w:bCs/>
          <w:color w:val="9C4B23"/>
          <w:sz w:val="25"/>
          <w:szCs w:val="25"/>
        </w:rPr>
        <w:t xml:space="preserve">Escalones de alcance (si el tiempo o el presupuesto se reduce)</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1980"/>
        <w:gridCol w:w="4770"/>
        <w:gridCol w:w="2250"/>
      </w:tblGrid>
      <w:tr>
        <w:trPr>
          <w:tblHeader/>
        </w:trPr>
        <w:tc>
          <w:tcPr>
            <w:tcW w:type="dxa" w:w="198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Escalón</w:t>
            </w:r>
          </w:p>
        </w:tc>
        <w:tc>
          <w:tcPr>
            <w:tcW w:type="dxa" w:w="477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Contenido</w:t>
            </w:r>
          </w:p>
        </w:tc>
        <w:tc>
          <w:tcPr>
            <w:tcW w:type="dxa" w:w="225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Duración estimada</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Vertical Slice</w:t>
            </w:r>
          </w:p>
        </w:tc>
        <w:tc>
          <w:tcPr>
            <w:tcW w:type="dxa" w:w="477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1 pueblo, 1 mito, bucle completo jugable</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3–4 semanas</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MVP (núcleo)</w:t>
            </w:r>
          </w:p>
        </w:tc>
        <w:tc>
          <w:tcPr>
            <w:tcW w:type="dxa" w:w="477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1 región, 5 casos, 3 entidades — funcional, sin pulir</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3 meses</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Alpha</w:t>
            </w:r>
          </w:p>
        </w:tc>
        <w:tc>
          <w:tcPr>
            <w:tcW w:type="dxa" w:w="477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Todo el contenido del MVP, sin pulido final</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4 meses</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Visión completa</w:t>
            </w:r>
          </w:p>
        </w:tc>
        <w:tc>
          <w:tcPr>
            <w:tcW w:type="dxa" w:w="477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MVP pulido, listo para Steam</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5–6 meses</w:t>
            </w:r>
          </w:p>
        </w:tc>
      </w:tr>
    </w:tbl>
    <w:p>
      <w:pPr>
        <w:pStyle w:val="Heading1"/>
        <w:pBdr>
          <w:bottom w:val="single" w:color="9C4B23" w:sz="8" w:space="4"/>
        </w:pBdr>
        <w:spacing w:after="240" w:before="400"/>
      </w:pPr>
      <w:r>
        <w:rPr>
          <w:rFonts w:ascii="Calibri" w:cs="Calibri" w:eastAsia="Calibri" w:hAnsi="Calibri"/>
          <w:b/>
          <w:bCs/>
          <w:color w:val="9C4B23"/>
          <w:sz w:val="40"/>
          <w:szCs w:val="40"/>
        </w:rPr>
        <w:t xml:space="preserve">6. Mapa de sistemas: qué existe y de qué depende</w:t>
      </w:r>
    </w:p>
    <w:p>
      <w:pPr>
        <w:spacing w:after="160" w:line="300"/>
      </w:pPr>
      <w:r>
        <w:rPr>
          <w:rFonts w:ascii="Calibri" w:cs="Calibri" w:eastAsia="Calibri" w:hAnsi="Calibri"/>
          <w:b w:val="false"/>
          <w:bCs w:val="false"/>
          <w:i w:val="false"/>
          <w:iCs w:val="false"/>
          <w:color w:val="3B2E22"/>
          <w:sz w:val="22"/>
          <w:szCs w:val="22"/>
        </w:rPr>
        <w:t xml:space="preserve">El juego se apoya en 9 sistemas. Ninguno se diseñó al azar — cada uno existe porque otro lo necesita. Entender este mapa ayuda a saber qué se puede tocar sin romper algo más arriba en la cadena.</w:t>
      </w:r>
    </w:p>
    <w:p>
      <w:pPr>
        <w:pStyle w:val="Heading3"/>
        <w:spacing w:after="120" w:before="240"/>
      </w:pPr>
      <w:r>
        <w:rPr>
          <w:rFonts w:ascii="Calibri" w:cs="Calibri" w:eastAsia="Calibri" w:hAnsi="Calibri"/>
          <w:b/>
          <w:bCs/>
          <w:color w:val="9C4B23"/>
          <w:sz w:val="25"/>
          <w:szCs w:val="25"/>
        </w:rPr>
        <w:t xml:space="preserve">Los 9 sistemas y su estado actual</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540"/>
        <w:gridCol w:w="2340"/>
        <w:gridCol w:w="1620"/>
        <w:gridCol w:w="1800"/>
        <w:gridCol w:w="2700"/>
      </w:tblGrid>
      <w:tr>
        <w:trPr>
          <w:tblHeader/>
        </w:trPr>
        <w:tc>
          <w:tcPr>
            <w:tcW w:type="dxa" w:w="5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w:t>
            </w:r>
          </w:p>
        </w:tc>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Sistema</w:t>
            </w:r>
          </w:p>
        </w:tc>
        <w:tc>
          <w:tcPr>
            <w:tcW w:type="dxa" w:w="162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Categoría</w:t>
            </w:r>
          </w:p>
        </w:tc>
        <w:tc>
          <w:tcPr>
            <w:tcW w:type="dxa" w:w="180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Prioridad</w:t>
            </w:r>
          </w:p>
        </w:tc>
        <w:tc>
          <w:tcPr>
            <w:tcW w:type="dxa" w:w="270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Estado</w:t>
            </w:r>
          </w:p>
        </w:tc>
      </w:tr>
      <w:tr>
        <w:tc>
          <w:tcPr>
            <w:tcW w:type="dxa" w:w="5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1</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Reloj Real</w:t>
            </w:r>
          </w:p>
        </w:tc>
        <w:tc>
          <w:tcPr>
            <w:tcW w:type="dxa" w:w="16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Core (fundación)</w:t>
            </w:r>
          </w:p>
        </w:tc>
        <w:tc>
          <w:tcPr>
            <w:tcW w:type="dxa" w:w="18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Vertical Slice</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Diseñado — ver documento propio</w:t>
            </w:r>
          </w:p>
        </w:tc>
      </w:tr>
      <w:tr>
        <w:tc>
          <w:tcPr>
            <w:tcW w:type="dxa" w:w="5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2</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Exploración del Hub</w:t>
            </w:r>
          </w:p>
        </w:tc>
        <w:tc>
          <w:tcPr>
            <w:tcW w:type="dxa" w:w="16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Core (fundación)</w:t>
            </w:r>
          </w:p>
        </w:tc>
        <w:tc>
          <w:tcPr>
            <w:tcW w:type="dxa" w:w="18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Vertical Slice</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 iniciado</w:t>
            </w:r>
          </w:p>
        </w:tc>
      </w:tr>
      <w:tr>
        <w:tc>
          <w:tcPr>
            <w:tcW w:type="dxa" w:w="5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3</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Estado del Mundo + Guardado/Carga</w:t>
            </w:r>
          </w:p>
        </w:tc>
        <w:tc>
          <w:tcPr>
            <w:tcW w:type="dxa" w:w="16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Persistencia</w:t>
            </w:r>
          </w:p>
        </w:tc>
        <w:tc>
          <w:tcPr>
            <w:tcW w:type="dxa" w:w="18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Vertical Slice (mínima)</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 iniciado</w:t>
            </w:r>
          </w:p>
        </w:tc>
      </w:tr>
      <w:tr>
        <w:tc>
          <w:tcPr>
            <w:tcW w:type="dxa" w:w="5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4</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Entidades Míticas</w:t>
            </w:r>
          </w:p>
        </w:tc>
        <w:tc>
          <w:tcPr>
            <w:tcW w:type="dxa" w:w="16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Core (fundación)</w:t>
            </w:r>
          </w:p>
        </w:tc>
        <w:tc>
          <w:tcPr>
            <w:tcW w:type="dxa" w:w="18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Vertical Slice</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 iniciado (fichas de Mohán, Patasola y Duende ya escritas)</w:t>
            </w:r>
          </w:p>
        </w:tc>
      </w:tr>
      <w:tr>
        <w:tc>
          <w:tcPr>
            <w:tcW w:type="dxa" w:w="5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5</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Testimonios / Diálogo</w:t>
            </w:r>
          </w:p>
        </w:tc>
        <w:tc>
          <w:tcPr>
            <w:tcW w:type="dxa" w:w="16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Narrativa</w:t>
            </w:r>
          </w:p>
        </w:tc>
        <w:tc>
          <w:tcPr>
            <w:tcW w:type="dxa" w:w="18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Vertical Slice</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 iniciado</w:t>
            </w:r>
          </w:p>
        </w:tc>
      </w:tr>
      <w:tr>
        <w:tc>
          <w:tcPr>
            <w:tcW w:type="dxa" w:w="5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6</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Sistema de Casos</w:t>
            </w:r>
          </w:p>
        </w:tc>
        <w:tc>
          <w:tcPr>
            <w:tcW w:type="dxa" w:w="16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Gameplay</w:t>
            </w:r>
          </w:p>
        </w:tc>
        <w:tc>
          <w:tcPr>
            <w:tcW w:type="dxa" w:w="18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Vertical Slice</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Diseñado — pendiente de revisión, ver documento propio</w:t>
            </w:r>
          </w:p>
        </w:tc>
      </w:tr>
      <w:tr>
        <w:tc>
          <w:tcPr>
            <w:tcW w:type="dxa" w:w="5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7</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Confrontación de Ingenio</w:t>
            </w:r>
          </w:p>
        </w:tc>
        <w:tc>
          <w:tcPr>
            <w:tcW w:type="dxa" w:w="16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Gameplay</w:t>
            </w:r>
          </w:p>
        </w:tc>
        <w:tc>
          <w:tcPr>
            <w:tcW w:type="dxa" w:w="18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Vertical Slice</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 iniciado</w:t>
            </w:r>
          </w:p>
        </w:tc>
      </w:tr>
      <w:tr>
        <w:tc>
          <w:tcPr>
            <w:tcW w:type="dxa" w:w="5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8</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Cuaderno del Investigador</w:t>
            </w:r>
          </w:p>
        </w:tc>
        <w:tc>
          <w:tcPr>
            <w:tcW w:type="dxa" w:w="16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UI</w:t>
            </w:r>
          </w:p>
        </w:tc>
        <w:tc>
          <w:tcPr>
            <w:tcW w:type="dxa" w:w="18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Vertical Slice</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 iniciado</w:t>
            </w:r>
          </w:p>
        </w:tc>
      </w:tr>
      <w:tr>
        <w:tc>
          <w:tcPr>
            <w:tcW w:type="dxa" w:w="5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9</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Consecuencias Persistentes</w:t>
            </w:r>
          </w:p>
        </w:tc>
        <w:tc>
          <w:tcPr>
            <w:tcW w:type="dxa" w:w="16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Gameplay</w:t>
            </w:r>
          </w:p>
        </w:tc>
        <w:tc>
          <w:tcPr>
            <w:tcW w:type="dxa" w:w="18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MVP</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 iniciado</w:t>
            </w:r>
          </w:p>
        </w:tc>
      </w:tr>
    </w:tbl>
    <w:p>
      <w:pPr>
        <w:pStyle w:val="Heading3"/>
        <w:spacing w:after="120" w:before="240"/>
      </w:pPr>
      <w:r>
        <w:rPr>
          <w:rFonts w:ascii="Calibri" w:cs="Calibri" w:eastAsia="Calibri" w:hAnsi="Calibri"/>
          <w:b/>
          <w:bCs/>
          <w:color w:val="9C4B23"/>
          <w:sz w:val="25"/>
          <w:szCs w:val="25"/>
        </w:rPr>
        <w:t xml:space="preserve">Cómo se apilan (capas de dependencia)</w:t>
      </w:r>
    </w:p>
    <w:p>
      <w:pPr>
        <w:spacing w:after="160" w:line="300"/>
      </w:pPr>
      <w:r>
        <w:rPr>
          <w:rFonts w:ascii="Calibri" w:cs="Calibri" w:eastAsia="Calibri" w:hAnsi="Calibri"/>
          <w:b w:val="false"/>
          <w:bCs w:val="false"/>
          <w:i w:val="false"/>
          <w:iCs w:val="false"/>
          <w:color w:val="3B2E22"/>
          <w:sz w:val="22"/>
          <w:szCs w:val="22"/>
        </w:rPr>
        <w:t xml:space="preserve">El grafo no tiene ciclos: cada capa solo depende de la anterior.</w:t>
      </w:r>
    </w:p>
    <w:p>
      <w:pPr>
        <w:pStyle w:val="ListParagraph"/>
        <w:numPr>
          <w:ilvl w:val="0"/>
          <w:numId w:val="1"/>
        </w:numPr>
        <w:spacing w:after="100" w:line="290"/>
      </w:pPr>
      <w:r>
        <w:rPr>
          <w:rFonts w:ascii="Calibri" w:cs="Calibri" w:eastAsia="Calibri" w:hAnsi="Calibri"/>
          <w:b/>
          <w:bCs/>
          <w:color w:val="9C4B23"/>
          <w:sz w:val="22"/>
          <w:szCs w:val="22"/>
        </w:rPr>
        <w:t xml:space="preserve">Fundación — </w:t>
      </w:r>
      <w:r>
        <w:rPr>
          <w:rFonts w:ascii="Calibri" w:cs="Calibri" w:eastAsia="Calibri" w:hAnsi="Calibri"/>
          <w:color w:val="3B2E22"/>
          <w:sz w:val="22"/>
          <w:szCs w:val="22"/>
        </w:rPr>
        <w:t xml:space="preserve">Reloj Real, Exploración del Hub, Estado del Mundo, Entidades Míticas. No dependen de nada más — son la base.</w:t>
      </w:r>
    </w:p>
    <w:p>
      <w:pPr>
        <w:pStyle w:val="ListParagraph"/>
        <w:numPr>
          <w:ilvl w:val="0"/>
          <w:numId w:val="1"/>
        </w:numPr>
        <w:spacing w:after="100" w:line="290"/>
      </w:pPr>
      <w:r>
        <w:rPr>
          <w:rFonts w:ascii="Calibri" w:cs="Calibri" w:eastAsia="Calibri" w:hAnsi="Calibri"/>
          <w:b/>
          <w:bCs/>
          <w:color w:val="9C4B23"/>
          <w:sz w:val="22"/>
          <w:szCs w:val="22"/>
        </w:rPr>
        <w:t xml:space="preserve">Core — </w:t>
      </w:r>
      <w:r>
        <w:rPr>
          <w:rFonts w:ascii="Calibri" w:cs="Calibri" w:eastAsia="Calibri" w:hAnsi="Calibri"/>
          <w:color w:val="3B2E22"/>
          <w:sz w:val="22"/>
          <w:szCs w:val="22"/>
        </w:rPr>
        <w:t xml:space="preserve">Testimonios/Diálogo y Sistema de Casos. Dependen de la Fundación.</w:t>
      </w:r>
    </w:p>
    <w:p>
      <w:pPr>
        <w:pStyle w:val="ListParagraph"/>
        <w:numPr>
          <w:ilvl w:val="0"/>
          <w:numId w:val="1"/>
        </w:numPr>
        <w:spacing w:after="100" w:line="290"/>
      </w:pPr>
      <w:r>
        <w:rPr>
          <w:rFonts w:ascii="Calibri" w:cs="Calibri" w:eastAsia="Calibri" w:hAnsi="Calibri"/>
          <w:b/>
          <w:bCs/>
          <w:color w:val="9C4B23"/>
          <w:sz w:val="22"/>
          <w:szCs w:val="22"/>
        </w:rPr>
        <w:t xml:space="preserve">Funcionalidad — </w:t>
      </w:r>
      <w:r>
        <w:rPr>
          <w:rFonts w:ascii="Calibri" w:cs="Calibri" w:eastAsia="Calibri" w:hAnsi="Calibri"/>
          <w:color w:val="3B2E22"/>
          <w:sz w:val="22"/>
          <w:szCs w:val="22"/>
        </w:rPr>
        <w:t xml:space="preserve">Confrontación de Ingenio y Consecuencias Persistentes. Dependen del Core.</w:t>
      </w:r>
    </w:p>
    <w:p>
      <w:pPr>
        <w:pStyle w:val="ListParagraph"/>
        <w:numPr>
          <w:ilvl w:val="0"/>
          <w:numId w:val="1"/>
        </w:numPr>
        <w:spacing w:after="100" w:line="290"/>
      </w:pPr>
      <w:r>
        <w:rPr>
          <w:rFonts w:ascii="Calibri" w:cs="Calibri" w:eastAsia="Calibri" w:hAnsi="Calibri"/>
          <w:b/>
          <w:bCs/>
          <w:color w:val="9C4B23"/>
          <w:sz w:val="22"/>
          <w:szCs w:val="22"/>
        </w:rPr>
        <w:t xml:space="preserve">Presentación — </w:t>
      </w:r>
      <w:r>
        <w:rPr>
          <w:rFonts w:ascii="Calibri" w:cs="Calibri" w:eastAsia="Calibri" w:hAnsi="Calibri"/>
          <w:color w:val="3B2E22"/>
          <w:sz w:val="22"/>
          <w:szCs w:val="22"/>
        </w:rPr>
        <w:t xml:space="preserve">Cuaderno del Investigador. Depende de la Funcionalidad.</w:t>
      </w:r>
    </w:p>
    <w:p>
      <w:pPr>
        <w:pStyle w:val="Heading3"/>
        <w:spacing w:after="120" w:before="240"/>
      </w:pPr>
      <w:r>
        <w:rPr>
          <w:rFonts w:ascii="Calibri" w:cs="Calibri" w:eastAsia="Calibri" w:hAnsi="Calibri"/>
          <w:b/>
          <w:bCs/>
          <w:color w:val="9C4B23"/>
          <w:sz w:val="25"/>
          <w:szCs w:val="25"/>
        </w:rPr>
        <w:t xml:space="preserve">Orden de diseño recomendado</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900"/>
        <w:gridCol w:w="3150"/>
        <w:gridCol w:w="2250"/>
        <w:gridCol w:w="2700"/>
      </w:tblGrid>
      <w:tr>
        <w:trPr>
          <w:tblHeader/>
        </w:trPr>
        <w:tc>
          <w:tcPr>
            <w:tcW w:type="dxa" w:w="90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Orden</w:t>
            </w:r>
          </w:p>
        </w:tc>
        <w:tc>
          <w:tcPr>
            <w:tcW w:type="dxa" w:w="315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Sistema</w:t>
            </w:r>
          </w:p>
        </w:tc>
        <w:tc>
          <w:tcPr>
            <w:tcW w:type="dxa" w:w="225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Capa</w:t>
            </w:r>
          </w:p>
        </w:tc>
        <w:tc>
          <w:tcPr>
            <w:tcW w:type="dxa" w:w="270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Esfuerzo estimado</w:t>
            </w:r>
          </w:p>
        </w:tc>
      </w:tr>
      <w:tr>
        <w:tc>
          <w:tcPr>
            <w:tcW w:type="dxa" w:w="9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1</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Reloj Real</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Fundación</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 (pequeño)</w:t>
            </w:r>
          </w:p>
        </w:tc>
      </w:tr>
      <w:tr>
        <w:tc>
          <w:tcPr>
            <w:tcW w:type="dxa" w:w="9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2</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Exploración del Hub</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Fundación</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 (mediano)</w:t>
            </w:r>
          </w:p>
        </w:tc>
      </w:tr>
      <w:tr>
        <w:tc>
          <w:tcPr>
            <w:tcW w:type="dxa" w:w="9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3</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Estado del Mundo + Guardado/Carga</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Fundación</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w:t>
            </w:r>
          </w:p>
        </w:tc>
      </w:tr>
      <w:tr>
        <w:tc>
          <w:tcPr>
            <w:tcW w:type="dxa" w:w="9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4</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Entidades Míticas</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Fundación</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w:t>
            </w:r>
          </w:p>
        </w:tc>
      </w:tr>
      <w:tr>
        <w:tc>
          <w:tcPr>
            <w:tcW w:type="dxa" w:w="9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5</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Testimonios/Diálogo</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Core</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w:t>
            </w:r>
          </w:p>
        </w:tc>
      </w:tr>
      <w:tr>
        <w:tc>
          <w:tcPr>
            <w:tcW w:type="dxa" w:w="9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6</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Sistema de Casos</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Core</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 (grande)</w:t>
            </w:r>
          </w:p>
        </w:tc>
      </w:tr>
      <w:tr>
        <w:tc>
          <w:tcPr>
            <w:tcW w:type="dxa" w:w="9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7</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Confrontación de Ingenio</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Funcionalidad</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w:t>
            </w:r>
          </w:p>
        </w:tc>
      </w:tr>
      <w:tr>
        <w:tc>
          <w:tcPr>
            <w:tcW w:type="dxa" w:w="9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8</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Cuaderno del Investigador</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Presentación</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w:t>
            </w:r>
          </w:p>
        </w:tc>
      </w:tr>
      <w:tr>
        <w:tc>
          <w:tcPr>
            <w:tcW w:type="dxa" w:w="9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9</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Consecuencias Persistentes</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Funcionalidad</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w:t>
            </w:r>
          </w:p>
        </w:tc>
      </w:tr>
    </w:tbl>
    <w:p>
      <w:pPr>
        <w:pStyle w:val="Heading3"/>
        <w:spacing w:after="120" w:before="240"/>
      </w:pPr>
      <w:r>
        <w:rPr>
          <w:rFonts w:ascii="Calibri" w:cs="Calibri" w:eastAsia="Calibri" w:hAnsi="Calibri"/>
          <w:b/>
          <w:bCs/>
          <w:color w:val="9C4B23"/>
          <w:sz w:val="25"/>
          <w:szCs w:val="25"/>
        </w:rPr>
        <w:t xml:space="preserve">Los 3 riesgos más altos a vigilar</w:t>
      </w:r>
    </w:p>
    <w:p>
      <w:pPr>
        <w:pStyle w:val="ListParagraph"/>
        <w:numPr>
          <w:ilvl w:val="0"/>
          <w:numId w:val="1"/>
        </w:numPr>
        <w:spacing w:after="100" w:line="290"/>
      </w:pPr>
      <w:r>
        <w:rPr>
          <w:rFonts w:ascii="Calibri" w:cs="Calibri" w:eastAsia="Calibri" w:hAnsi="Calibri"/>
          <w:b/>
          <w:bCs/>
          <w:color w:val="9C4B23"/>
          <w:sz w:val="22"/>
          <w:szCs w:val="22"/>
        </w:rPr>
        <w:t xml:space="preserve">Sistema de Casos — </w:t>
      </w:r>
      <w:r>
        <w:rPr>
          <w:rFonts w:ascii="Calibri" w:cs="Calibri" w:eastAsia="Calibri" w:hAnsi="Calibri"/>
          <w:color w:val="3B2E22"/>
          <w:sz w:val="22"/>
          <w:szCs w:val="22"/>
        </w:rPr>
        <w:t xml:space="preserve">tiene que generalizar tres verbos de resolución muy distintos (negociar, rechazar, tender trampa) en una sola gramática común, sin aplanar lo que hace única a cada entidad. Mitigación: diseñar primero la estructura abstracta de "qué es un caso" y validarla contra las 3 fichas de entidad antes de aprobarla.</w:t>
      </w:r>
    </w:p>
    <w:p>
      <w:pPr>
        <w:pStyle w:val="ListParagraph"/>
        <w:numPr>
          <w:ilvl w:val="0"/>
          <w:numId w:val="1"/>
        </w:numPr>
        <w:spacing w:after="100" w:line="290"/>
      </w:pPr>
      <w:r>
        <w:rPr>
          <w:rFonts w:ascii="Calibri" w:cs="Calibri" w:eastAsia="Calibri" w:hAnsi="Calibri"/>
          <w:b/>
          <w:bCs/>
          <w:color w:val="9C4B23"/>
          <w:sz w:val="22"/>
          <w:szCs w:val="22"/>
        </w:rPr>
        <w:t xml:space="preserve">Confrontación de Ingenio — </w:t>
      </w:r>
      <w:r>
        <w:rPr>
          <w:rFonts w:ascii="Calibri" w:cs="Calibri" w:eastAsia="Calibri" w:hAnsi="Calibri"/>
          <w:color w:val="3B2E22"/>
          <w:sz w:val="22"/>
          <w:szCs w:val="22"/>
        </w:rPr>
        <w:t xml:space="preserve">las tres entidades usan ejes mecánicos distintos (tiempo, espacio, patrón) y el sistema debe soportar los tres sin forzarlos a una interfaz única que borre sus diferencias. Mitigación: diseñarlo como un marco de "fases de decisión" configurable por eje, no como una máquina de estados fija.</w:t>
      </w:r>
    </w:p>
    <w:p>
      <w:pPr>
        <w:pStyle w:val="ListParagraph"/>
        <w:numPr>
          <w:ilvl w:val="0"/>
          <w:numId w:val="1"/>
        </w:numPr>
        <w:spacing w:after="100" w:line="290"/>
      </w:pPr>
      <w:r>
        <w:rPr>
          <w:rFonts w:ascii="Calibri" w:cs="Calibri" w:eastAsia="Calibri" w:hAnsi="Calibri"/>
          <w:b/>
          <w:bCs/>
          <w:color w:val="9C4B23"/>
          <w:sz w:val="22"/>
          <w:szCs w:val="22"/>
        </w:rPr>
        <w:t xml:space="preserve">Entidades Míticas — </w:t>
      </w:r>
      <w:r>
        <w:rPr>
          <w:rFonts w:ascii="Calibri" w:cs="Calibri" w:eastAsia="Calibri" w:hAnsi="Calibri"/>
          <w:color w:val="3B2E22"/>
          <w:sz w:val="22"/>
          <w:szCs w:val="22"/>
        </w:rPr>
        <w:t xml:space="preserve">riesgo de sobre-diseñar pensando en regiones futuras que el MVP no necesita. Mitigación: diseñar solo para las 3 entidades del MVP y documentar el patrón de extensión como nota, no como requisito.</w:t>
      </w:r>
    </w:p>
    <w:p>
      <w:pPr>
        <w:pStyle w:val="Heading1"/>
        <w:pBdr>
          <w:bottom w:val="single" w:color="9C4B23" w:sz="8" w:space="4"/>
        </w:pBdr>
        <w:spacing w:after="240" w:before="400"/>
      </w:pPr>
      <w:r>
        <w:rPr>
          <w:rFonts w:ascii="Calibri" w:cs="Calibri" w:eastAsia="Calibri" w:hAnsi="Calibri"/>
          <w:b/>
          <w:bCs/>
          <w:color w:val="9C4B23"/>
          <w:sz w:val="40"/>
          <w:szCs w:val="40"/>
        </w:rPr>
        <w:t xml:space="preserve">7. Riesgos generales del proyecto</w:t>
      </w:r>
    </w:p>
    <w:p>
      <w:pPr>
        <w:pStyle w:val="Heading3"/>
        <w:spacing w:after="120" w:before="240"/>
      </w:pPr>
      <w:r>
        <w:rPr>
          <w:rFonts w:ascii="Calibri" w:cs="Calibri" w:eastAsia="Calibri" w:hAnsi="Calibri"/>
          <w:b/>
          <w:bCs/>
          <w:color w:val="9C4B23"/>
          <w:sz w:val="25"/>
          <w:szCs w:val="25"/>
        </w:rPr>
        <w:t xml:space="preserve">Riesgos de diseño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El balance de "información incompleta" puede sentirse arbitrario si no se calibra bien — violaría el anti-pilar contra el pixel-hunting.</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Cada rama de "hipótesis equivocada" debe sentirse diseñada, no improvisada — riesgo de explosión combinatoria de contenido.</w:t>
      </w:r>
    </w:p>
    <w:p>
      <w:pPr>
        <w:pStyle w:val="Heading3"/>
        <w:spacing w:after="120" w:before="240"/>
      </w:pPr>
      <w:r>
        <w:rPr>
          <w:rFonts w:ascii="Calibri" w:cs="Calibri" w:eastAsia="Calibri" w:hAnsi="Calibri"/>
          <w:b/>
          <w:bCs/>
          <w:color w:val="9C4B23"/>
          <w:sz w:val="25"/>
          <w:szCs w:val="25"/>
        </w:rPr>
        <w:t xml:space="preserve">Riesgos técnicos</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Riesgo técnico bajo en general: no se necesita DOTS/ECS ni networking.</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El mayor reto de arquitectura es diseñar un "motor de reglas por mito" reutilizable sin caer en if/else hardcodeado.</w:t>
      </w:r>
    </w:p>
    <w:p>
      <w:pPr>
        <w:pStyle w:val="Heading3"/>
        <w:spacing w:after="120" w:before="240"/>
      </w:pPr>
      <w:r>
        <w:rPr>
          <w:rFonts w:ascii="Calibri" w:cs="Calibri" w:eastAsia="Calibri" w:hAnsi="Calibri"/>
          <w:b/>
          <w:bCs/>
          <w:color w:val="9C4B23"/>
          <w:sz w:val="25"/>
          <w:szCs w:val="25"/>
        </w:rPr>
        <w:t xml:space="preserve">Riesgos de mercado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El género de deducción pura es de nicho — validado, pero no masivo.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La especificidad cultural colombiana puede ser una ventaja diferencial o una barrera de descubribilidad, según cómo se comunique en marketing.</w:t>
      </w:r>
    </w:p>
    <w:p>
      <w:pPr>
        <w:pStyle w:val="Heading3"/>
        <w:spacing w:after="120" w:before="240"/>
      </w:pPr>
      <w:r>
        <w:rPr>
          <w:rFonts w:ascii="Calibri" w:cs="Calibri" w:eastAsia="Calibri" w:hAnsi="Calibri"/>
          <w:b/>
          <w:bCs/>
          <w:color w:val="9C4B23"/>
          <w:sz w:val="25"/>
          <w:szCs w:val="25"/>
        </w:rPr>
        <w:t xml:space="preserve">Riesgos de alcance</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Como equipo pequeño: narrativa ramificada + 3 sistemas de reglas + programación completa es una carga real de trabajo — mitigado limitando el MVP a 1 región / 3 entidades.</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El Pilar 3 exige un diseño verdaderamente único por entidad — riesgo de que el tercer mito se sienta forzado si no se planea con cuidado.</w:t>
      </w:r>
    </w:p>
    <w:p>
      <w:pPr>
        <w:pStyle w:val="Heading1"/>
        <w:pBdr>
          <w:bottom w:val="single" w:color="9C4B23" w:sz="8" w:space="4"/>
        </w:pBdr>
        <w:spacing w:after="240" w:before="400"/>
      </w:pPr>
      <w:r>
        <w:rPr>
          <w:rFonts w:ascii="Calibri" w:cs="Calibri" w:eastAsia="Calibri" w:hAnsi="Calibri"/>
          <w:b/>
          <w:bCs/>
          <w:color w:val="9C4B23"/>
          <w:sz w:val="40"/>
          <w:szCs w:val="40"/>
        </w:rPr>
        <w:t xml:space="preserve">8. Referencias que usamos como brújula</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2250"/>
        <w:gridCol w:w="3600"/>
        <w:gridCol w:w="3150"/>
      </w:tblGrid>
      <w:tr>
        <w:trPr>
          <w:tblHeader/>
        </w:trPr>
        <w:tc>
          <w:tcPr>
            <w:tcW w:type="dxa" w:w="225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Referencia</w:t>
            </w:r>
          </w:p>
        </w:tc>
        <w:tc>
          <w:tcPr>
            <w:tcW w:type="dxa" w:w="360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Qué tomamos de ahí</w:t>
            </w:r>
          </w:p>
        </w:tc>
        <w:tc>
          <w:tcPr>
            <w:tcW w:type="dxa" w:w="315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Qué hacemos distinto</w:t>
            </w:r>
          </w:p>
        </w:tc>
      </w:tr>
      <w:tr>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Return of the Obra Dinn</w:t>
            </w:r>
          </w:p>
        </w:tc>
        <w:tc>
          <w:tcPr>
            <w:tcW w:type="dxa" w:w="36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Deducción pura como mecánica central, sin combate</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Nuestras hipótesis alteran el encuentro, no solo desbloquean la verdad</w:t>
            </w:r>
          </w:p>
        </w:tc>
      </w:tr>
      <w:tr>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The Case of the Golden Idol</w:t>
            </w:r>
          </w:p>
        </w:tc>
        <w:tc>
          <w:tcPr>
            <w:tcW w:type="dxa" w:w="36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Reducir hipótesis con pistas ambientales</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Tenemos una fase de ejecución activa, no solo resolución de casillas</w:t>
            </w:r>
          </w:p>
        </w:tc>
      </w:tr>
      <w:tr>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Pentiment</w:t>
            </w:r>
          </w:p>
        </w:tc>
        <w:tc>
          <w:tcPr>
            <w:tcW w:type="dxa" w:w="36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Especificidad cultural/histórica como pilar de diseño, no decoración</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Folclore vivo colombiano con consecuencias sistémicas, no solo narrativas</w:t>
            </w:r>
          </w:p>
        </w:tc>
      </w:tr>
    </w:tbl>
    <w:p>
      <w:pPr>
        <w:spacing w:after="160" w:line="300"/>
      </w:pPr>
      <w:r>
        <w:rPr>
          <w:rFonts w:ascii="Calibri" w:cs="Calibri" w:eastAsia="Calibri" w:hAnsi="Calibri"/>
          <w:b w:val="false"/>
          <w:bCs w:val="false"/>
          <w:i/>
          <w:iCs/>
          <w:color w:val="6B5B4A"/>
          <w:sz w:val="20"/>
          <w:szCs w:val="20"/>
        </w:rPr>
        <w:t xml:space="preserve">Inspiraciones no-videojuego: tradición oral latinoamericana, crónicas de mitos y leyendas regionales de Colombia, relatos de resguardo campesino andino.</w:t>
      </w:r>
    </w:p>
    <w:p>
      <w:pPr>
        <w:pStyle w:val="Heading1"/>
        <w:pBdr>
          <w:bottom w:val="single" w:color="9C4B23" w:sz="8" w:space="4"/>
        </w:pBdr>
        <w:spacing w:after="240" w:before="400"/>
      </w:pPr>
      <w:r>
        <w:rPr>
          <w:rFonts w:ascii="Calibri" w:cs="Calibri" w:eastAsia="Calibri" w:hAnsi="Calibri"/>
          <w:b/>
          <w:bCs/>
          <w:color w:val="9C4B23"/>
          <w:sz w:val="40"/>
          <w:szCs w:val="40"/>
        </w:rPr>
        <w:t xml:space="preserve">9. Documentos relacionados</w:t>
      </w:r>
    </w:p>
    <w:p>
      <w:pPr>
        <w:spacing w:after="160" w:line="300"/>
      </w:pPr>
      <w:r>
        <w:rPr>
          <w:rFonts w:ascii="Calibri" w:cs="Calibri" w:eastAsia="Calibri" w:hAnsi="Calibri"/>
          <w:b w:val="false"/>
          <w:bCs w:val="false"/>
          <w:i w:val="false"/>
          <w:iCs w:val="false"/>
          <w:color w:val="3B2E22"/>
          <w:sz w:val="22"/>
          <w:szCs w:val="22"/>
        </w:rPr>
        <w:t xml:space="preserve">Este resumen es el punto de entrada. Para el detalle completo de cada sistema o entidad, consulta:</w:t>
      </w:r>
    </w:p>
    <w:p>
      <w:pPr>
        <w:pStyle w:val="ListParagraph"/>
        <w:numPr>
          <w:ilvl w:val="0"/>
          <w:numId w:val="1"/>
        </w:numPr>
        <w:spacing w:after="100" w:line="290"/>
      </w:pPr>
      <w:r>
        <w:rPr>
          <w:rFonts w:ascii="Calibri" w:cs="Calibri" w:eastAsia="Calibri" w:hAnsi="Calibri"/>
          <w:b/>
          <w:bCs/>
          <w:color w:val="9C4B23"/>
          <w:sz w:val="22"/>
          <w:szCs w:val="22"/>
        </w:rPr>
        <w:t xml:space="preserve">Art Bible — </w:t>
      </w:r>
      <w:r>
        <w:rPr>
          <w:rFonts w:ascii="Calibri" w:cs="Calibri" w:eastAsia="Calibri" w:hAnsi="Calibri"/>
          <w:color w:val="3B2E22"/>
          <w:sz w:val="22"/>
          <w:szCs w:val="22"/>
        </w:rPr>
        <w:t xml:space="preserve">identidad visual del juego — qué comunica el arte, y sobre todo qué NO debe delatar.</w:t>
      </w:r>
    </w:p>
    <w:p>
      <w:pPr>
        <w:pStyle w:val="ListParagraph"/>
        <w:numPr>
          <w:ilvl w:val="0"/>
          <w:numId w:val="1"/>
        </w:numPr>
        <w:spacing w:after="100" w:line="290"/>
      </w:pPr>
      <w:r>
        <w:rPr>
          <w:rFonts w:ascii="Calibri" w:cs="Calibri" w:eastAsia="Calibri" w:hAnsi="Calibri"/>
          <w:b/>
          <w:bCs/>
          <w:color w:val="9C4B23"/>
          <w:sz w:val="22"/>
          <w:szCs w:val="22"/>
        </w:rPr>
        <w:t xml:space="preserve">Reloj Real — </w:t>
      </w:r>
      <w:r>
        <w:rPr>
          <w:rFonts w:ascii="Calibri" w:cs="Calibri" w:eastAsia="Calibri" w:hAnsi="Calibri"/>
          <w:color w:val="3B2E22"/>
          <w:sz w:val="22"/>
          <w:szCs w:val="22"/>
        </w:rPr>
        <w:t xml:space="preserve">el ciclo de tiempo que gobierna todo el mundo.</w:t>
      </w:r>
    </w:p>
    <w:p>
      <w:pPr>
        <w:pStyle w:val="ListParagraph"/>
        <w:numPr>
          <w:ilvl w:val="0"/>
          <w:numId w:val="1"/>
        </w:numPr>
        <w:spacing w:after="100" w:line="290"/>
      </w:pPr>
      <w:r>
        <w:rPr>
          <w:rFonts w:ascii="Calibri" w:cs="Calibri" w:eastAsia="Calibri" w:hAnsi="Calibri"/>
          <w:b/>
          <w:bCs/>
          <w:color w:val="9C4B23"/>
          <w:sz w:val="22"/>
          <w:szCs w:val="22"/>
        </w:rPr>
        <w:t xml:space="preserve">Sistema de Casos — </w:t>
      </w:r>
      <w:r>
        <w:rPr>
          <w:rFonts w:ascii="Calibri" w:cs="Calibri" w:eastAsia="Calibri" w:hAnsi="Calibri"/>
          <w:color w:val="3B2E22"/>
          <w:sz w:val="22"/>
          <w:szCs w:val="22"/>
        </w:rPr>
        <w:t xml:space="preserve">la estructura común de toda investigación.</w:t>
      </w:r>
    </w:p>
    <w:p>
      <w:pPr>
        <w:pStyle w:val="ListParagraph"/>
        <w:numPr>
          <w:ilvl w:val="0"/>
          <w:numId w:val="1"/>
        </w:numPr>
        <w:spacing w:after="100" w:line="290"/>
      </w:pPr>
      <w:r>
        <w:rPr>
          <w:rFonts w:ascii="Calibri" w:cs="Calibri" w:eastAsia="Calibri" w:hAnsi="Calibri"/>
          <w:b/>
          <w:bCs/>
          <w:color w:val="9C4B23"/>
          <w:sz w:val="22"/>
          <w:szCs w:val="22"/>
        </w:rPr>
        <w:t xml:space="preserve">Nivel: El Pueblo (Hub) — </w:t>
      </w:r>
      <w:r>
        <w:rPr>
          <w:rFonts w:ascii="Calibri" w:cs="Calibri" w:eastAsia="Calibri" w:hAnsi="Calibri"/>
          <w:color w:val="3B2E22"/>
          <w:sz w:val="22"/>
          <w:szCs w:val="22"/>
        </w:rPr>
        <w:t xml:space="preserve">el layout del pueblo, el monte y el río.</w:t>
      </w:r>
    </w:p>
    <w:p>
      <w:pPr>
        <w:pStyle w:val="ListParagraph"/>
        <w:numPr>
          <w:ilvl w:val="0"/>
          <w:numId w:val="1"/>
        </w:numPr>
        <w:spacing w:after="100" w:line="290"/>
      </w:pPr>
      <w:r>
        <w:rPr>
          <w:rFonts w:ascii="Calibri" w:cs="Calibri" w:eastAsia="Calibri" w:hAnsi="Calibri"/>
          <w:b/>
          <w:bCs/>
          <w:color w:val="9C4B23"/>
          <w:sz w:val="22"/>
          <w:szCs w:val="22"/>
        </w:rPr>
        <w:t xml:space="preserve">Fichas de entidad — </w:t>
      </w:r>
      <w:r>
        <w:rPr>
          <w:rFonts w:ascii="Calibri" w:cs="Calibri" w:eastAsia="Calibri" w:hAnsi="Calibri"/>
          <w:color w:val="3B2E22"/>
          <w:sz w:val="22"/>
          <w:szCs w:val="22"/>
        </w:rPr>
        <w:t xml:space="preserve">Mohán, Patasola y Duende — una por documento.</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lvl w:ilvl="1" w15:tentative="1">
      <w:start w:val="1"/>
      <w:numFmt w:val="bullet"/>
      <w:lvlText w:val="◦"/>
      <w:lvlJc w:val="left"/>
      <w:pPr>
        <w:ind w:left="720"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2E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2026-07-21T22:01:26.950Z</dcterms:created>
  <dcterms:modified xsi:type="dcterms:W3CDTF">2026-07-21T22:01:26.950Z</dcterms:modified>
</cp:coreProperties>
</file>

<file path=docProps/custom.xml><?xml version="1.0" encoding="utf-8"?>
<Properties xmlns="http://schemas.openxmlformats.org/officeDocument/2006/custom-properties" xmlns:vt="http://schemas.openxmlformats.org/officeDocument/2006/docPropsVTypes"/>
</file>