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6B5B4A"/>
          <w:sz w:val="24"/>
          <w:szCs w:val="24"/>
        </w:rPr>
        <w:t xml:space="preserve">MONTE ADENTRO</w:t>
      </w:r>
    </w:p>
    <w:p>
      <w:pPr>
        <w:spacing w:after="300"/>
        <w:jc w:val="center"/>
      </w:pPr>
      <w:r>
        <w:rPr>
          <w:rFonts w:ascii="Calibri" w:cs="Calibri" w:eastAsia="Calibri" w:hAnsi="Calibri"/>
          <w:b/>
          <w:bCs/>
          <w:color w:val="9C4B23"/>
          <w:sz w:val="56"/>
          <w:szCs w:val="56"/>
        </w:rPr>
        <w:t xml:space="preserve">Sistema de Casos</w:t>
      </w:r>
    </w:p>
    <w:p>
      <w:pPr>
        <w:spacing w:after="500"/>
        <w:jc w:val="center"/>
      </w:pPr>
      <w:r>
        <w:rPr>
          <w:rFonts w:ascii="Calibri" w:cs="Calibri" w:eastAsia="Calibri" w:hAnsi="Calibri"/>
          <w:i/>
          <w:iCs/>
          <w:color w:val="3B2E22"/>
          <w:sz w:val="26"/>
          <w:szCs w:val="26"/>
        </w:rPr>
        <w:t xml:space="preserve">La gramática común que estructura toda investigación del juego</w:t>
      </w:r>
    </w:p>
    <w:p>
      <w:pPr>
        <w:spacing w:after="60"/>
        <w:jc w:val="center"/>
      </w:pPr>
      <w:r>
        <w:rPr>
          <w:rFonts w:ascii="Calibri" w:cs="Calibri" w:eastAsia="Calibri" w:hAnsi="Calibri"/>
          <w:b/>
          <w:bCs/>
          <w:color w:val="6B5B4A"/>
          <w:sz w:val="20"/>
          <w:szCs w:val="20"/>
        </w:rPr>
        <w:t xml:space="preserve">Basado en: </w:t>
      </w:r>
      <w:r>
        <w:rPr>
          <w:rFonts w:ascii="Calibri" w:cs="Calibri" w:eastAsia="Calibri" w:hAnsi="Calibri"/>
          <w:color w:val="6B5B4A"/>
          <w:sz w:val="20"/>
          <w:szCs w:val="20"/>
        </w:rPr>
        <w:t xml:space="preserve">sistema-de-casos.md</w:t>
      </w:r>
    </w:p>
    <w:p>
      <w:pPr>
        <w:spacing w:after="60"/>
        <w:jc w:val="center"/>
      </w:pPr>
      <w:r>
        <w:rPr>
          <w:rFonts w:ascii="Calibri" w:cs="Calibri" w:eastAsia="Calibri" w:hAnsi="Calibri"/>
          <w:b/>
          <w:bCs/>
          <w:color w:val="6B5B4A"/>
          <w:sz w:val="20"/>
          <w:szCs w:val="20"/>
        </w:rPr>
        <w:t xml:space="preserve">Estado: </w:t>
      </w:r>
      <w:r>
        <w:rPr>
          <w:rFonts w:ascii="Calibri" w:cs="Calibri" w:eastAsia="Calibri" w:hAnsi="Calibri"/>
          <w:color w:val="6B5B4A"/>
          <w:sz w:val="20"/>
          <w:szCs w:val="20"/>
        </w:rPr>
        <w:t xml:space="preserve">In Design — pendiente de revisión</w:t>
      </w:r>
    </w:p>
    <w:p>
      <w:pPr>
        <w:spacing w:after="60"/>
        <w:jc w:val="center"/>
      </w:pPr>
      <w:r>
        <w:rPr>
          <w:rFonts w:ascii="Calibri" w:cs="Calibri" w:eastAsia="Calibri" w:hAnsi="Calibri"/>
          <w:b/>
          <w:bCs/>
          <w:color w:val="6B5B4A"/>
          <w:sz w:val="20"/>
          <w:szCs w:val="20"/>
        </w:rPr>
        <w:t xml:space="preserve">Autoría: </w:t>
      </w:r>
      <w:r>
        <w:rPr>
          <w:rFonts w:ascii="Calibri" w:cs="Calibri" w:eastAsia="Calibri" w:hAnsi="Calibri"/>
          <w:color w:val="6B5B4A"/>
          <w:sz w:val="20"/>
          <w:szCs w:val="20"/>
        </w:rPr>
        <w:t xml:space="preserve">usuario + narrative-writer + game-designer</w:t>
      </w:r>
    </w:p>
    <w:p>
      <w:pPr>
        <w:spacing w:after="60"/>
        <w:jc w:val="center"/>
      </w:pPr>
      <w:r>
        <w:rPr>
          <w:rFonts w:ascii="Calibri" w:cs="Calibri" w:eastAsia="Calibri" w:hAnsi="Calibri"/>
          <w:b/>
          <w:bCs/>
          <w:color w:val="6B5B4A"/>
          <w:sz w:val="20"/>
          <w:szCs w:val="20"/>
        </w:rPr>
        <w:t xml:space="preserve">Última actualización de la fuente: </w:t>
      </w:r>
      <w:r>
        <w:rPr>
          <w:rFonts w:ascii="Calibri" w:cs="Calibri" w:eastAsia="Calibri" w:hAnsi="Calibri"/>
          <w:color w:val="6B5B4A"/>
          <w:sz w:val="20"/>
          <w:szCs w:val="20"/>
        </w:rPr>
        <w:t xml:space="preserve">2026-07-18</w:t>
      </w:r>
    </w:p>
    <w:p>
      <w:pPr>
        <w:spacing w:after="60"/>
        <w:jc w:val="center"/>
      </w:pPr>
      <w:r>
        <w:rPr>
          <w:rFonts w:ascii="Calibri" w:cs="Calibri" w:eastAsia="Calibri" w:hAnsi="Calibri"/>
          <w:b/>
          <w:bCs/>
          <w:color w:val="6B5B4A"/>
          <w:sz w:val="20"/>
          <w:szCs w:val="20"/>
        </w:rPr>
        <w:t xml:space="preserve">Sirve a: </w:t>
      </w:r>
      <w:r>
        <w:rPr>
          <w:rFonts w:ascii="Calibri" w:cs="Calibri" w:eastAsia="Calibri" w:hAnsi="Calibri"/>
          <w:color w:val="6B5B4A"/>
          <w:sz w:val="20"/>
          <w:szCs w:val="20"/>
        </w:rPr>
        <w:t xml:space="preserve">Los 5 pilares — es el sistema que los hace jugables en conjunto</w:t>
      </w:r>
    </w:p>
    <w:p>
      <w:r>
        <w:br w:type="page"/>
      </w:r>
    </w:p>
    <w:p>
      <w:pPr>
        <w:pStyle w:val="Heading1"/>
        <w:pBdr>
          <w:bottom w:val="single" w:color="9C4B23" w:sz="8" w:space="4"/>
        </w:pBdr>
        <w:spacing w:after="240" w:before="400"/>
      </w:pPr>
      <w:r>
        <w:rPr>
          <w:rFonts w:ascii="Calibri" w:cs="Calibri" w:eastAsia="Calibri" w:hAnsi="Calibri"/>
          <w:b/>
          <w:bCs/>
          <w:color w:val="9C4B23"/>
          <w:sz w:val="40"/>
          <w:szCs w:val="40"/>
        </w:rPr>
        <w:t xml:space="preserve">Qué es un caso</w:t>
      </w:r>
    </w:p>
    <w:p>
      <w:pPr>
        <w:spacing w:after="160" w:line="300"/>
      </w:pPr>
      <w:r>
        <w:rPr>
          <w:rFonts w:ascii="Calibri" w:cs="Calibri" w:eastAsia="Calibri" w:hAnsi="Calibri"/>
          <w:b w:val="false"/>
          <w:bCs w:val="false"/>
          <w:i w:val="false"/>
          <w:iCs w:val="false"/>
          <w:color w:val="3B2E22"/>
          <w:sz w:val="22"/>
          <w:szCs w:val="22"/>
        </w:rPr>
        <w:t xml:space="preserve">Un caso es la unidad completa de contenido investigable de Monte Adentro. Como dato, es: un fenómeno inicial, un conjunto de hipótesis candidatas, evidencia repartida entre testimonios y el mundo, y un estado de resolución. El jugador lo atraviesa siguiendo el bucle: observar → hipotetizar → buscar pruebas → preparar → confrontar.</w:t>
      </w:r>
    </w:p>
    <w:p>
      <w:pPr>
        <w:spacing w:after="160" w:line="300"/>
      </w:pPr>
      <w:r>
        <w:rPr>
          <w:rFonts w:ascii="Calibri" w:cs="Calibri" w:eastAsia="Calibri" w:hAnsi="Calibri"/>
          <w:b w:val="false"/>
          <w:bCs w:val="false"/>
          <w:i w:val="false"/>
          <w:iCs w:val="false"/>
          <w:color w:val="3B2E22"/>
          <w:sz w:val="22"/>
          <w:szCs w:val="22"/>
        </w:rPr>
        <w:t xml:space="preserve">Para el jugador, un caso es el momento en que se convierte en el investigador que traduce un fenómeno inexplicable en una interpretación — y esa interpretación, acertada o no, deja una marca permanente en el pueblo. Este sistema NO define las reglas de cada mito (eso vive en las fichas de entidad) ni cómo se ejecuta la confrontación en sí (Sistema de Confrontación de Ingenio) — define la estructura que envuelve a ambos: cómo nace un caso, cuántas hipótesis presenta, qué tipos de evidencia existen y cómo se obtienen, cuándo se puede pasar de investigar a confrontar, y cómo se cierra un caso.</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La fantasía del jugador, en una frase</w:t>
            </w:r>
          </w:p>
          <w:p>
            <w:pPr>
              <w:spacing w:after="0" w:line="290"/>
            </w:pPr>
            <w:r>
              <w:rPr>
                <w:rFonts w:ascii="Calibri" w:cs="Calibri" w:eastAsia="Calibri" w:hAnsi="Calibri"/>
                <w:i/>
                <w:iCs/>
                <w:color w:val="3B2E22"/>
                <w:sz w:val="22"/>
                <w:szCs w:val="22"/>
              </w:rPr>
              <w:t xml:space="preserve">No es coleccionar pruebas hasta llenar una barra: es sostener varias sospechas vivas a la vez y sentir cómo un testimonio de más las reordena por completo. Cerrar un caso nunca se siente como "gané el acertijo" — se siente como comprometerte con una interpretación y cargar, de ahí en adelante, con lo que hiciste creer que era verdad.</w:t>
            </w:r>
          </w:p>
        </w:tc>
      </w:tr>
    </w:tbl>
    <w:p>
      <w:pPr>
        <w:spacing w:after="120"/>
      </w:pPr>
    </w:p>
    <w:p>
      <w:pPr>
        <w:spacing w:after="160" w:line="300"/>
      </w:pPr>
      <w:r>
        <w:rPr>
          <w:rFonts w:ascii="Calibri" w:cs="Calibri" w:eastAsia="Calibri" w:hAnsi="Calibri"/>
          <w:b w:val="false"/>
          <w:bCs w:val="false"/>
          <w:i/>
          <w:iCs/>
          <w:color w:val="6B5B4A"/>
          <w:sz w:val="20"/>
          <w:szCs w:val="20"/>
        </w:rPr>
        <w:t xml:space="preserve">Nota de protección de marco: "hipótesis" y "sospecha" en este documento se refieren siempre al proceso mental del jugador, nunca a una mecánica formal nombrada. No existe una "pizarra de sospechosos" ni un "sistema de hipótesis" como widget de UI obligatorio — cómo se manifiesta esto en interfaz es decisión del Cuaderno del Investigador, no de este documento.</w:t>
      </w:r>
    </w:p>
    <w:p>
      <w:pPr>
        <w:pStyle w:val="Heading1"/>
        <w:pBdr>
          <w:bottom w:val="single" w:color="9C4B23" w:sz="8" w:space="4"/>
        </w:pBdr>
        <w:spacing w:after="240" w:before="400"/>
      </w:pPr>
      <w:r>
        <w:rPr>
          <w:rFonts w:ascii="Calibri" w:cs="Calibri" w:eastAsia="Calibri" w:hAnsi="Calibri"/>
          <w:b/>
          <w:bCs/>
          <w:color w:val="9C4B23"/>
          <w:sz w:val="40"/>
          <w:szCs w:val="40"/>
        </w:rPr>
        <w:t xml:space="preserve">Las 8 reglas centrales</w:t>
      </w:r>
    </w:p>
    <w:p>
      <w:pPr>
        <w:spacing w:after="100" w:before="200"/>
      </w:pPr>
      <w:r>
        <w:rPr>
          <w:rFonts w:ascii="Calibri" w:cs="Calibri" w:eastAsia="Calibri" w:hAnsi="Calibri"/>
          <w:b/>
          <w:bCs/>
          <w:i/>
          <w:iCs/>
          <w:color w:val="6B5B4A"/>
          <w:sz w:val="23"/>
          <w:szCs w:val="23"/>
        </w:rPr>
        <w:t xml:space="preserve">1. Cómo nace un caso</w:t>
      </w:r>
    </w:p>
    <w:p>
      <w:pPr>
        <w:spacing w:after="200" w:line="300"/>
      </w:pPr>
      <w:r>
        <w:rPr>
          <w:rFonts w:ascii="Calibri" w:cs="Calibri" w:eastAsia="Calibri" w:hAnsi="Calibri"/>
          <w:b w:val="false"/>
          <w:bCs w:val="false"/>
          <w:i w:val="false"/>
          <w:iCs w:val="false"/>
          <w:color w:val="3B2E22"/>
          <w:sz w:val="22"/>
          <w:szCs w:val="22"/>
        </w:rPr>
        <w:t xml:space="preserve">Nace cuando el mundo presenta un fenómeno observable sin explicación aparente — un rumor, una desaparición, un patrón de desgracia — anclado a un lugar del hub y a un momento del Reloj Real. No "empieza" con una pantalla ni un marcador de misión: nace la primera vez que el jugador entra en contacto con una de sus señales. Antes de ese contacto, el caso existe como contenido latente en el mundo (una casa con un problema, un NPC con algo que contar), no como una entrada activa.</w:t>
      </w:r>
    </w:p>
    <w:p>
      <w:pPr>
        <w:spacing w:after="100" w:before="200"/>
      </w:pPr>
      <w:r>
        <w:rPr>
          <w:rFonts w:ascii="Calibri" w:cs="Calibri" w:eastAsia="Calibri" w:hAnsi="Calibri"/>
          <w:b/>
          <w:bCs/>
          <w:i/>
          <w:iCs/>
          <w:color w:val="6B5B4A"/>
          <w:sz w:val="23"/>
          <w:szCs w:val="23"/>
        </w:rPr>
        <w:t xml:space="preserve">2. El espacio de hipótesis</w:t>
      </w:r>
    </w:p>
    <w:p>
      <w:pPr>
        <w:spacing w:after="200" w:line="300"/>
      </w:pPr>
      <w:r>
        <w:rPr>
          <w:rFonts w:ascii="Calibri" w:cs="Calibri" w:eastAsia="Calibri" w:hAnsi="Calibri"/>
          <w:b w:val="false"/>
          <w:bCs w:val="false"/>
          <w:i w:val="false"/>
          <w:iCs w:val="false"/>
          <w:color w:val="3B2E22"/>
          <w:sz w:val="22"/>
          <w:szCs w:val="22"/>
        </w:rPr>
        <w:t xml:space="preserve">Cada caso sostiene múltiples candidatos de confusión activos al mismo tiempo (causa natural, entidad rival de dominio compartido, agente humano, la entidad real). La cantidad exacta la determina el diseño de cada caso, no una regla fija de sistema — lo que este sistema garantiza es el principio: la evidencia debe poder sostener más de una interpretación simultánea. Un caso con una sola interpretación posible no es un caso, es una cinemática. Nota: "candidatos de confusión" no es una lista que el sistema declare por caso — es el resultado de cruzar el conocimiento folclórico que el jugador ya trae con la evidencia ambigua de ese caso específico. El sistema garantiza que la evidencia admite más de una lectura; no entrega un menú de sospechosos.</w:t>
      </w:r>
    </w:p>
    <w:p>
      <w:pPr>
        <w:spacing w:after="100" w:before="200"/>
      </w:pPr>
      <w:r>
        <w:rPr>
          <w:rFonts w:ascii="Calibri" w:cs="Calibri" w:eastAsia="Calibri" w:hAnsi="Calibri"/>
          <w:b/>
          <w:bCs/>
          <w:i/>
          <w:iCs/>
          <w:color w:val="6B5B4A"/>
          <w:sz w:val="23"/>
          <w:szCs w:val="23"/>
        </w:rPr>
        <w:t xml:space="preserve">3. Tres familias de evidencia</w:t>
      </w:r>
    </w:p>
    <w:p>
      <w:pPr>
        <w:spacing w:after="200" w:line="300"/>
      </w:pPr>
      <w:r>
        <w:rPr>
          <w:rFonts w:ascii="Calibri" w:cs="Calibri" w:eastAsia="Calibri" w:hAnsi="Calibri"/>
          <w:b w:val="false"/>
          <w:bCs w:val="false"/>
          <w:i w:val="false"/>
          <w:iCs w:val="false"/>
          <w:color w:val="3B2E22"/>
          <w:sz w:val="22"/>
          <w:szCs w:val="22"/>
        </w:rPr>
        <w:t xml:space="preserve">Testimonio (lo que dice un NPC, sesgado por quién es y qué sabe), Patrón de evento (algo que el jugador observa por sí mismo — asimetría, regularidad, ausencia — sin que nadie se lo cuente), y Rastro físico (un detalle inspeccionable en un lugar del hub, que exige presencia física en el momento correcto del Reloj Real). Ninguna evidencia llega con etiqueta de "esto es importante" — la jerarquía la construye el jugador, no la interfaz.</w:t>
      </w:r>
    </w:p>
    <w:p>
      <w:pPr>
        <w:spacing w:after="100" w:before="200"/>
      </w:pPr>
      <w:r>
        <w:rPr>
          <w:rFonts w:ascii="Calibri" w:cs="Calibri" w:eastAsia="Calibri" w:hAnsi="Calibri"/>
          <w:b/>
          <w:bCs/>
          <w:i/>
          <w:iCs/>
          <w:color w:val="6B5B4A"/>
          <w:sz w:val="23"/>
          <w:szCs w:val="23"/>
        </w:rPr>
        <w:t xml:space="preserve">4. Cómo se obtiene evidencia</w:t>
      </w:r>
    </w:p>
    <w:p>
      <w:pPr>
        <w:spacing w:after="200" w:line="300"/>
      </w:pPr>
      <w:r>
        <w:rPr>
          <w:rFonts w:ascii="Calibri" w:cs="Calibri" w:eastAsia="Calibri" w:hAnsi="Calibri"/>
          <w:b w:val="false"/>
          <w:bCs w:val="false"/>
          <w:i w:val="false"/>
          <w:iCs w:val="false"/>
          <w:color w:val="3B2E22"/>
          <w:sz w:val="22"/>
          <w:szCs w:val="22"/>
        </w:rPr>
        <w:t xml:space="preserve">Explorando el hub, hablando con NPCs, y revisitando lugares en momentos distintos del Reloj Real — varias piezas solo existen en una franja horaria específica. No hay lista de tareas: la evidencia se acumula libremente y el jugador decide cuándo "tiene suficiente".</w:t>
      </w:r>
    </w:p>
    <w:p>
      <w:pPr>
        <w:spacing w:after="100" w:before="200"/>
      </w:pPr>
      <w:r>
        <w:rPr>
          <w:rFonts w:ascii="Calibri" w:cs="Calibri" w:eastAsia="Calibri" w:hAnsi="Calibri"/>
          <w:b/>
          <w:bCs/>
          <w:i/>
          <w:iCs/>
          <w:color w:val="6B5B4A"/>
          <w:sz w:val="23"/>
          <w:szCs w:val="23"/>
        </w:rPr>
        <w:t xml:space="preserve">5. Condición para confrontar</w:t>
      </w:r>
    </w:p>
    <w:p>
      <w:pPr>
        <w:spacing w:after="200" w:line="300"/>
      </w:pPr>
      <w:r>
        <w:rPr>
          <w:rFonts w:ascii="Calibri" w:cs="Calibri" w:eastAsia="Calibri" w:hAnsi="Calibri"/>
          <w:b w:val="false"/>
          <w:bCs w:val="false"/>
          <w:i w:val="false"/>
          <w:iCs w:val="false"/>
          <w:color w:val="3B2E22"/>
          <w:sz w:val="22"/>
          <w:szCs w:val="22"/>
        </w:rPr>
        <w:t xml:space="preserve">El jugador puede buscar y confrontar a la entidad de un caso en cualquier momento — con evidencia incompleta o nula, sin que el juego bloquee esa decisión tras un umbral de "evidencia suficiente" (eso convertiría interpretar en un trámite de checklist). No existe una acción abstracta de "Confrontar": el jugador va al lugar correspondiente e intenta el contacto, y la Confrontación solo comienza si la entidad puede manifestarse en ese momento, según el Reloj Real. Si no puede, el intento simplemente no encuentra a nadie — no hay transición de estado ni resultado.</w:t>
      </w:r>
    </w:p>
    <w:p>
      <w:pPr>
        <w:spacing w:after="100" w:before="200"/>
      </w:pPr>
      <w:r>
        <w:rPr>
          <w:rFonts w:ascii="Calibri" w:cs="Calibri" w:eastAsia="Calibri" w:hAnsi="Calibri"/>
          <w:b/>
          <w:bCs/>
          <w:i/>
          <w:iCs/>
          <w:color w:val="6B5B4A"/>
          <w:sz w:val="23"/>
          <w:szCs w:val="23"/>
        </w:rPr>
        <w:t xml:space="preserve">6. Confrontar antes de tiempo</w:t>
      </w:r>
    </w:p>
    <w:p>
      <w:pPr>
        <w:spacing w:after="200" w:line="300"/>
      </w:pPr>
      <w:r>
        <w:rPr>
          <w:rFonts w:ascii="Calibri" w:cs="Calibri" w:eastAsia="Calibri" w:hAnsi="Calibri"/>
          <w:b w:val="false"/>
          <w:bCs w:val="false"/>
          <w:i w:val="false"/>
          <w:iCs w:val="false"/>
          <w:color w:val="3B2E22"/>
          <w:sz w:val="22"/>
          <w:szCs w:val="22"/>
        </w:rPr>
        <w:t xml:space="preserve">No existe un estado de "fallo por falta de datos" distinto de una hipótesis incorrecta: presentarse con poca comprensión se trata igual que una hipótesis mal formada — el encuentro se transforma según las reglas de lo que en verdad estaba activo. Esto es distinto de intentar el contacto cuando la entidad no puede manifestarse (Regla 5), donde el encuentro ni siquiera llega a ocurrir.</w:t>
      </w:r>
    </w:p>
    <w:p>
      <w:pPr>
        <w:spacing w:after="100" w:before="200"/>
      </w:pPr>
      <w:r>
        <w:rPr>
          <w:rFonts w:ascii="Calibri" w:cs="Calibri" w:eastAsia="Calibri" w:hAnsi="Calibri"/>
          <w:b/>
          <w:bCs/>
          <w:i/>
          <w:iCs/>
          <w:color w:val="6B5B4A"/>
          <w:sz w:val="23"/>
          <w:szCs w:val="23"/>
        </w:rPr>
        <w:t xml:space="preserve">7. Comprometerse con una interpretación</w:t>
      </w:r>
    </w:p>
    <w:p>
      <w:pPr>
        <w:spacing w:after="200" w:line="300"/>
      </w:pPr>
      <w:r>
        <w:rPr>
          <w:rFonts w:ascii="Calibri" w:cs="Calibri" w:eastAsia="Calibri" w:hAnsi="Calibri"/>
          <w:b w:val="false"/>
          <w:bCs w:val="false"/>
          <w:i w:val="false"/>
          <w:iCs w:val="false"/>
          <w:color w:val="3B2E22"/>
          <w:sz w:val="22"/>
          <w:szCs w:val="22"/>
        </w:rPr>
        <w:t xml:space="preserve">El sistema no exige declarar una interpretación antes de confrontar — la interpretación emerge de las decisiones que el jugador toma durante la Confrontación misma (qué prepara, cómo se aproxima, qué dice, qué ofrece). No hay una "respuesta final" como paso o pantalla separada: comprometerse con una lectura del caso es un efecto de actuar, no una entrada previa. El mecanismo concreto con el que una acción comunica una interpretación (citar una anotación del cuaderno, elegir una réplica, un gesto ritual propio de la entidad) es decisión del Sistema de Confrontación de Ingenio, y puede variar entre entidades.</w:t>
      </w:r>
    </w:p>
    <w:p>
      <w:pPr>
        <w:spacing w:after="100" w:before="200"/>
      </w:pPr>
      <w:r>
        <w:rPr>
          <w:rFonts w:ascii="Calibri" w:cs="Calibri" w:eastAsia="Calibri" w:hAnsi="Calibri"/>
          <w:b/>
          <w:bCs/>
          <w:i/>
          <w:iCs/>
          <w:color w:val="6B5B4A"/>
          <w:sz w:val="23"/>
          <w:szCs w:val="23"/>
        </w:rPr>
        <w:t xml:space="preserve">8. Cierre de un caso</w:t>
      </w:r>
    </w:p>
    <w:p>
      <w:pPr>
        <w:spacing w:after="200" w:line="300"/>
      </w:pPr>
      <w:r>
        <w:rPr>
          <w:rFonts w:ascii="Calibri" w:cs="Calibri" w:eastAsia="Calibri" w:hAnsi="Calibri"/>
          <w:b w:val="false"/>
          <w:bCs w:val="false"/>
          <w:i w:val="false"/>
          <w:iCs w:val="false"/>
          <w:color w:val="3B2E22"/>
          <w:sz w:val="22"/>
          <w:szCs w:val="22"/>
        </w:rPr>
        <w:t xml:space="preserve">Se cierra cuando la Confrontación produce una rama de resultado terminal. El cierre siempre escribe al menos un cambio en el Estado del Mundo — nunca hay cierre neutro sin huella. Puede seguir generando evidencia y consecuencias después de cerrado, pero como semilla de un caso distinto, nunca como continuación del mismo.</w:t>
      </w:r>
    </w:p>
    <w:p>
      <w:pPr>
        <w:pStyle w:val="Heading1"/>
        <w:pBdr>
          <w:bottom w:val="single" w:color="9C4B23" w:sz="8" w:space="4"/>
        </w:pBdr>
        <w:spacing w:after="240" w:before="400"/>
      </w:pPr>
      <w:r>
        <w:rPr>
          <w:rFonts w:ascii="Calibri" w:cs="Calibri" w:eastAsia="Calibri" w:hAnsi="Calibri"/>
          <w:b/>
          <w:bCs/>
          <w:color w:val="9C4B23"/>
          <w:sz w:val="40"/>
          <w:szCs w:val="40"/>
        </w:rPr>
        <w:t xml:space="preserve">Ciclo de vida de un caso</w:t>
      </w:r>
    </w:p>
    <w:p>
      <w:pPr>
        <w:spacing w:after="160" w:line="300"/>
      </w:pPr>
      <w:r>
        <w:rPr>
          <w:rFonts w:ascii="Calibri" w:cs="Calibri" w:eastAsia="Calibri" w:hAnsi="Calibri"/>
          <w:b w:val="false"/>
          <w:bCs w:val="false"/>
          <w:i w:val="false"/>
          <w:iCs w:val="false"/>
          <w:color w:val="3B2E22"/>
          <w:sz w:val="22"/>
          <w:szCs w:val="22"/>
        </w:rPr>
        <w:t xml:space="preserve">Un caso es simple en su ciclo de vida — la complejidad vive en la evidencia y las ramas de confrontación, no en el estado del caso:</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440"/>
        <w:gridCol w:w="3060"/>
        <w:gridCol w:w="2250"/>
        <w:gridCol w:w="2250"/>
      </w:tblGrid>
      <w:tr>
        <w:trPr>
          <w:tblHeader/>
        </w:trPr>
        <w:tc>
          <w:tcPr>
            <w:tcW w:type="dxa" w:w="14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Estado</w:t>
            </w:r>
          </w:p>
        </w:tc>
        <w:tc>
          <w:tcPr>
            <w:tcW w:type="dxa" w:w="30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significa</w:t>
            </w:r>
          </w:p>
        </w:tc>
        <w:tc>
          <w:tcPr>
            <w:tcW w:type="dxa" w:w="22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Entra por</w:t>
            </w:r>
          </w:p>
        </w:tc>
        <w:tc>
          <w:tcPr>
            <w:tcW w:type="dxa" w:w="22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Sale por</w:t>
            </w:r>
          </w:p>
        </w:tc>
      </w:tr>
      <w:tr>
        <w:tc>
          <w:tcPr>
            <w:tcW w:type="dxa" w:w="14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Latente</w:t>
            </w:r>
          </w:p>
        </w:tc>
        <w:tc>
          <w:tcPr>
            <w:tcW w:type="dxa" w:w="30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fenómeno existe en el mundo (un lugar, un NPC con algo que contar) pero el jugador no lo ha tocado todavía</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Definido en el diseño del caso</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entra en contacto con su primera señal → Activo</w:t>
            </w:r>
          </w:p>
        </w:tc>
      </w:tr>
      <w:tr>
        <w:tc>
          <w:tcPr>
            <w:tcW w:type="dxa" w:w="14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Activo</w:t>
            </w:r>
          </w:p>
        </w:tc>
        <w:tc>
          <w:tcPr>
            <w:tcW w:type="dxa" w:w="30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conoce el fenómeno; puede explorar, hablar y recolectar evidencia libremente, en cualquier orden</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Primer contacto</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va al lugar correspondiente e intenta el contacto, con la evidencia que tenga, y la entidad puede manifestarse en ese momento → En Confrontación</w:t>
            </w:r>
          </w:p>
        </w:tc>
      </w:tr>
      <w:tr>
        <w:tc>
          <w:tcPr>
            <w:tcW w:type="dxa" w:w="14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En Confrontación</w:t>
            </w:r>
          </w:p>
        </w:tc>
        <w:tc>
          <w:tcPr>
            <w:tcW w:type="dxa" w:w="30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encuentro de ingenio está en curso (gobernado por el Sistema de Confrontación de Ingenio, no por este sistema)</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se compromete a confrontar</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alcanza una rama de resultado terminal → Resuelto</w:t>
            </w:r>
          </w:p>
        </w:tc>
      </w:tr>
      <w:tr>
        <w:tc>
          <w:tcPr>
            <w:tcW w:type="dxa" w:w="14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Resuelto</w:t>
            </w:r>
          </w:p>
        </w:tc>
        <w:tc>
          <w:tcPr>
            <w:tcW w:type="dxa" w:w="30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caso terminó; al menos un cambio quedó escrito en el Estado del Mundo</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Rama terminal de la Confrontación</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Estado final — no hay salida. Puede sembrar un caso nuevo (Latente), nunca reabrirse a sí mismo</w:t>
            </w:r>
          </w:p>
        </w:tc>
      </w:tr>
    </w:tbl>
    <w:p>
      <w:pPr>
        <w:pStyle w:val="ListParagraph"/>
        <w:numPr>
          <w:ilvl w:val="0"/>
          <w:numId w:val="1"/>
        </w:numPr>
        <w:spacing w:after="100" w:line="290"/>
      </w:pPr>
      <w:r>
        <w:rPr>
          <w:rFonts w:ascii="Calibri" w:cs="Calibri" w:eastAsia="Calibri" w:hAnsi="Calibri"/>
          <w:b/>
          <w:bCs/>
          <w:color w:val="9C4B23"/>
          <w:sz w:val="22"/>
          <w:szCs w:val="22"/>
        </w:rPr>
        <w:t xml:space="preserve">Nota deliberada 1 — </w:t>
      </w:r>
      <w:r>
        <w:rPr>
          <w:rFonts w:ascii="Calibri" w:cs="Calibri" w:eastAsia="Calibri" w:hAnsi="Calibri"/>
          <w:color w:val="3B2E22"/>
          <w:sz w:val="22"/>
          <w:szCs w:val="22"/>
        </w:rPr>
        <w:t xml:space="preserve">no existe un estado de "fallo por evidencia insuficiente". Confrontar con poca comprensión sigue siendo una transición normal Activo → En Confrontación; la consecuencia de ir mal preparado se resuelve dentro de la Confrontación misma.</w:t>
      </w:r>
    </w:p>
    <w:p>
      <w:pPr>
        <w:pStyle w:val="ListParagraph"/>
        <w:numPr>
          <w:ilvl w:val="0"/>
          <w:numId w:val="1"/>
        </w:numPr>
        <w:spacing w:after="100" w:line="290"/>
      </w:pPr>
      <w:r>
        <w:rPr>
          <w:rFonts w:ascii="Calibri" w:cs="Calibri" w:eastAsia="Calibri" w:hAnsi="Calibri"/>
          <w:b/>
          <w:bCs/>
          <w:color w:val="9C4B23"/>
          <w:sz w:val="22"/>
          <w:szCs w:val="22"/>
        </w:rPr>
        <w:t xml:space="preserve">Nota deliberada 2 — </w:t>
      </w:r>
      <w:r>
        <w:rPr>
          <w:rFonts w:ascii="Calibri" w:cs="Calibri" w:eastAsia="Calibri" w:hAnsi="Calibri"/>
          <w:color w:val="3B2E22"/>
          <w:sz w:val="22"/>
          <w:szCs w:val="22"/>
        </w:rPr>
        <w:t xml:space="preserve">tampoco existe una transición fallida por intentar el contacto en el momento equivocado. Si la entidad no puede manifestarse, el caso simplemente permanece Activo, sin marca de intento fallido y sin penalización.</w:t>
      </w:r>
    </w:p>
    <w:p>
      <w:pPr>
        <w:pStyle w:val="Heading1"/>
        <w:pBdr>
          <w:bottom w:val="single" w:color="9C4B23" w:sz="8" w:space="4"/>
        </w:pBdr>
        <w:spacing w:after="240" w:before="400"/>
      </w:pPr>
      <w:r>
        <w:rPr>
          <w:rFonts w:ascii="Calibri" w:cs="Calibri" w:eastAsia="Calibri" w:hAnsi="Calibri"/>
          <w:b/>
          <w:bCs/>
          <w:color w:val="9C4B23"/>
          <w:sz w:val="40"/>
          <w:szCs w:val="40"/>
        </w:rPr>
        <w:t xml:space="preserve">Cómo se conecta con otros sistemas</w:t>
      </w:r>
    </w:p>
    <w:p>
      <w:pPr>
        <w:spacing w:after="160" w:line="300"/>
      </w:pPr>
      <w:r>
        <w:rPr>
          <w:rFonts w:ascii="Calibri" w:cs="Calibri" w:eastAsia="Calibri" w:hAnsi="Calibri"/>
          <w:b w:val="false"/>
          <w:bCs w:val="false"/>
          <w:i/>
          <w:iCs/>
          <w:color w:val="6B5B4A"/>
          <w:sz w:val="20"/>
          <w:szCs w:val="20"/>
        </w:rPr>
        <w:t xml:space="preserve">Todas estas dependencias son provisionales — ninguno de los sistemas relacionados tiene GDD propio todavía, salvo el Reloj Real.</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980"/>
        <w:gridCol w:w="1620"/>
        <w:gridCol w:w="5400"/>
      </w:tblGrid>
      <w:tr>
        <w:trPr>
          <w:tblHeader/>
        </w:trPr>
        <w:tc>
          <w:tcPr>
            <w:tcW w:type="dxa" w:w="19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Sistema</w:t>
            </w:r>
          </w:p>
        </w:tc>
        <w:tc>
          <w:tcPr>
            <w:tcW w:type="dxa" w:w="162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Dirección</w:t>
            </w:r>
          </w:p>
        </w:tc>
        <w:tc>
          <w:tcPr>
            <w:tcW w:type="dxa" w:w="54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fluye</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Entidades Míticas</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Upstream</w:t>
            </w:r>
          </w:p>
        </w:tc>
        <w:tc>
          <w:tcPr>
            <w:tcW w:type="dxa" w:w="54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Provee el conocimiento disponible sobre los mitos de la región (reglas, dominios, comportamiento, señales posibles) — nunca como lista de "estas son las N hipótesis válidas de este caso". La hipótesis nace del conocimiento que el jugador ya trae consigo, enfrentado a las pistas concretas del caso.</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Testimonios / Diálogo</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Upstream</w:t>
            </w:r>
          </w:p>
        </w:tc>
        <w:tc>
          <w:tcPr>
            <w:tcW w:type="dxa" w:w="54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Fuente primaria de evidencia tipo Testimonio. El Sistema de Casos no define cómo funciona una conversación — consume fragmentos ya etiquetados por NPC y por sesgo, para que el jugador pueda evaluar la fuente.</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Reloj Real</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Upstream</w:t>
            </w:r>
          </w:p>
        </w:tc>
        <w:tc>
          <w:tcPr>
            <w:tcW w:type="dxa" w:w="54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Determina qué evidencia está disponible en cada franja horaria, cuándo ciertos lugares o testimonios son accesibles, y cuándo la entidad de un caso puede manifestarse — condición de la que depende si un intento de contacto se vuelve una Confrontación real.</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Estado del Mundo</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Upstream y downstream</w:t>
            </w:r>
          </w:p>
        </w:tc>
        <w:tc>
          <w:tcPr>
            <w:tcW w:type="dxa" w:w="54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Sistema de Casos lee el estado del mundo al nacer un caso (consecuencias previas que lo condicionan) y escribe al menos un cambio al cerrarse.</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Confrontación de Ingenio</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Downstream</w:t>
            </w:r>
          </w:p>
        </w:tc>
        <w:tc>
          <w:tcPr>
            <w:tcW w:type="dxa" w:w="54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Sistema de Casos entrega el estado de la investigación (evidencia, candidatos vivos) al iniciar la confrontación; recibe de vuelta una rama de resultado terminal que usa para cerrar el caso.</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Cuaderno del Investigador</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Downstream</w:t>
            </w:r>
          </w:p>
        </w:tc>
        <w:tc>
          <w:tcPr>
            <w:tcW w:type="dxa" w:w="54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Lee los datos de evidencia y candidatos activos para presentarlos. El Sistema de Casos no dicta cómo se visualiza — solo expone los datos.</w:t>
            </w:r>
          </w:p>
        </w:tc>
      </w:tr>
    </w:tbl>
    <w:p>
      <w:pPr>
        <w:pStyle w:val="Heading3"/>
        <w:spacing w:after="120" w:before="240"/>
      </w:pPr>
      <w:r>
        <w:rPr>
          <w:rFonts w:ascii="Calibri" w:cs="Calibri" w:eastAsia="Calibri" w:hAnsi="Calibri"/>
          <w:b/>
          <w:bCs/>
          <w:color w:val="9C4B23"/>
          <w:sz w:val="25"/>
          <w:szCs w:val="25"/>
        </w:rPr>
        <w:t xml:space="preserve">Clasificación de dependencias (para arquitectura)</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340"/>
        <w:gridCol w:w="1080"/>
        <w:gridCol w:w="5580"/>
      </w:tblGrid>
      <w:tr>
        <w:trPr>
          <w:tblHeader/>
        </w:trPr>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Sistema</w:t>
            </w:r>
          </w:p>
        </w:tc>
        <w:tc>
          <w:tcPr>
            <w:tcW w:type="dxa" w:w="10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Tipo</w:t>
            </w:r>
          </w:p>
        </w:tc>
        <w:tc>
          <w:tcPr>
            <w:tcW w:type="dxa" w:w="55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Por qué</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Entidades Míticas</w:t>
            </w:r>
          </w:p>
        </w:tc>
        <w:tc>
          <w:tcPr>
            <w:tcW w:type="dxa" w:w="10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Hard</w:t>
            </w:r>
          </w:p>
        </w:tc>
        <w:tc>
          <w:tcPr>
            <w:tcW w:type="dxa" w:w="55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caso necesita el conocimiento y las reglas del mito involucrado para que su evidencia y su confrontación tengan significado.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Reloj Real</w:t>
            </w:r>
          </w:p>
        </w:tc>
        <w:tc>
          <w:tcPr>
            <w:tcW w:type="dxa" w:w="10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Hard</w:t>
            </w:r>
          </w:p>
        </w:tc>
        <w:tc>
          <w:tcPr>
            <w:tcW w:type="dxa" w:w="55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Regla 4 ata la disponibilidad de evidencia a la hora, y la Regla 5 ata la manifestación misma de la entidad al Reloj Real.</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Estado del Mundo</w:t>
            </w:r>
          </w:p>
        </w:tc>
        <w:tc>
          <w:tcPr>
            <w:tcW w:type="dxa" w:w="10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Hard</w:t>
            </w:r>
          </w:p>
        </w:tc>
        <w:tc>
          <w:tcPr>
            <w:tcW w:type="dxa" w:w="55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Regla 8 exige escribir al menos un cambio al cerrar un caso — sin este sistema, el Pilar 4 es imposible de cumplir.</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Confrontación de Ingenio</w:t>
            </w:r>
          </w:p>
        </w:tc>
        <w:tc>
          <w:tcPr>
            <w:tcW w:type="dxa" w:w="10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Hard</w:t>
            </w:r>
          </w:p>
        </w:tc>
        <w:tc>
          <w:tcPr>
            <w:tcW w:type="dxa" w:w="55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caso no puede completar su ciclo de vida (Activo → Resuelto) sin recibir una rama de resultado terminal de este sistema.</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Testimonios / Diálogo</w:t>
            </w:r>
          </w:p>
        </w:tc>
        <w:tc>
          <w:tcPr>
            <w:tcW w:type="dxa" w:w="10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Soft</w:t>
            </w:r>
          </w:p>
        </w:tc>
        <w:tc>
          <w:tcPr>
            <w:tcW w:type="dxa" w:w="55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 dependencia real es hacia la existencia de evidencia, no hacia un tipo concreto. Los casos del MVP usan mucho testimonio por decisión de contenido, no por restricción del sistema.</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Cuaderno del Investigador</w:t>
            </w:r>
          </w:p>
        </w:tc>
        <w:tc>
          <w:tcPr>
            <w:tcW w:type="dxa" w:w="10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Soft</w:t>
            </w:r>
          </w:p>
        </w:tc>
        <w:tc>
          <w:tcPr>
            <w:tcW w:type="dxa" w:w="55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Es presentación pura — el Sistema de Casos puede funcionar sin ninguna interfaz que lo muestre.</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El único invariante (no hay fórmulas numéricas, y es a propósito)</w:t>
      </w:r>
    </w:p>
    <w:p>
      <w:pPr>
        <w:spacing w:after="160" w:line="300"/>
      </w:pPr>
      <w:r>
        <w:rPr>
          <w:rFonts w:ascii="Calibri" w:cs="Calibri" w:eastAsia="Calibri" w:hAnsi="Calibri"/>
          <w:b w:val="false"/>
          <w:bCs w:val="false"/>
          <w:i w:val="false"/>
          <w:iCs w:val="false"/>
          <w:color w:val="3B2E22"/>
          <w:sz w:val="22"/>
          <w:szCs w:val="22"/>
        </w:rPr>
        <w:t xml:space="preserve">Este sistema no expone fórmulas de runtime por diseño — la Regla 5 (sin umbral de "evidencia suficiente") y la protección de la Player Fantasy (sin estado numérico de hipótesis) prohíben explícitamente el tipo de fórmula que normalmente vive en esta sección (daño, XP, probabilidad, puntaje de sospecha). Introducir una convertiría el proceso mental del jugador en un widget medible — exactamente lo que el diseño rechaza.</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Invariante de interpretaciones defendibles</w:t>
            </w:r>
          </w:p>
          <w:p>
            <w:pPr>
              <w:spacing w:after="0" w:line="290"/>
            </w:pPr>
            <w:r>
              <w:rPr>
                <w:rFonts w:ascii="Calibri" w:cs="Calibri" w:eastAsia="Calibri" w:hAnsi="Calibri"/>
                <w:i/>
                <w:iCs/>
                <w:color w:val="3B2E22"/>
                <w:sz w:val="22"/>
                <w:szCs w:val="22"/>
              </w:rPr>
              <w:t xml:space="preserve">Toda interpretación que un caso pretenda sostener como candidato viable debe poder ser defendida por un jugador razonable a partir de la evidencia disponible, y toda interpretación — incluida la correcta — debe contener al menos un elemento que permita cuestionarla. Ninguna interpretación puede ser trivialmente inevitable (se vuelve "la respuesta obvia") ni trivialmente descartable antes de la Confrontación.</w:t>
            </w:r>
          </w:p>
        </w:tc>
      </w:tr>
    </w:tbl>
    <w:p>
      <w:pPr>
        <w:spacing w:after="120"/>
      </w:pPr>
    </w:p>
    <w:p>
      <w:pPr>
        <w:spacing w:after="160" w:line="300"/>
      </w:pPr>
      <w:r>
        <w:rPr>
          <w:rFonts w:ascii="Calibri" w:cs="Calibri" w:eastAsia="Calibri" w:hAnsi="Calibri"/>
          <w:b w:val="false"/>
          <w:bCs w:val="false"/>
          <w:i w:val="false"/>
          <w:iCs w:val="false"/>
          <w:color w:val="3B2E22"/>
          <w:sz w:val="22"/>
          <w:szCs w:val="22"/>
        </w:rPr>
        <w:t xml:space="preserve">No se verifica contando piezas de evidencia — se verifica preguntando, durante la autoría del caso: ¿un jugador razonable podría construir y defender esta lectura con lo que el caso ofrece? ¿Y también podría dudar de ella? Esto se comprueba caso por caso durante su diseño y revisión, no en el motor — es, por naturaleza, un criterio de juicio de diseño, no un chequeo automatizable.</w:t>
      </w:r>
    </w:p>
    <w:p>
      <w:pPr>
        <w:pStyle w:val="Heading1"/>
        <w:pBdr>
          <w:bottom w:val="single" w:color="9C4B23" w:sz="8" w:space="4"/>
        </w:pBdr>
        <w:spacing w:after="240" w:before="400"/>
      </w:pPr>
      <w:r>
        <w:rPr>
          <w:rFonts w:ascii="Calibri" w:cs="Calibri" w:eastAsia="Calibri" w:hAnsi="Calibri"/>
          <w:b/>
          <w:bCs/>
          <w:color w:val="9C4B23"/>
          <w:sz w:val="40"/>
          <w:szCs w:val="40"/>
        </w:rPr>
        <w:t xml:space="preserve">Casos límite</w:t>
      </w:r>
    </w:p>
    <w:p>
      <w:pPr>
        <w:pStyle w:val="ListParagraph"/>
        <w:numPr>
          <w:ilvl w:val="0"/>
          <w:numId w:val="1"/>
        </w:numPr>
        <w:spacing w:after="100" w:line="290"/>
      </w:pPr>
      <w:r>
        <w:rPr>
          <w:rFonts w:ascii="Calibri" w:cs="Calibri" w:eastAsia="Calibri" w:hAnsi="Calibri"/>
          <w:b/>
          <w:bCs/>
          <w:color w:val="9C4B23"/>
          <w:sz w:val="22"/>
          <w:szCs w:val="22"/>
        </w:rPr>
        <w:t xml:space="preserve">El jugador no interviene durante mucho tiempo — </w:t>
      </w:r>
      <w:r>
        <w:rPr>
          <w:rFonts w:ascii="Calibri" w:cs="Calibri" w:eastAsia="Calibri" w:hAnsi="Calibri"/>
          <w:color w:val="3B2E22"/>
          <w:sz w:val="22"/>
          <w:szCs w:val="22"/>
        </w:rPr>
        <w:t xml:space="preserve">el mundo continúa su curso y el conflicto se resuelve sin su participación — por defecto, con el peor desenlace evitable, aunque un caso concreto puede definir otro resultado. El jugador se entera por cambios visibles en el pueblo y testimonios posteriores, nunca por una notificación de "misión fallida".</w:t>
      </w:r>
    </w:p>
    <w:p>
      <w:pPr>
        <w:pStyle w:val="ListParagraph"/>
        <w:numPr>
          <w:ilvl w:val="0"/>
          <w:numId w:val="1"/>
        </w:numPr>
        <w:spacing w:after="100" w:line="290"/>
      </w:pPr>
      <w:r>
        <w:rPr>
          <w:rFonts w:ascii="Calibri" w:cs="Calibri" w:eastAsia="Calibri" w:hAnsi="Calibri"/>
          <w:b/>
          <w:bCs/>
          <w:color w:val="9C4B23"/>
          <w:sz w:val="22"/>
          <w:szCs w:val="22"/>
        </w:rPr>
        <w:t xml:space="preserve">El jugador confronta con cero evidencia — </w:t>
      </w:r>
      <w:r>
        <w:rPr>
          <w:rFonts w:ascii="Calibri" w:cs="Calibri" w:eastAsia="Calibri" w:hAnsi="Calibri"/>
          <w:color w:val="3B2E22"/>
          <w:sz w:val="22"/>
          <w:szCs w:val="22"/>
        </w:rPr>
        <w:t xml:space="preserve">se trata como la hipótesis menos informada posible — el encuentro procede y se transforma según cuál candidato sea realmente el activo. No existe un estado separado de "intento a ciegas".</w:t>
      </w:r>
    </w:p>
    <w:p>
      <w:pPr>
        <w:pStyle w:val="ListParagraph"/>
        <w:numPr>
          <w:ilvl w:val="0"/>
          <w:numId w:val="1"/>
        </w:numPr>
        <w:spacing w:after="100" w:line="290"/>
      </w:pPr>
      <w:r>
        <w:rPr>
          <w:rFonts w:ascii="Calibri" w:cs="Calibri" w:eastAsia="Calibri" w:hAnsi="Calibri"/>
          <w:b/>
          <w:bCs/>
          <w:color w:val="9C4B23"/>
          <w:sz w:val="22"/>
          <w:szCs w:val="22"/>
        </w:rPr>
        <w:t xml:space="preserve">El jugador intenta el contacto pero la entidad no puede manifestarse en ese momento — </w:t>
      </w:r>
      <w:r>
        <w:rPr>
          <w:rFonts w:ascii="Calibri" w:cs="Calibri" w:eastAsia="Calibri" w:hAnsi="Calibri"/>
          <w:color w:val="3B2E22"/>
          <w:sz w:val="22"/>
          <w:szCs w:val="22"/>
        </w:rPr>
        <w:t xml:space="preserve">no ocurre ninguna Confrontación, no hay transición de estado ni consecuencia narrativa de fallo. Puede volver a intentarlo después sin penalización.</w:t>
      </w:r>
    </w:p>
    <w:p>
      <w:pPr>
        <w:pStyle w:val="ListParagraph"/>
        <w:numPr>
          <w:ilvl w:val="0"/>
          <w:numId w:val="1"/>
        </w:numPr>
        <w:spacing w:after="100" w:line="290"/>
      </w:pPr>
      <w:r>
        <w:rPr>
          <w:rFonts w:ascii="Calibri" w:cs="Calibri" w:eastAsia="Calibri" w:hAnsi="Calibri"/>
          <w:b/>
          <w:bCs/>
          <w:color w:val="9C4B23"/>
          <w:sz w:val="22"/>
          <w:szCs w:val="22"/>
        </w:rPr>
        <w:t xml:space="preserve">Una misma evidencia es relevante para 2+ casos activos — </w:t>
      </w:r>
      <w:r>
        <w:rPr>
          <w:rFonts w:ascii="Calibri" w:cs="Calibri" w:eastAsia="Calibri" w:hAnsi="Calibri"/>
          <w:color w:val="3B2E22"/>
          <w:sz w:val="22"/>
          <w:szCs w:val="22"/>
        </w:rPr>
        <w:t xml:space="preserve">se registra como válida para todos los casos a los que aplica — no hay restricción de "una pista, un caso".</w:t>
      </w:r>
    </w:p>
    <w:p>
      <w:pPr>
        <w:pStyle w:val="ListParagraph"/>
        <w:numPr>
          <w:ilvl w:val="0"/>
          <w:numId w:val="1"/>
        </w:numPr>
        <w:spacing w:after="100" w:line="290"/>
      </w:pPr>
      <w:r>
        <w:rPr>
          <w:rFonts w:ascii="Calibri" w:cs="Calibri" w:eastAsia="Calibri" w:hAnsi="Calibri"/>
          <w:b/>
          <w:bCs/>
          <w:color w:val="9C4B23"/>
          <w:sz w:val="22"/>
          <w:szCs w:val="22"/>
        </w:rPr>
        <w:t xml:space="preserve">Se recolecta evidencia nueva para un caso ya Resuelto — </w:t>
      </w:r>
      <w:r>
        <w:rPr>
          <w:rFonts w:ascii="Calibri" w:cs="Calibri" w:eastAsia="Calibri" w:hAnsi="Calibri"/>
          <w:color w:val="3B2E22"/>
          <w:sz w:val="22"/>
          <w:szCs w:val="22"/>
        </w:rPr>
        <w:t xml:space="preserve">no tiene efecto sobre el caso cerrado — solo puede convertirse en evidencia de un caso nuevo si el diseño de contenido la reutiliza explícitamente con ese propósito.</w:t>
      </w:r>
    </w:p>
    <w:p>
      <w:pPr>
        <w:pStyle w:val="ListParagraph"/>
        <w:numPr>
          <w:ilvl w:val="0"/>
          <w:numId w:val="1"/>
        </w:numPr>
        <w:spacing w:after="100" w:line="290"/>
      </w:pPr>
      <w:r>
        <w:rPr>
          <w:rFonts w:ascii="Calibri" w:cs="Calibri" w:eastAsia="Calibri" w:hAnsi="Calibri"/>
          <w:b/>
          <w:bCs/>
          <w:color w:val="9C4B23"/>
          <w:sz w:val="22"/>
          <w:szCs w:val="22"/>
        </w:rPr>
        <w:t xml:space="preserve">Un caso es la reaparición de una entidad ya confrontada antes — </w:t>
      </w:r>
      <w:r>
        <w:rPr>
          <w:rFonts w:ascii="Calibri" w:cs="Calibri" w:eastAsia="Calibri" w:hAnsi="Calibri"/>
          <w:color w:val="3B2E22"/>
          <w:sz w:val="22"/>
          <w:szCs w:val="22"/>
        </w:rPr>
        <w:t xml:space="preserve">el sistema nunca reduce ni elimina candidatos de confusión por el hecho de que el jugador "ya conoce" esa entidad — el conocimiento previo puede ayudarlo o desorientarlo, por diseño.</w:t>
      </w:r>
    </w:p>
    <w:p>
      <w:pPr>
        <w:pStyle w:val="ListParagraph"/>
        <w:numPr>
          <w:ilvl w:val="0"/>
          <w:numId w:val="1"/>
        </w:numPr>
        <w:spacing w:after="100" w:line="290"/>
      </w:pPr>
      <w:r>
        <w:rPr>
          <w:rFonts w:ascii="Calibri" w:cs="Calibri" w:eastAsia="Calibri" w:hAnsi="Calibri"/>
          <w:b/>
          <w:bCs/>
          <w:color w:val="9C4B23"/>
          <w:sz w:val="22"/>
          <w:szCs w:val="22"/>
        </w:rPr>
        <w:t xml:space="preserve">Un candidato queda trivialmente inevitable o descartable — </w:t>
      </w:r>
      <w:r>
        <w:rPr>
          <w:rFonts w:ascii="Calibri" w:cs="Calibri" w:eastAsia="Calibri" w:hAnsi="Calibri"/>
          <w:color w:val="3B2E22"/>
          <w:sz w:val="22"/>
          <w:szCs w:val="22"/>
        </w:rPr>
        <w:t xml:space="preserve">esto es un fallo de autoría, no un estado válido de runtime — el caso debe rediseñarse antes de aprobarse.</w:t>
      </w:r>
    </w:p>
    <w:p>
      <w:pPr>
        <w:pStyle w:val="Heading1"/>
        <w:pBdr>
          <w:bottom w:val="single" w:color="9C4B23" w:sz="8" w:space="4"/>
        </w:pBdr>
        <w:spacing w:after="240" w:before="400"/>
      </w:pPr>
      <w:r>
        <w:rPr>
          <w:rFonts w:ascii="Calibri" w:cs="Calibri" w:eastAsia="Calibri" w:hAnsi="Calibri"/>
          <w:b/>
          <w:bCs/>
          <w:color w:val="9C4B23"/>
          <w:sz w:val="40"/>
          <w:szCs w:val="40"/>
        </w:rPr>
        <w:t xml:space="preserve">Parámetros que hay que calibrar (Tuning Knobs)</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980"/>
        <w:gridCol w:w="2340"/>
        <w:gridCol w:w="2340"/>
        <w:gridCol w:w="2340"/>
      </w:tblGrid>
      <w:tr>
        <w:trPr>
          <w:tblHeader/>
        </w:trPr>
        <w:tc>
          <w:tcPr>
            <w:tcW w:type="dxa" w:w="19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Parámetro</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controla</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Si se pone muy bajo</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Si se pone muy alto</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Cantidad de evidencia por caso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Cuántas piezas de evidencia total tiene un caso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Imposible cumplir el invariante de interpretaciones defendibles — algún candidato queda sin soporte o sin contradicción</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Sobrecarga cognitiva; diluye la señal real entre ruido</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Cobertura de familias de evidencia</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Cuántas de las 3 familias participan en un caso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Con 1 sola familia, las otras 2 se vuelven decorativas en ese caso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hay techo — forzar las 3 familias en cada pista individual es artificial; la cobertura se mide a nivel de caso</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Ritmo de evolución del caso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Cuándo y cómo cambia el mundo sin esperar al jugador</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Las consecuencias nunca se sienten reales a tiempo — el mundo parece estático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siente arbitrario y castiga a quien explora a su propio ritmo</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Ambigüedad del caso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Cuántas interpretaciones plausibles puede sostener el contenido diseñado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Pocas interpretaciones → la deducción se siente obvia</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Demasiadas interpretaciones → sobrecarga que ahoga la fantasía de sostener sospechas</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Ventanas horarias de evidencia</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Cuánto dura la franja del Reloj Real en que una pista está disponible</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Fuerza backtracking repetitivo que se siente como tarea, no descubrimiento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Vacía de sentido al Reloj Real como eje de diseño</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Grado de contradicción entre evidencias</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Cuánto se desafían entre sí las piezas de evidencia</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caso se siente obvio, sin tensión interpretativa real</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siente que el caso es arbitrario y no puede construir una interpretación defendible</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Reglas de arte y sonido heredadas del Art Bible</w:t>
      </w:r>
    </w:p>
    <w:p>
      <w:pPr>
        <w:spacing w:after="160" w:line="300"/>
      </w:pPr>
      <w:r>
        <w:rPr>
          <w:rFonts w:ascii="Calibri" w:cs="Calibri" w:eastAsia="Calibri" w:hAnsi="Calibri"/>
          <w:b w:val="false"/>
          <w:bCs w:val="false"/>
          <w:i w:val="false"/>
          <w:iCs w:val="false"/>
          <w:color w:val="3B2E22"/>
          <w:sz w:val="22"/>
          <w:szCs w:val="22"/>
        </w:rPr>
        <w:t xml:space="preserve">El Sistema de Casos no tiene lenguaje visual/sonoro propio. Toma prestado el del Art Bible y añade dos reglas estructurales: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Ningún evento de este sistema (nueva evidencia, cambio de estado, resolución) puede generar una señal exclusiva de sí mismo en el mundo. Si una señal solo suena o aparece cuando algo "importa", ya viola el Principio 1, sin importar cuán discreta sea.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El mundo nunca confirma ni desmiente una interpretación por sí mismo. Todo cambio debe ser consistente con múltiples lecturas hasta que el jugador decida confrontar. Incluso después de resolver, el mundo muestra consecuencias, no un veredicto.</w:t>
      </w:r>
    </w:p>
    <w:p>
      <w:pPr>
        <w:pStyle w:val="Heading3"/>
        <w:spacing w:after="120" w:before="240"/>
      </w:pPr>
      <w:r>
        <w:rPr>
          <w:rFonts w:ascii="Calibri" w:cs="Calibri" w:eastAsia="Calibri" w:hAnsi="Calibri"/>
          <w:b/>
          <w:bCs/>
          <w:color w:val="9C4B23"/>
          <w:sz w:val="25"/>
          <w:szCs w:val="25"/>
        </w:rPr>
        <w:t xml:space="preserve">Feedback de eventos del sistema</w:t>
      </w:r>
    </w:p>
    <w:p>
      <w:pPr>
        <w:pStyle w:val="ListParagraph"/>
        <w:numPr>
          <w:ilvl w:val="0"/>
          <w:numId w:val="1"/>
        </w:numPr>
        <w:spacing w:after="100" w:line="290"/>
      </w:pPr>
      <w:r>
        <w:rPr>
          <w:rFonts w:ascii="Calibri" w:cs="Calibri" w:eastAsia="Calibri" w:hAnsi="Calibri"/>
          <w:b/>
          <w:bCs/>
          <w:color w:val="9C4B23"/>
          <w:sz w:val="22"/>
          <w:szCs w:val="22"/>
        </w:rPr>
        <w:t xml:space="preserve">Nueva evidencia obtenida — </w:t>
      </w:r>
      <w:r>
        <w:rPr>
          <w:rFonts w:ascii="Calibri" w:cs="Calibri" w:eastAsia="Calibri" w:hAnsi="Calibri"/>
          <w:color w:val="3B2E22"/>
          <w:sz w:val="22"/>
          <w:szCs w:val="22"/>
        </w:rPr>
        <w:t xml:space="preserve">cero feedback especial en el mundo — ni sonido, ni animación, ni cambio de luz. La confirmación de que algo quedó registrado vive únicamente en el Cuaderno, consultado por decisión propia del jugador.</w:t>
      </w:r>
    </w:p>
    <w:p>
      <w:pPr>
        <w:pStyle w:val="ListParagraph"/>
        <w:numPr>
          <w:ilvl w:val="0"/>
          <w:numId w:val="1"/>
        </w:numPr>
        <w:spacing w:after="100" w:line="290"/>
      </w:pPr>
      <w:r>
        <w:rPr>
          <w:rFonts w:ascii="Calibri" w:cs="Calibri" w:eastAsia="Calibri" w:hAnsi="Calibri"/>
          <w:b/>
          <w:bCs/>
          <w:color w:val="9C4B23"/>
          <w:sz w:val="22"/>
          <w:szCs w:val="22"/>
        </w:rPr>
        <w:t xml:space="preserve">Caso Latente → Activo — </w:t>
      </w:r>
      <w:r>
        <w:rPr>
          <w:rFonts w:ascii="Calibri" w:cs="Calibri" w:eastAsia="Calibri" w:hAnsi="Calibri"/>
          <w:color w:val="3B2E22"/>
          <w:sz w:val="22"/>
          <w:szCs w:val="22"/>
        </w:rPr>
        <w:t xml:space="preserve">sin anuncio, pantalla o marcador. El único rastro es una entrada nueva en el cuaderno.</w:t>
      </w:r>
    </w:p>
    <w:p>
      <w:pPr>
        <w:pStyle w:val="ListParagraph"/>
        <w:numPr>
          <w:ilvl w:val="0"/>
          <w:numId w:val="1"/>
        </w:numPr>
        <w:spacing w:after="100" w:line="290"/>
      </w:pPr>
      <w:r>
        <w:rPr>
          <w:rFonts w:ascii="Calibri" w:cs="Calibri" w:eastAsia="Calibri" w:hAnsi="Calibri"/>
          <w:b/>
          <w:bCs/>
          <w:color w:val="9C4B23"/>
          <w:sz w:val="22"/>
          <w:szCs w:val="22"/>
        </w:rPr>
        <w:t xml:space="preserve">Caso Resuelto — </w:t>
      </w:r>
      <w:r>
        <w:rPr>
          <w:rFonts w:ascii="Calibri" w:cs="Calibri" w:eastAsia="Calibri" w:hAnsi="Calibri"/>
          <w:color w:val="3B2E22"/>
          <w:sz w:val="22"/>
          <w:szCs w:val="22"/>
        </w:rPr>
        <w:t xml:space="preserve">nunca se anuncia como evento — se descubre exclusivamente por el cambio permanente que queda en el Estado del Mundo. Ningún resultado, favorable o desfavorable, usa iconografía de victoria/derrota.</w:t>
      </w:r>
    </w:p>
    <w:p>
      <w:pPr>
        <w:pStyle w:val="Heading3"/>
        <w:spacing w:after="120" w:before="240"/>
      </w:pPr>
      <w:r>
        <w:rPr>
          <w:rFonts w:ascii="Calibri" w:cs="Calibri" w:eastAsia="Calibri" w:hAnsi="Calibri"/>
          <w:b/>
          <w:bCs/>
          <w:color w:val="9C4B23"/>
          <w:sz w:val="25"/>
          <w:szCs w:val="25"/>
        </w:rPr>
        <w:t xml:space="preserve">Restricciones de estilo que aplican aquí</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Ninguna pieza de evidencia recibe brillo, contorno, color especial o cambio de luz selectivo.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Ningún evento de caso puede disparar un cambio de iluminación o ambiente propio — los únicos cambios de luz permitidos son ambientales y uniformes, gobernados por el Reloj Real.</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Ningún evento de caso puede disparar un cambio o cue musical propio.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La dirección de voz no diferencia una línea de Testimonio relevante de una línea de relleno.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La resolución de un caso se expresa solo como alteración material del mundo (niebla, humo, luz filtrada, desaturación, cambio de rutina) — nunca como iconografía de fracaso/éxito, y nunca como un veredicto explícito.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Cualquier feedback de UI de este sistema usa la paleta de papel/tinta del Art Bible — nunca los colores cargados de significado del mundo.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La UI de este sistema no usa color para decir "correcto/incorrecto".</w:t>
      </w:r>
    </w:p>
    <w:p>
      <w:pPr>
        <w:pStyle w:val="Heading1"/>
        <w:pBdr>
          <w:bottom w:val="single" w:color="9C4B23" w:sz="8" w:space="4"/>
        </w:pBdr>
        <w:spacing w:after="240" w:before="400"/>
      </w:pPr>
      <w:r>
        <w:rPr>
          <w:rFonts w:ascii="Calibri" w:cs="Calibri" w:eastAsia="Calibri" w:hAnsi="Calibri"/>
          <w:b/>
          <w:bCs/>
          <w:color w:val="9C4B23"/>
          <w:sz w:val="40"/>
          <w:szCs w:val="40"/>
        </w:rPr>
        <w:t xml:space="preserve">El Cuaderno del Investigador: qué debe hacer y qué nunca debe hacer</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Principio rector</w:t>
            </w:r>
          </w:p>
          <w:p>
            <w:pPr>
              <w:spacing w:after="0" w:line="290"/>
            </w:pPr>
            <w:r>
              <w:rPr>
                <w:rFonts w:ascii="Calibri" w:cs="Calibri" w:eastAsia="Calibri" w:hAnsi="Calibri"/>
                <w:i/>
                <w:iCs/>
                <w:color w:val="3B2E22"/>
                <w:sz w:val="22"/>
                <w:szCs w:val="22"/>
              </w:rPr>
              <w:t xml:space="preserve">El Cuaderno REGISTRA y REORGANIZA, pero nunca CONCLUYE, PUNTÚA ni PRIORIZA. Una "pizarra de sospechosos" está prohibida porque sintetiza (conecta evidencia→culpable, mide certeza, ordena hipótesis); un cuaderno fiel solo presenta material crudo en forma navegable y deja que la reorganización sea trabajo cognitivo del jugador — esa reorganización ES la deducción.</w:t>
            </w:r>
          </w:p>
        </w:tc>
      </w:tr>
    </w:tbl>
    <w:p>
      <w:pPr>
        <w:spacing w:after="120"/>
      </w:pPr>
    </w:p>
    <w:p>
      <w:pPr>
        <w:pStyle w:val="Heading3"/>
        <w:spacing w:after="120" w:before="240"/>
      </w:pPr>
      <w:r>
        <w:rPr>
          <w:rFonts w:ascii="Calibri" w:cs="Calibri" w:eastAsia="Calibri" w:hAnsi="Calibri"/>
          <w:b/>
          <w:bCs/>
          <w:color w:val="9C4B23"/>
          <w:sz w:val="25"/>
          <w:szCs w:val="25"/>
        </w:rPr>
        <w:t xml:space="preserve">Qué muestra de un caso activo</w:t>
      </w:r>
    </w:p>
    <w:p>
      <w:pPr>
        <w:spacing w:after="160" w:line="300"/>
      </w:pPr>
      <w:r>
        <w:rPr>
          <w:rFonts w:ascii="Calibri" w:cs="Calibri" w:eastAsia="Calibri" w:hAnsi="Calibri"/>
          <w:b w:val="false"/>
          <w:bCs w:val="false"/>
          <w:i w:val="false"/>
          <w:iCs w:val="false"/>
          <w:color w:val="3B2E22"/>
          <w:sz w:val="22"/>
          <w:szCs w:val="22"/>
        </w:rPr>
        <w:t xml:space="preserve">Eje primario: por caso. Cada caso es una sección con su propia firma cultural. Se muestra el conjunto de anotaciones recogidas, nunca un "estado de resolución". La unidad es la anotación atómica: cada Testimonio, Patrón o Rastro es una entrada tal como quedó registrada, en voz del investigador, con su contexto de adquisición (dónde, cuándo, de quién) y su familia (organizativo, no evaluativo).</w:t>
      </w:r>
    </w:p>
    <w:p>
      <w:pPr>
        <w:spacing w:after="160" w:line="300"/>
      </w:pPr>
      <w:r>
        <w:rPr>
          <w:rFonts w:ascii="Calibri" w:cs="Calibri" w:eastAsia="Calibri" w:hAnsi="Calibri"/>
          <w:b w:val="false"/>
          <w:bCs w:val="false"/>
          <w:i w:val="false"/>
          <w:iCs w:val="false"/>
          <w:color w:val="3B2E22"/>
          <w:sz w:val="22"/>
          <w:szCs w:val="22"/>
        </w:rPr>
        <w:t xml:space="preserve">Tres lentes sobre la misma evidencia, reordenamientos que nunca concluyen nada:</w:t>
      </w:r>
    </w:p>
    <w:p>
      <w:pPr>
        <w:pStyle w:val="ListParagraph"/>
        <w:numPr>
          <w:ilvl w:val="0"/>
          <w:numId w:val="1"/>
        </w:numPr>
        <w:spacing w:after="100" w:line="290"/>
      </w:pPr>
      <w:r>
        <w:rPr>
          <w:rFonts w:ascii="Calibri" w:cs="Calibri" w:eastAsia="Calibri" w:hAnsi="Calibri"/>
          <w:b/>
          <w:bCs/>
          <w:color w:val="9C4B23"/>
          <w:sz w:val="22"/>
          <w:szCs w:val="22"/>
        </w:rPr>
        <w:t xml:space="preserve">Cronológica — </w:t>
      </w:r>
      <w:r>
        <w:rPr>
          <w:rFonts w:ascii="Calibri" w:cs="Calibri" w:eastAsia="Calibri" w:hAnsi="Calibri"/>
          <w:color w:val="3B2E22"/>
          <w:sz w:val="22"/>
          <w:szCs w:val="22"/>
        </w:rPr>
        <w:t xml:space="preserve">orden en que se recogió — vista por defecto.</w:t>
      </w:r>
    </w:p>
    <w:p>
      <w:pPr>
        <w:pStyle w:val="ListParagraph"/>
        <w:numPr>
          <w:ilvl w:val="0"/>
          <w:numId w:val="1"/>
        </w:numPr>
        <w:spacing w:after="100" w:line="290"/>
      </w:pPr>
      <w:r>
        <w:rPr>
          <w:rFonts w:ascii="Calibri" w:cs="Calibri" w:eastAsia="Calibri" w:hAnsi="Calibri"/>
          <w:b/>
          <w:bCs/>
          <w:color w:val="9C4B23"/>
          <w:sz w:val="22"/>
          <w:szCs w:val="22"/>
        </w:rPr>
        <w:t xml:space="preserve">Por familia — </w:t>
      </w:r>
      <w:r>
        <w:rPr>
          <w:rFonts w:ascii="Calibri" w:cs="Calibri" w:eastAsia="Calibri" w:hAnsi="Calibri"/>
          <w:color w:val="3B2E22"/>
          <w:sz w:val="22"/>
          <w:szCs w:val="22"/>
        </w:rPr>
        <w:t xml:space="preserve">Testimonio / Patrón / Rastro — agrupación neutra.</w:t>
      </w:r>
    </w:p>
    <w:p>
      <w:pPr>
        <w:pStyle w:val="ListParagraph"/>
        <w:numPr>
          <w:ilvl w:val="0"/>
          <w:numId w:val="1"/>
        </w:numPr>
        <w:spacing w:after="100" w:line="290"/>
      </w:pPr>
      <w:r>
        <w:rPr>
          <w:rFonts w:ascii="Calibri" w:cs="Calibri" w:eastAsia="Calibri" w:hAnsi="Calibri"/>
          <w:b/>
          <w:bCs/>
          <w:color w:val="9C4B23"/>
          <w:sz w:val="22"/>
          <w:szCs w:val="22"/>
        </w:rPr>
        <w:t xml:space="preserve">Índice de menciones — </w:t>
      </w:r>
      <w:r>
        <w:rPr>
          <w:rFonts w:ascii="Calibri" w:cs="Calibri" w:eastAsia="Calibri" w:hAnsi="Calibri"/>
          <w:color w:val="3B2E22"/>
          <w:sz w:val="22"/>
          <w:szCs w:val="22"/>
        </w:rPr>
        <w:t xml:space="preserve">lista plana de todo nombre/lugar anotado, con enlaces a las entradas donde aparece. Es un índice de libro, no un roster de sospechosos: incluye a todos, sin jerarquía, sin checkbox, sin marca de "descartado/sospechoso".</w:t>
      </w:r>
    </w:p>
    <w:p>
      <w:pPr>
        <w:pStyle w:val="Heading3"/>
        <w:spacing w:after="120" w:before="240"/>
      </w:pPr>
      <w:r>
        <w:rPr>
          <w:rFonts w:ascii="Calibri" w:cs="Calibri" w:eastAsia="Calibri" w:hAnsi="Calibri"/>
          <w:b/>
          <w:bCs/>
          <w:color w:val="9C4B23"/>
          <w:sz w:val="25"/>
          <w:szCs w:val="25"/>
        </w:rPr>
        <w:t xml:space="preserve">Prohibiciones duras (tan importantes como los requisitos positivos)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Sin etiqueta de importancia/prioridad en ninguna anotación.</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Sin medidor de progreso ("3/5 pistas") — implicaría un umbral fijo, violando la Regla 5.</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Sin estado por evidencia (resuelto/pendiente).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Sin barra de certeza, ranking de hipótesis ni lista de sospechosos con indicadores.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Sin "conexiones sugeridas" o conclusiones autogeneradas.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Sin color correcto/incorrecto — el acento Cobre es jerárquico/estético, nunca semántico de verdad.</w:t>
      </w:r>
    </w:p>
    <w:p>
      <w:pPr>
        <w:pStyle w:val="Heading3"/>
        <w:spacing w:after="120" w:before="240"/>
      </w:pPr>
      <w:r>
        <w:rPr>
          <w:rFonts w:ascii="Calibri" w:cs="Calibri" w:eastAsia="Calibri" w:hAnsi="Calibri"/>
          <w:b/>
          <w:bCs/>
          <w:color w:val="9C4B23"/>
          <w:sz w:val="25"/>
          <w:szCs w:val="25"/>
        </w:rPr>
        <w:t xml:space="preserve">Cómo se accede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En cualquier momento, pausando el mundo — es un juego contemplativo sin urgencia motriz.</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Apertura diegética: el investigador abre físicamente su cuaderno, no un menú de sistema abstracto.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Permanece accesible durante la Confrontación, donde cambia de rol: de archivo de lectura a herramienta de acción.</w:t>
      </w:r>
    </w:p>
    <w:p>
      <w:pPr>
        <w:pStyle w:val="Heading3"/>
        <w:spacing w:after="120" w:before="240"/>
      </w:pPr>
      <w:r>
        <w:rPr>
          <w:rFonts w:ascii="Calibri" w:cs="Calibri" w:eastAsia="Calibri" w:hAnsi="Calibri"/>
          <w:b/>
          <w:bCs/>
          <w:color w:val="9C4B23"/>
          <w:sz w:val="25"/>
          <w:szCs w:val="25"/>
        </w:rPr>
        <w:t xml:space="preserve">Cómo se inicia una confrontación</w:t>
      </w:r>
    </w:p>
    <w:p>
      <w:pPr>
        <w:spacing w:after="160" w:line="300"/>
      </w:pPr>
      <w:r>
        <w:rPr>
          <w:rFonts w:ascii="Calibri" w:cs="Calibri" w:eastAsia="Calibri" w:hAnsi="Calibri"/>
          <w:b w:val="false"/>
          <w:bCs w:val="false"/>
          <w:i w:val="false"/>
          <w:iCs w:val="false"/>
          <w:color w:val="3B2E22"/>
          <w:sz w:val="22"/>
          <w:szCs w:val="22"/>
        </w:rPr>
        <w:t xml:space="preserve">No se lanza desde un botón de UI. Cualquier botón "Confrontar" que se active al alcanzar "evidencia suficiente" violaría la Regla 5; un botón meta persistente también rompería el marco al preguntar implícitamente "¿ya lo resolviste?".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Se inicia diegéticamente, desde el mundo/ficción — igual que cualquier conversación.</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La opción de tensar el diálogo hacia la confrontación está siempre disponible al hablar con un NPC relevante, y nunca cambia según la cantidad de evidencia.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La interpretación se declara como acción, no como menú: preparar, aproximarse, elegir qué decir u ofrecer es lo que declara la lectura del jugador. No existe pantalla separada de "respuesta final".</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El resultado nunca se comunica por color/icono — el NPC reacciona en ficción; un desenlace desfavorable se expresa como alteración material del cuaderno (página arrancada, tinta corrida).</w:t>
      </w:r>
    </w:p>
    <w:p>
      <w:pPr>
        <w:pStyle w:val="Heading3"/>
        <w:spacing w:after="120" w:before="240"/>
      </w:pPr>
      <w:r>
        <w:rPr>
          <w:rFonts w:ascii="Calibri" w:cs="Calibri" w:eastAsia="Calibri" w:hAnsi="Calibri"/>
          <w:b/>
          <w:bCs/>
          <w:color w:val="9C4B23"/>
          <w:sz w:val="25"/>
          <w:szCs w:val="25"/>
        </w:rPr>
        <w:t xml:space="preserve">Flujos de UI clave (conceptuales, no de layout)</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700"/>
        <w:gridCol w:w="6300"/>
      </w:tblGrid>
      <w:tr>
        <w:trPr>
          <w:tblHeader/>
        </w:trPr>
        <w:tc>
          <w:tcPr>
            <w:tcW w:type="dxa" w:w="27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Flujo</w:t>
            </w:r>
          </w:p>
        </w:tc>
        <w:tc>
          <w:tcPr>
            <w:tcW w:type="dxa" w:w="63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pasa</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 Apertura del cuaderno</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Mundo → overlay del cuaderno, pausa; transición diegética.</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B. Navegación intra-caso</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Conmutar entre las 3 lentes sobre las mismas anotaciones.</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 Lectura de anotación</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Detalle de una entrada individual con su contexto factual.</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 Selector/archivo de casos</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Cambiar de caso activo; casos cerrados quedan archivados sin veredicto de "acierto".</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 Feedback de evidencia nueva</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Idéntico para toda evidencia, sin importar su relevancia futura — el juego nunca insinúa qué importa.</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 Transición a Confrontación</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Desde el diálogo en el mundo, sin botón meta.</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G. Cuaderno como herramienta de acción</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En confrontaciones donde aplique, seleccionar una entrada es una forma de presentar/declarar interpretación; el mecanismo exacto lo define el Sistema de Confrontación de Ingenio por entidad.</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H. Resultado de Confrontación</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Expresado como alteración material del propio cuaderno, nunca iconografía de fracaso.</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Criterios de aceptación (cómo se prueba que funciona)</w:t>
      </w:r>
    </w:p>
    <w:p>
      <w:pPr>
        <w:pStyle w:val="Heading3"/>
        <w:spacing w:after="120" w:before="240"/>
      </w:pPr>
      <w:r>
        <w:rPr>
          <w:rFonts w:ascii="Calibri" w:cs="Calibri" w:eastAsia="Calibri" w:hAnsi="Calibri"/>
          <w:b/>
          <w:bCs/>
          <w:color w:val="9C4B23"/>
          <w:sz w:val="25"/>
          <w:szCs w:val="25"/>
        </w:rPr>
        <w:t xml:space="preserve">A. Nacimiento y cierre del caso</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340"/>
        <w:gridCol w:w="2160"/>
        <w:gridCol w:w="2160"/>
        <w:gridCol w:w="2340"/>
      </w:tblGrid>
      <w:tr>
        <w:trPr>
          <w:tblHeader/>
        </w:trPr>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Criterio</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Dado</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Cuando</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Entonces</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AC-01 — Nace por contacto, no por decisión de menú</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caso Latente que el jugador aún no ha tocado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Entra en contacto con cualquiera de sus señales iniciales, sin menú ni confirmación</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caso pasa automáticamente a Activo y aparece una entrada nueva en el Cuaderno, sin popup ni notificación</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AC-02 — El cierre siempre escribe al Estado del Mundo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caso En Confrontación que alcanza una rama terminal</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caso pasa a Resuelto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Al menos un valor persistente del Estado del Mundo cambia de forma verificable; un cierre sin ningún cambio falla esta prueba</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AC-03 — Abandono sin notificación de fallo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caso Activo no tocado durante el periodo definido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Ese periodo expira sin intervención</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caso se resuelve automáticamente, el Estado del Mundo registra las consecuencias, y nunca se muestra un mensaje de "misión fallida"</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AC-04 — Evidencia nueva no afecta caso ya Resuelto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caso en estado Resuelto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obtiene evidencia que en otro contexto sería válida</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caso permanece Resuelto sin reabrirse, salvo que el contenido la vincule explícitamente a un caso nuevo distinto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AC-05 — La reaparición no marca al candidato como "ya sabido"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caso cuya entidad ya fue confrontada antes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caso nuevo se activa</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Ninguna anotación o etiqueta distingue automáticamente al candidato "correcto" en el índice de menciones</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AC-23 — La consecuencia del abandono es visible al volver</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caso que evolucionó automáticamente sin intervención</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vuelve al lugar relacionado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mundo refleja de forma observable las consecuencias, sin pantalla de resultado</w:t>
            </w:r>
          </w:p>
        </w:tc>
      </w:tr>
    </w:tbl>
    <w:p>
      <w:pPr>
        <w:pStyle w:val="Heading3"/>
        <w:spacing w:after="120" w:before="240"/>
      </w:pPr>
      <w:r>
        <w:rPr>
          <w:rFonts w:ascii="Calibri" w:cs="Calibri" w:eastAsia="Calibri" w:hAnsi="Calibri"/>
          <w:b/>
          <w:bCs/>
          <w:color w:val="9C4B23"/>
          <w:sz w:val="25"/>
          <w:szCs w:val="25"/>
        </w:rPr>
        <w:t xml:space="preserve">B. Espacio de hipótesis y evidencia</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340"/>
        <w:gridCol w:w="2160"/>
        <w:gridCol w:w="2160"/>
        <w:gridCol w:w="2340"/>
      </w:tblGrid>
      <w:tr>
        <w:trPr>
          <w:tblHeader/>
        </w:trPr>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Criterio</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Dado</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Cuando</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Entonces</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AC-06 — Múltiples candidatos, cantidad fijada por caso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Cualquier caso Activo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revisa el documento de autoría de ese caso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Existen 2 o más candidatos de confusión documentados; un caso con uno solo falla y se reporta como bug de contenido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AC-07 — Tres familias de evidencia, sin etiqueta de importancia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Cualquier evidencia obtenida, de cualquier familia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inspecciona su entrada en el Cuaderno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Muestra contenido, contexto de adquisición y familia — ningún indicador de prioridad</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AC-08 — Evidencia libre, sin lista de tareas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estado Activo de cualquier caso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revisa toda la UI accesible</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existe ningún checklist u objetivo marcado asociado a la obtención de evidencia</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AC-09 — Invariante de interpretaciones defendibles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documento de autoría de un caso, antes de aprobarse</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revisor evalúa cada candidato viable</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Ningún candidato resulta trivialmente inevitable ni trivialmente descartable — verificación de criterio de diseño, no chequeo de runtime</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AC-10 — Una evidencia válida para 2+ casos simultáneos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Una evidencia marcada como relevante para 2+ casos Activos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la obtiene</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Aparece íntegra en la sección de cada uno de esos casos, sin restricción de "una pista, un caso"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AC-24 — La evidencia no indica qué interpretación favorece</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Una evidencia que pertenece a un caso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la registra en el Cuaderno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presenta sin indicar qué candidato favorece ni cuál contradice</w:t>
            </w:r>
          </w:p>
        </w:tc>
      </w:tr>
    </w:tbl>
    <w:p>
      <w:pPr>
        <w:pStyle w:val="Heading3"/>
        <w:spacing w:after="120" w:before="240"/>
      </w:pPr>
      <w:r>
        <w:rPr>
          <w:rFonts w:ascii="Calibri" w:cs="Calibri" w:eastAsia="Calibri" w:hAnsi="Calibri"/>
          <w:b/>
          <w:bCs/>
          <w:color w:val="9C4B23"/>
          <w:sz w:val="25"/>
          <w:szCs w:val="25"/>
        </w:rPr>
        <w:t xml:space="preserve">C. Confrontación e interpretación</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340"/>
        <w:gridCol w:w="2160"/>
        <w:gridCol w:w="2160"/>
        <w:gridCol w:w="2340"/>
      </w:tblGrid>
      <w:tr>
        <w:trPr>
          <w:tblHeader/>
        </w:trPr>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Criterio</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Dado</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Cuando</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Entonces</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AC-11 — Sin umbral de evidencia para confrontar</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caso Activo con cero evidencia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habla con el NPC relevante</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 opción de tensar hacia la Confrontación está disponible, sin bloqueo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AC-12 — La disponibilidad de confrontar no cambia con la evidencia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mismo caso probado con 0, evidencia parcial y evidencia completa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repite la interacción con el NPC en cada momento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 opción está presente, habilitada e idéntica en los 3 casos</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AC-13 — Confrontar con poca o cero evidencia no es un fallo distinto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caso confrontado con evidencia incompleta o nula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 Confrontación se resuelve</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resultado sigue una rama normal documentada — no existe una rama exclusiva de "evidencia insuficiente"</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AC-14 — Interpretación declarada por acción, no por menú</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dentro de una Confrontación activa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Actúa — prepara, se aproxima, decide qué decir u ofrecer</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Esas acciones son en sí mismas su interpretación; no hay pantalla de "respuesta final" ni paso obligatorio de declarar hipótesis antes</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AC-25 — Intento sin la entidad presente no transiciona ni penaliza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caso cuya entidad no puede manifestarse en el momento actual</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va al lugar e intenta el contacto igual</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hay transición de estado (permanece Activo), no hay resultado ni consecuencia, y puede reintentar sin penalización</w:t>
            </w:r>
          </w:p>
        </w:tc>
      </w:tr>
    </w:tbl>
    <w:p>
      <w:pPr>
        <w:pStyle w:val="Heading3"/>
        <w:spacing w:after="120" w:before="240"/>
      </w:pPr>
      <w:r>
        <w:rPr>
          <w:rFonts w:ascii="Calibri" w:cs="Calibri" w:eastAsia="Calibri" w:hAnsi="Calibri"/>
          <w:b/>
          <w:bCs/>
          <w:color w:val="9C4B23"/>
          <w:sz w:val="25"/>
          <w:szCs w:val="25"/>
        </w:rPr>
        <w:t xml:space="preserve">D. Prohibiciones de UI del Cuaderno</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340"/>
        <w:gridCol w:w="2160"/>
        <w:gridCol w:w="2160"/>
        <w:gridCol w:w="2340"/>
      </w:tblGrid>
      <w:tr>
        <w:trPr>
          <w:tblHeader/>
        </w:trPr>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Criterio</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Dado</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Cuando</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Entonces</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AC-15 — Sin medidor de progreso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Cualquier caso Activo con cualquier cantidad de evidencia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abre su sección en el Cuaderno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aparece medidor, barra ni fracción de progreso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AC-16 — Sin estado por evidencia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Cualquier anotación en el Cuaderno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inspecciona</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muestra estado "resuelto/pendiente" ni marca de revisión</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AC-17 — Sin ranking ni lista de sospechosos con indicadores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 vista de Índice de menciones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revisa</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Los nombres/lugares aparecen sin jerarquía, sin checkbox, sin barra de certeza, sin etiquetas</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AC-18 — Sin conexiones sugeridas automáticas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2+ anotaciones que comparten nombre, lugar o tema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navegan las 3 lentes del Cuaderno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se genera ni resalta ninguna inferencia tipo "esto podría estar relacionado con..."</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AC-19 — Sin color correcto/incorrecto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Cualquier momento, incluido después de resolver un caso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revisa la paleta del Cuaderno y del feedback de resultado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Ningún elemento usa un par cromático semántico de acierto/error</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AC-20 — Feedback idéntico para toda evidencia nueva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Dos piezas de evidencia, una crítica y otra irrelevante</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las obtiene por separado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feedback inmediato de obtención es exactamente idéntico entre ambas</w:t>
            </w:r>
          </w:p>
        </w:tc>
      </w:tr>
    </w:tbl>
    <w:p>
      <w:pPr>
        <w:pStyle w:val="Heading3"/>
        <w:spacing w:after="120" w:before="240"/>
      </w:pPr>
      <w:r>
        <w:rPr>
          <w:rFonts w:ascii="Calibri" w:cs="Calibri" w:eastAsia="Calibri" w:hAnsi="Calibri"/>
          <w:b/>
          <w:bCs/>
          <w:color w:val="9C4B23"/>
          <w:sz w:val="25"/>
          <w:szCs w:val="25"/>
        </w:rPr>
        <w:t xml:space="preserve">E. Prohibiciones visuales y de audio en el mundo</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340"/>
        <w:gridCol w:w="2160"/>
        <w:gridCol w:w="2160"/>
        <w:gridCol w:w="2340"/>
      </w:tblGrid>
      <w:tr>
        <w:trPr>
          <w:tblHeader/>
        </w:trPr>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Criterio</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Dado</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Cuando</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Entonces</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AC-21 — Sin señal exclusiva del mundo ante eventos de sistema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Obtención de evidencia o cualquier transición de estado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evento ocurre en el mundo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se dispara sonido, partícula, luz o cue musical exclusivo de ese evento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AC-22 — El mundo nunca confirma ni desmiente una interpretación</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caso recién Resuelto, favorable o desfavorablemente</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recorren los lugares/NPCs afectados justo después</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Los cambios son consistentes con múltiples lecturas posibles — sin iconografía de victoria/derrota ni declaración de "quién tenía razón"</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Preguntas abiertas</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630"/>
        <w:gridCol w:w="6120"/>
        <w:gridCol w:w="2250"/>
      </w:tblGrid>
      <w:tr>
        <w:trPr>
          <w:tblHeader/>
        </w:trPr>
        <w:tc>
          <w:tcPr>
            <w:tcW w:type="dxa" w:w="63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w:t>
            </w:r>
          </w:p>
        </w:tc>
        <w:tc>
          <w:tcPr>
            <w:tcW w:type="dxa" w:w="612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Pregunta</w:t>
            </w:r>
          </w:p>
        </w:tc>
        <w:tc>
          <w:tcPr>
            <w:tcW w:type="dxa" w:w="22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Se resuelve en</w:t>
            </w:r>
          </w:p>
        </w:tc>
      </w:tr>
      <w:tr>
        <w:tc>
          <w:tcPr>
            <w:tcW w:type="dxa" w:w="63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1</w:t>
            </w:r>
          </w:p>
        </w:tc>
        <w:tc>
          <w:tcPr>
            <w:tcW w:type="dxa" w:w="61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¿Cuál es el rol del Cuaderno del Investigador — archivo de investigación, espacio de pensamiento personal, o híbrido? La decisión sobre una capa de anotación libre (ej. hilos de cordel) depende de esta respuesta.</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GDD del Sistema del Cuaderno del Investigador</w:t>
            </w:r>
          </w:p>
        </w:tc>
      </w:tr>
      <w:tr>
        <w:tc>
          <w:tcPr>
            <w:tcW w:type="dxa" w:w="63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2</w:t>
            </w:r>
          </w:p>
        </w:tc>
        <w:tc>
          <w:tcPr>
            <w:tcW w:type="dxa" w:w="61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Valores concretos de los 6 Tuning Knobs para el caso tutorial vs. casos posteriores.</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Al diseñar los 5 casos concretos del MVP</w:t>
            </w:r>
          </w:p>
        </w:tc>
      </w:tr>
      <w:tr>
        <w:tc>
          <w:tcPr>
            <w:tcW w:type="dxa" w:w="63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w:t>
            </w:r>
          </w:p>
        </w:tc>
        <w:tc>
          <w:tcPr>
            <w:tcW w:type="dxa" w:w="61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¿Qué papel cumple el Reloj Real durante una confrontación? ¿Solo determina la disponibilidad física de la entidad, o también modifica las reglas de la confrontación cuando ocurre?</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GDD del Reloj Real</w:t>
            </w:r>
          </w:p>
        </w:tc>
      </w:tr>
      <w:tr>
        <w:tc>
          <w:tcPr>
            <w:tcW w:type="dxa" w:w="63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4</w:t>
            </w:r>
          </w:p>
        </w:tc>
        <w:tc>
          <w:tcPr>
            <w:tcW w:type="dxa" w:w="61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Cómo se implementa exactamente "citar una anotación del Cuaderno como acción" dentro del flujo de diálogo de la Confrontación.</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GDD del Sistema de Confrontación de Ingenio</w:t>
            </w:r>
          </w:p>
        </w:tc>
      </w:tr>
      <w:tr>
        <w:tc>
          <w:tcPr>
            <w:tcW w:type="dxa" w:w="63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5</w:t>
            </w:r>
          </w:p>
        </w:tc>
        <w:tc>
          <w:tcPr>
            <w:tcW w:type="dxa" w:w="61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¿Cómo evoluciona el conocimiento del protagonista entre casos? ¿Resolver un caso solo aporta conocimiento al jugador real, o también cambia la información disponible en el Cuaderno para casos futuros?</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Antes de diseñar el Caso 4/5 del MVP</w:t>
            </w:r>
          </w:p>
        </w:tc>
      </w:tr>
      <w:tr>
        <w:tc>
          <w:tcPr>
            <w:tcW w:type="dxa" w:w="63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6</w:t>
            </w:r>
          </w:p>
        </w:tc>
        <w:tc>
          <w:tcPr>
            <w:tcW w:type="dxa" w:w="61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¿Qué tipos de casos pueden evolucionar sin intervención del jugador, y bajo qué criterios?</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Al diseñar los 5 casos concretos del MVP</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2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2E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2026-07-21T22:01:27.758Z</dcterms:created>
  <dcterms:modified xsi:type="dcterms:W3CDTF">2026-07-21T22:01:27.758Z</dcterms:modified>
</cp:coreProperties>
</file>

<file path=docProps/custom.xml><?xml version="1.0" encoding="utf-8"?>
<Properties xmlns="http://schemas.openxmlformats.org/officeDocument/2006/custom-properties" xmlns:vt="http://schemas.openxmlformats.org/officeDocument/2006/docPropsVTypes"/>
</file>