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6B5B4A"/>
          <w:sz w:val="24"/>
          <w:szCs w:val="24"/>
        </w:rPr>
        <w:t xml:space="preserve">MONTE ADENTRO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9C4B23"/>
          <w:sz w:val="56"/>
          <w:szCs w:val="56"/>
        </w:rPr>
        <w:t xml:space="preserve">Nivel: El Pueblo (Hub Central)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3B2E22"/>
          <w:sz w:val="26"/>
          <w:szCs w:val="26"/>
        </w:rPr>
        <w:t xml:space="preserve">El único hub del MVP — de dónde parte el jugador y a dónde siempre vuelve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5B4A"/>
          <w:sz w:val="20"/>
          <w:szCs w:val="20"/>
        </w:rPr>
        <w:t xml:space="preserve">Basado en: </w:t>
      </w:r>
      <w:r>
        <w:rPr>
          <w:rFonts w:ascii="Calibri" w:cs="Calibri" w:eastAsia="Calibri" w:hAnsi="Calibri"/>
          <w:color w:val="6B5B4A"/>
          <w:sz w:val="20"/>
          <w:szCs w:val="20"/>
        </w:rPr>
        <w:t xml:space="preserve">pueblo-hub.md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5B4A"/>
          <w:sz w:val="20"/>
          <w:szCs w:val="20"/>
        </w:rPr>
        <w:t xml:space="preserve">Región: </w:t>
      </w:r>
      <w:r>
        <w:rPr>
          <w:rFonts w:ascii="Calibri" w:cs="Calibri" w:eastAsia="Calibri" w:hAnsi="Calibri"/>
          <w:color w:val="6B5B4A"/>
          <w:sz w:val="20"/>
          <w:szCs w:val="20"/>
        </w:rPr>
        <w:t xml:space="preserve">Andina — MVP de Monte Adentro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5B4A"/>
          <w:sz w:val="20"/>
          <w:szCs w:val="20"/>
        </w:rPr>
        <w:t xml:space="preserve">Tipo de nivel: </w:t>
      </w:r>
      <w:r>
        <w:rPr>
          <w:rFonts w:ascii="Calibri" w:cs="Calibri" w:eastAsia="Calibri" w:hAnsi="Calibri"/>
          <w:color w:val="6B5B4A"/>
          <w:sz w:val="20"/>
          <w:szCs w:val="20"/>
        </w:rPr>
        <w:t xml:space="preserve">Hub / Exploración / Investigación (sin combate)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5B4A"/>
          <w:sz w:val="20"/>
          <w:szCs w:val="20"/>
        </w:rPr>
        <w:t xml:space="preserve">Estado: </w:t>
      </w:r>
      <w:r>
        <w:rPr>
          <w:rFonts w:ascii="Calibri" w:cs="Calibri" w:eastAsia="Calibri" w:hAnsi="Calibri"/>
          <w:color w:val="6B5B4A"/>
          <w:sz w:val="20"/>
          <w:szCs w:val="20"/>
        </w:rPr>
        <w:t xml:space="preserve">Concepto — sin asignación todavía de los 5 casos del MVP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5B4A"/>
          <w:sz w:val="20"/>
          <w:szCs w:val="20"/>
        </w:rPr>
        <w:t xml:space="preserve">Duración de recorrido: </w:t>
      </w:r>
      <w:r>
        <w:rPr>
          <w:rFonts w:ascii="Calibri" w:cs="Calibri" w:eastAsia="Calibri" w:hAnsi="Calibri"/>
          <w:color w:val="6B5B4A"/>
          <w:sz w:val="20"/>
          <w:szCs w:val="20"/>
        </w:rPr>
        <w:t xml:space="preserve">1–3 minutos caminando de un punto a otro, con calma (pueblo compacto e íntimo)</w:t>
      </w:r>
    </w:p>
    <w:p>
      <w:r>
        <w:br w:type="page"/>
      </w:r>
    </w:p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Por qué existe este lugar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2E22"/>
          <w:sz w:val="22"/>
          <w:szCs w:val="22"/>
        </w:rPr>
        <w:t xml:space="preserve">El hub persiste durante todo el MVP — no es un nivel de un solo uso. Es el punto de partida seguro del que el jugador se aleja hacia el monte o el río, coherente con el título Monte Adentro: el movimiento dominante del juego es hacia adentro, no permanecer.</w:t>
      </w:r>
    </w:p>
    <w:tbl>
      <w:tblPr>
        <w:tblW w:type="pct" w:w="100%"/>
        <w:tblBorders>
          <w:top w:val="single" w:color="C9B79C" w:sz="4"/>
          <w:left w:val="single" w:color="C9B79C" w:sz="4"/>
          <w:bottom w:val="single" w:color="C9B79C" w:sz="4"/>
          <w:right w:val="single" w:color="C9B79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D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B23"/>
                <w:sz w:val="22"/>
                <w:szCs w:val="22"/>
              </w:rPr>
              <w:t xml:space="preserve">Objetivo emocional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i/>
                <w:iCs/>
                <w:color w:val="3B2E22"/>
                <w:sz w:val="22"/>
                <w:szCs w:val="22"/>
              </w:rPr>
              <w:t xml:space="preserve">Arraigo cálido (Art Bible, Sección 2, estado "Vida cotidiana"): un lugar que vale la pena proteger antes de que el jugador sepa que algo lo amenaza.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6B5B4A"/>
          <w:sz w:val="20"/>
          <w:szCs w:val="20"/>
        </w:rPr>
        <w:t xml:space="preserve">Los descubrimientos de lore concretos todavía están pendientes de definir junto con el equipo de narrativa, al momento de asignar los 5 casos del MVP a este espacio.</w:t>
      </w:r>
    </w:p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La idea espacial que organiza todo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2E22"/>
          <w:sz w:val="22"/>
          <w:szCs w:val="22"/>
        </w:rPr>
        <w:t xml:space="preserve">El pueblo se asienta sobre una terraza entre dos fuerzas geográficas opuestas: el monte que sube al norte, y el río que baja al sur.</w:t>
      </w:r>
    </w:p>
    <w:tbl>
      <w:tblPr>
        <w:tblW w:type="pct" w:w="100%"/>
        <w:tblBorders>
          <w:top w:val="single" w:color="C9B79C" w:sz="4"/>
          <w:left w:val="single" w:color="C9B79C" w:sz="4"/>
          <w:bottom w:val="single" w:color="C9B79C" w:sz="4"/>
          <w:right w:val="single" w:color="C9B79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D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9C4B23"/>
                <w:sz w:val="22"/>
                <w:szCs w:val="22"/>
              </w:rPr>
              <w:t xml:space="preserve">Decisión congelada — no cambia en ningún documento futuro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i/>
                <w:iCs/>
                <w:color w:val="3B2E22"/>
                <w:sz w:val="22"/>
                <w:szCs w:val="22"/>
              </w:rPr>
              <w:t xml:space="preserve">Norte = monte. Sur = río. En medio = pueblo. Esta orientación le da al jugador una brújula mental instantánea ("cuesta arriba = monte, cuesta abajo = río, en medio = pueblo") sin necesitar minimapa.</w:t>
            </w:r>
          </w:p>
        </w:tc>
      </w:tr>
    </w:tbl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Mapa general (de norte a sur)</w:t>
      </w:r>
    </w:p>
    <w:tbl>
      <w:tblPr>
        <w:tblW w:type="pct" w:w="100%"/>
        <w:tblBorders>
          <w:top w:val="single" w:color="C9B79C" w:sz="4"/>
          <w:left w:val="single" w:color="C9B79C" w:sz="4"/>
          <w:bottom w:val="single" w:color="C9B79C" w:sz="4"/>
          <w:right w:val="single" w:color="C9B79C" w:sz="4"/>
          <w:insideH w:val="single" w:color="C9B79C" w:sz="4"/>
          <w:insideV w:val="single" w:color="C9B79C" w:sz="4"/>
        </w:tblBorders>
      </w:tblPr>
      <w:tblGrid>
        <w:gridCol w:w="2880"/>
        <w:gridCol w:w="6120"/>
      </w:tblGrid>
      <w:tr>
        <w:trPr>
          <w:tblHeader/>
        </w:trPr>
        <w:tc>
          <w:tcPr>
            <w:tcW w:type="dxa" w:w="288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2E22"/>
                <w:sz w:val="20"/>
                <w:szCs w:val="20"/>
              </w:rPr>
              <w:t xml:space="preserve">Zona</w:t>
            </w:r>
          </w:p>
        </w:tc>
        <w:tc>
          <w:tcPr>
            <w:tcW w:type="dxa" w:w="612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2E22"/>
                <w:sz w:val="20"/>
                <w:szCs w:val="20"/>
              </w:rPr>
              <w:t xml:space="preserve">Qué hay ahí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Monte (norte)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Subpáramo, niebla, bosque andino — dominio de la Patasola.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Mirador natural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Punto elevado en la zona liminal norte desde el que se ve el pueblo entero.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Zona liminal (norte)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Trochas, chagras, cercas — más ancha que la del sur.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Cementerio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Justo en el borde entre el pueblo y la zona liminal, mirando hacia el monte.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Barrio antiguo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Junto a la plaza.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Plaza (con iglesia, tienda/cantina y fonda/posada)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Centro social del pueblo.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Barrio nuevo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Expansión del pueblo, con escuela, puesto de salud y casa comunal/corregidor.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Zona liminal (sur)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Potreros, secaderos, camino real — más angosta que la del norte.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Trapiche / Molino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Ancla económica, aguas arriba del vado.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Vado / Puente y lavaderos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Único cruce formal del río.</w:t>
            </w:r>
          </w:p>
        </w:tc>
      </w:tr>
      <w:tr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Río (sur)</w:t>
            </w:r>
          </w:p>
        </w:tc>
        <w:tc>
          <w:tcPr>
            <w:tcW w:type="dxa" w:w="6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Dominio del Mohán.</w:t>
            </w:r>
          </w:p>
        </w:tc>
      </w:tr>
    </w:tbl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Los puntos de interés, uno por uno</w:t>
      </w:r>
    </w:p>
    <w:tbl>
      <w:tblPr>
        <w:tblW w:type="pct" w:w="100%"/>
        <w:tblBorders>
          <w:top w:val="single" w:color="C9B79C" w:sz="4"/>
          <w:left w:val="single" w:color="C9B79C" w:sz="4"/>
          <w:bottom w:val="single" w:color="C9B79C" w:sz="4"/>
          <w:right w:val="single" w:color="C9B79C" w:sz="4"/>
          <w:insideH w:val="single" w:color="C9B79C" w:sz="4"/>
          <w:insideV w:val="single" w:color="C9B79C" w:sz="4"/>
        </w:tblBorders>
      </w:tblPr>
      <w:tblGrid>
        <w:gridCol w:w="2160"/>
        <w:gridCol w:w="1440"/>
        <w:gridCol w:w="5400"/>
      </w:tblGrid>
      <w:tr>
        <w:trPr>
          <w:tblHeader/>
        </w:trPr>
        <w:tc>
          <w:tcPr>
            <w:tcW w:type="dxa" w:w="216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2E22"/>
                <w:sz w:val="20"/>
                <w:szCs w:val="20"/>
              </w:rPr>
              <w:t xml:space="preserve">Lugar</w:t>
            </w:r>
          </w:p>
        </w:tc>
        <w:tc>
          <w:tcPr>
            <w:tcW w:type="dxa" w:w="144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2E22"/>
                <w:sz w:val="20"/>
                <w:szCs w:val="20"/>
              </w:rPr>
              <w:t xml:space="preserve">Tipo</w:t>
            </w:r>
          </w:p>
        </w:tc>
        <w:tc>
          <w:tcPr>
            <w:tcW w:type="dxa" w:w="5400"/>
            <w:shd w:fill="E8DC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2E22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Plaza y ceiba/samán central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Social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Landmark visible desde varias calles — orientación y punto de encuentro.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Iglesia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Social / temporal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Ancla religiosa; sus campanas pueden marcar el paso del reloj real (mediodía, vísperas) sin codificar peligro — es una forma diegética de marcar el tiempo.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Tienda / Cantina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Social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Comercio y chisme — donde los testimonios circulan naturalmente.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Fonda / Posada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Social neutro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Llegan forasteros, aparecen rumores, cambian testimonios, se cruzan NPCs — posible lugar donde duerme el investigador. Nodo social esencial en un juego de misterio.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Puesto de salud / casa de la partera-curandera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Social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Cruce entre lo médico formal y lo popular/folclórico — fuente de testimonios desde dos registros de saber distintos.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Escuela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Social / generacional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Voz de los niños del pueblo, y presencia de otra autoridad (la maestra).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Casa comunal / Corregidor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Autoridad civil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Una pequeña autoridad no religiosa que organiza, niega, esconde información o pide ayuda — evita que la iglesia cargue sola toda la estructura social del pueblo.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Cementerio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Umbral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En el borde exacto entre el pueblo y la zona liminal, mirando hacia el monte — cotidiano de día, cambia de lectura de noche sin mover un solo asset.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Trapiche / Molino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Económico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Ancla económica junto al río, aguas arriba del vado — justifica la relación cotidiana con el río más allá de lo simbólico.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Vado / Puente y lavaderos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Único punto de cruce formal del río; los lavaderos son punto de rumor y testimonio. Cuello de botella físico y narrativo — cruzar el río es siempre una decisión, nunca un trámite.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Mirador natural</w:t>
            </w:r>
          </w:p>
        </w:tc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Orientación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3B2E22"/>
                <w:sz w:val="19"/>
                <w:szCs w:val="19"/>
              </w:rPr>
              <w:t xml:space="preserve">Punto elevado en la zona liminal norte desde donde se ve el pueblo entero — reduce la necesidad de minimapa sin implicar que todo sea explorable.</w:t>
            </w:r>
          </w:p>
        </w:tc>
      </w:tr>
    </w:tbl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El río: dominio del Mohán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2E22"/>
          <w:sz w:val="22"/>
          <w:szCs w:val="22"/>
        </w:rPr>
        <w:t xml:space="preserve">Es el límite sur del pueblo — el pueblo NO lo atraviesa. Mantenerlo en el borde preserva su peso simbólico: cruzarlo es una decisión consciente, nunca un desplazamiento cotidiano. Esto convierte al río en frontera narrativa y mecánica a la vez — el jugador abandona la seguridad del pueblo para entrar en un espacio donde rigen otras reglas.</w:t>
      </w:r>
    </w:p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El monte: dominio de la Patasola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2E22"/>
          <w:sz w:val="22"/>
          <w:szCs w:val="22"/>
        </w:rPr>
        <w:t xml:space="preserve">Límite norte, opuesto al río. Se distingue de un bosque genérico por cuatro rasgos: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Verticalidad y niebla creciente que aísla visualmente incluso cerca del pueblo.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Gradiente de piso térmico: bosque andino denso abajo → subpáramo abierto arriba.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Terreno erosionado sin ejes dominantes.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Ausencia de estructura humana activa — solo restos ambiguos de presencia pasada.</w:t>
      </w:r>
    </w:p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La zona liminal: el hábitat natural del indicio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2E22"/>
          <w:sz w:val="22"/>
          <w:szCs w:val="22"/>
        </w:rPr>
        <w:t xml:space="preserve">Es el anillo irregular alrededor del núcleo del pueblo — más ancho hacia el norte (transición al monte) y más angosto hacia el sur (transición al río). Está compuesto por chagras, cercas de palo y piedra, el camino real (el único trazo que conecta las tres zonas, bifurcándose norte/sur), potreros y secaderos. Es, por diseño, donde la geometría ortogonal del pueblo y la orgánica del monte compiten por el mismo terreno (ver Art Bible, Sección 3) — el lugar donde una pista se puede integrar sin anunciarse.</w:t>
      </w:r>
    </w:p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Cómo se ve (referencias al Art Bible)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color w:val="9C4B23"/>
          <w:sz w:val="22"/>
          <w:szCs w:val="22"/>
        </w:rPr>
        <w:t xml:space="preserve">Geometría — </w:t>
      </w:r>
      <w:r>
        <w:rPr>
          <w:rFonts w:ascii="Calibri" w:cs="Calibri" w:eastAsia="Calibri" w:hAnsi="Calibri"/>
          <w:color w:val="3B2E22"/>
          <w:sz w:val="22"/>
          <w:szCs w:val="22"/>
        </w:rPr>
        <w:t xml:space="preserve">núcleo ortogonal con imperfección artesanal deliberada; monte orgánico sin ejes dominantes; zona liminal donde ambas se mezclan (Art Bible, Sección 3).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color w:val="9C4B23"/>
          <w:sz w:val="22"/>
          <w:szCs w:val="22"/>
        </w:rPr>
        <w:t xml:space="preserve">Iluminación y paleta — </w:t>
      </w:r>
      <w:r>
        <w:rPr>
          <w:rFonts w:ascii="Calibri" w:cs="Calibri" w:eastAsia="Calibri" w:hAnsi="Calibri"/>
          <w:color w:val="3B2E22"/>
          <w:sz w:val="22"/>
          <w:szCs w:val="22"/>
        </w:rPr>
        <w:t xml:space="preserve">reloj real completo — mediodía → tarde → crepúsculo → noche → amanecer; el pueblo mantiene un sesgo cálido persistente incluso de noche, el monte mantiene un sesgo frío-verde persistente incluso de día (Art Bible, Secciones 2 y 4).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color w:val="9C4B23"/>
          <w:sz w:val="22"/>
          <w:szCs w:val="22"/>
        </w:rPr>
        <w:t xml:space="preserve">Landmarks de orientación — </w:t>
      </w:r>
      <w:r>
        <w:rPr>
          <w:rFonts w:ascii="Calibri" w:cs="Calibri" w:eastAsia="Calibri" w:hAnsi="Calibri"/>
          <w:color w:val="3B2E22"/>
          <w:sz w:val="22"/>
          <w:szCs w:val="22"/>
        </w:rPr>
        <w:t xml:space="preserve">la ceiba/samán de la plaza (centro), el mirador natural (norte) y el trapiche (sur) — visibles desde múltiples puntos para reforzar la orientación sin necesidad de HUD.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color w:val="9C4B23"/>
          <w:sz w:val="22"/>
          <w:szCs w:val="22"/>
        </w:rPr>
        <w:t xml:space="preserve">Líneas de visión — </w:t>
      </w:r>
      <w:r>
        <w:rPr>
          <w:rFonts w:ascii="Calibri" w:cs="Calibri" w:eastAsia="Calibri" w:hAnsi="Calibri"/>
          <w:color w:val="3B2E22"/>
          <w:sz w:val="22"/>
          <w:szCs w:val="22"/>
        </w:rPr>
        <w:t xml:space="preserve">desde el mirador, el pueblo entero debe ser visible (no explorable desde ahí, solo visible) — refuerza que el jugador llegue a conocer el pueblo de memoria.</w:t>
      </w:r>
    </w:p>
    <w:p>
      <w:pPr>
        <w:pStyle w:val="Heading1"/>
        <w:pBdr>
          <w:bottom w:val="single" w:color="9C4B23" w:sz="8" w:space="4"/>
        </w:pBdr>
        <w:spacing w:after="240" w:before="400"/>
      </w:pPr>
      <w:r>
        <w:rPr>
          <w:rFonts w:ascii="Calibri" w:cs="Calibri" w:eastAsia="Calibri" w:hAnsi="Calibri"/>
          <w:b/>
          <w:bCs/>
          <w:color w:val="9C4B23"/>
          <w:sz w:val="40"/>
          <w:szCs w:val="40"/>
        </w:rPr>
        <w:t xml:space="preserve">Lo que queda pendiente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La asignación de los 5 casos del MVP a estos lugares y a la zona liminal — pendiente, junto con el equipo de narrativa.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Los nombres de los lugares (más allá de su función) y de los personajes que los habitan son territorio de narrativa, no de este documento.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La escala jugable final (distancias en metros/unidades Unity) requiere una pasada del equipo técnico una vez exista un blockout — fuera del alcance de este documento conceptual.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color w:val="3B2E22"/>
          <w:sz w:val="22"/>
          <w:szCs w:val="22"/>
        </w:rPr>
        <w:t xml:space="preserve">Cuando se diseñen los 5 casos, arte/audio debe revisar que ninguna zona reciba iluminación "especial" que rompa la regla de cambio uniforme y no selectivo (Art Bible, Sección 2).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2E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2026-07-21T22:01:28.054Z</dcterms:created>
  <dcterms:modified xsi:type="dcterms:W3CDTF">2026-07-21T22:01:28.055Z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