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6B5B4A"/>
          <w:sz w:val="24"/>
          <w:szCs w:val="24"/>
        </w:rPr>
        <w:t xml:space="preserve">MONTE ADENTRO</w:t>
      </w:r>
    </w:p>
    <w:p>
      <w:pPr>
        <w:spacing w:after="300"/>
        <w:jc w:val="center"/>
      </w:pPr>
      <w:r>
        <w:rPr>
          <w:rFonts w:ascii="Calibri" w:cs="Calibri" w:eastAsia="Calibri" w:hAnsi="Calibri"/>
          <w:b/>
          <w:bCs/>
          <w:color w:val="9C4B23"/>
          <w:sz w:val="56"/>
          <w:szCs w:val="56"/>
        </w:rPr>
        <w:t xml:space="preserve">Ficha de Entidad — El Mohán (Poira)</w:t>
      </w:r>
    </w:p>
    <w:p>
      <w:pPr>
        <w:spacing w:after="500"/>
        <w:jc w:val="center"/>
      </w:pPr>
      <w:r>
        <w:rPr>
          <w:rFonts w:ascii="Calibri" w:cs="Calibri" w:eastAsia="Calibri" w:hAnsi="Calibri"/>
          <w:i/>
          <w:iCs/>
          <w:color w:val="3B2E22"/>
          <w:sz w:val="26"/>
          <w:szCs w:val="26"/>
        </w:rPr>
        <w:t xml:space="preserve">Verbo de resolución: DAR / NEGOCIAR UN PACTO</w:t>
      </w:r>
    </w:p>
    <w:p>
      <w:pPr>
        <w:spacing w:after="60"/>
        <w:jc w:val="center"/>
      </w:pPr>
      <w:r>
        <w:rPr>
          <w:rFonts w:ascii="Calibri" w:cs="Calibri" w:eastAsia="Calibri" w:hAnsi="Calibri"/>
          <w:b/>
          <w:bCs/>
          <w:color w:val="6B5B4A"/>
          <w:sz w:val="20"/>
          <w:szCs w:val="20"/>
        </w:rPr>
        <w:t xml:space="preserve">Basado en: </w:t>
      </w:r>
      <w:r>
        <w:rPr>
          <w:rFonts w:ascii="Calibri" w:cs="Calibri" w:eastAsia="Calibri" w:hAnsi="Calibri"/>
          <w:color w:val="6B5B4A"/>
          <w:sz w:val="20"/>
          <w:szCs w:val="20"/>
        </w:rPr>
        <w:t xml:space="preserve">mohan.md</w:t>
      </w:r>
    </w:p>
    <w:p>
      <w:pPr>
        <w:spacing w:after="60"/>
        <w:jc w:val="center"/>
      </w:pPr>
      <w:r>
        <w:rPr>
          <w:rFonts w:ascii="Calibri" w:cs="Calibri" w:eastAsia="Calibri" w:hAnsi="Calibri"/>
          <w:b/>
          <w:bCs/>
          <w:color w:val="6B5B4A"/>
          <w:sz w:val="20"/>
          <w:szCs w:val="20"/>
        </w:rPr>
        <w:t xml:space="preserve">Ambientación: </w:t>
      </w:r>
      <w:r>
        <w:rPr>
          <w:rFonts w:ascii="Calibri" w:cs="Calibri" w:eastAsia="Calibri" w:hAnsi="Calibri"/>
          <w:color w:val="6B5B4A"/>
          <w:sz w:val="20"/>
          <w:szCs w:val="20"/>
        </w:rPr>
        <w:t xml:space="preserve">Región Andina (MVP)</w:t>
      </w:r>
    </w:p>
    <w:p>
      <w:pPr>
        <w:spacing w:after="60"/>
        <w:jc w:val="center"/>
      </w:pPr>
      <w:r>
        <w:rPr>
          <w:rFonts w:ascii="Calibri" w:cs="Calibri" w:eastAsia="Calibri" w:hAnsi="Calibri"/>
          <w:b/>
          <w:bCs/>
          <w:color w:val="6B5B4A"/>
          <w:sz w:val="20"/>
          <w:szCs w:val="20"/>
        </w:rPr>
        <w:t xml:space="preserve">Dominio: </w:t>
      </w:r>
      <w:r>
        <w:rPr>
          <w:rFonts w:ascii="Calibri" w:cs="Calibri" w:eastAsia="Calibri" w:hAnsi="Calibri"/>
          <w:color w:val="6B5B4A"/>
          <w:sz w:val="20"/>
          <w:szCs w:val="20"/>
        </w:rPr>
        <w:t xml:space="preserve">El río, límite sur del pueblo</w:t>
      </w:r>
    </w:p>
    <w:p>
      <w:pPr>
        <w:spacing w:after="60"/>
        <w:jc w:val="center"/>
      </w:pPr>
      <w:r>
        <w:rPr>
          <w:rFonts w:ascii="Calibri" w:cs="Calibri" w:eastAsia="Calibri" w:hAnsi="Calibri"/>
          <w:b/>
          <w:bCs/>
          <w:color w:val="6B5B4A"/>
          <w:sz w:val="20"/>
          <w:szCs w:val="20"/>
        </w:rPr>
        <w:t xml:space="preserve">Tipo de documento: </w:t>
      </w:r>
      <w:r>
        <w:rPr>
          <w:rFonts w:ascii="Calibri" w:cs="Calibri" w:eastAsia="Calibri" w:hAnsi="Calibri"/>
          <w:color w:val="6B5B4A"/>
          <w:sz w:val="20"/>
          <w:szCs w:val="20"/>
        </w:rPr>
        <w:t xml:space="preserve">Narrativo + diseño de sistemas — define reglas jugables, no implementación técnica</w:t>
      </w:r>
    </w:p>
    <w:p>
      <w:r>
        <w:br w:type="page"/>
      </w:r>
    </w:p>
    <w:p>
      <w:pPr>
        <w:pStyle w:val="Heading1"/>
        <w:pBdr>
          <w:bottom w:val="single" w:color="9C4B23" w:sz="8" w:space="4"/>
        </w:pBdr>
        <w:spacing w:after="240" w:before="400"/>
      </w:pPr>
      <w:r>
        <w:rPr>
          <w:rFonts w:ascii="Calibri" w:cs="Calibri" w:eastAsia="Calibri" w:hAnsi="Calibri"/>
          <w:b/>
          <w:bCs/>
          <w:color w:val="9C4B23"/>
          <w:sz w:val="40"/>
          <w:szCs w:val="40"/>
        </w:rPr>
        <w:t xml:space="preserve">Quién es</w:t>
      </w:r>
    </w:p>
    <w:p>
      <w:pPr>
        <w:spacing w:after="160" w:line="300"/>
      </w:pPr>
      <w:r>
        <w:rPr>
          <w:rFonts w:ascii="Calibri" w:cs="Calibri" w:eastAsia="Calibri" w:hAnsi="Calibri"/>
          <w:b w:val="false"/>
          <w:bCs w:val="false"/>
          <w:i w:val="false"/>
          <w:iCs w:val="false"/>
          <w:color w:val="3B2E22"/>
          <w:sz w:val="22"/>
          <w:szCs w:val="22"/>
        </w:rPr>
        <w:t xml:space="preserve">El Mohán no es un monstruo del río: es su dueño. Un ser antiguo, velludo, de ojos de brasa y cabellera y barba enredadas de musgo, que vive en los pozos profundos y las cuevas bajo las barrancas. Fuma tabaco, bebe aguardiente, toca música (tiple, guacharaca o flauta, según quién cuente) y es un seductor incansable. No odia al pueblo: cobra. El río da pescado, agua para el trapiche y un cruce seguro por el vado — y todo eso, en la cosmovisión del pueblo, tiene dueño y tiene precio.</w:t>
      </w:r>
    </w:p>
    <w:p>
      <w:pPr>
        <w:pStyle w:val="Heading3"/>
        <w:spacing w:after="120" w:before="240"/>
      </w:pPr>
      <w:r>
        <w:rPr>
          <w:rFonts w:ascii="Calibri" w:cs="Calibri" w:eastAsia="Calibri" w:hAnsi="Calibri"/>
          <w:b/>
          <w:bCs/>
          <w:color w:val="9C4B23"/>
          <w:sz w:val="25"/>
          <w:szCs w:val="25"/>
        </w:rPr>
        <w:t xml:space="preserve">El pacto ancestral local</w:t>
      </w:r>
    </w:p>
    <w:p>
      <w:pPr>
        <w:spacing w:after="160" w:line="300"/>
      </w:pPr>
      <w:r>
        <w:rPr>
          <w:rFonts w:ascii="Calibri" w:cs="Calibri" w:eastAsia="Calibri" w:hAnsi="Calibri"/>
          <w:b w:val="false"/>
          <w:bCs w:val="false"/>
          <w:i w:val="false"/>
          <w:iCs w:val="false"/>
          <w:color w:val="3B2E22"/>
          <w:sz w:val="22"/>
          <w:szCs w:val="22"/>
        </w:rPr>
        <w:t xml:space="preserve">Existe una costumbre concreta y todavía viva: sobre una piedra plana junto al vado (la llaman "la piedra del dueño" los viejos, "la piedra de las ánimas" los devotos, "esa bobada" los jóvenes), los pescadores dejan tabaco mascado y un chorro de aguardiente antes de las jornadas importantes, y las lavanderas no cantan ciertas coplas "para no llamarlo". Nadie recuerda haber pactado nada formalmente — el pacto se hereda como se hereda el oficio. Mientras la piedra se alimente, el río es generoso y el vado es seguro. El pacto es tácito, relacional y frágil: no protege a "el pueblo" en abstracto, sino a quienes lo honran y a sus familias.</w:t>
      </w:r>
    </w:p>
    <w:p>
      <w:pPr>
        <w:pStyle w:val="Heading3"/>
        <w:spacing w:after="120" w:before="240"/>
      </w:pPr>
      <w:r>
        <w:rPr>
          <w:rFonts w:ascii="Calibri" w:cs="Calibri" w:eastAsia="Calibri" w:hAnsi="Calibri"/>
          <w:b/>
          <w:bCs/>
          <w:color w:val="9C4B23"/>
          <w:sz w:val="25"/>
          <w:szCs w:val="25"/>
        </w:rPr>
        <w:t xml:space="preserve">La leyenda cambia según a quién le preguntes</w:t>
      </w:r>
    </w:p>
    <w:p>
      <w:pPr>
        <w:spacing w:after="160" w:line="300"/>
      </w:pPr>
      <w:r>
        <w:rPr>
          <w:rFonts w:ascii="Calibri" w:cs="Calibri" w:eastAsia="Calibri" w:hAnsi="Calibri"/>
          <w:b w:val="false"/>
          <w:bCs w:val="false"/>
          <w:i w:val="false"/>
          <w:iCs w:val="false"/>
          <w:color w:val="3B2E22"/>
          <w:sz w:val="22"/>
          <w:szCs w:val="22"/>
        </w:rPr>
        <w:t xml:space="preserve">Esto es material de deducción, no ambientación — ningún NPC tiene la verdad completa, y el registro de quien habla sesga lo que dice (Pilar 5).</w:t>
      </w:r>
    </w:p>
    <w:p>
      <w:pPr>
        <w:pStyle w:val="ListParagraph"/>
        <w:numPr>
          <w:ilvl w:val="0"/>
          <w:numId w:val="1"/>
        </w:numPr>
        <w:spacing w:after="100" w:line="290"/>
      </w:pPr>
      <w:r>
        <w:rPr>
          <w:rFonts w:ascii="Calibri" w:cs="Calibri" w:eastAsia="Calibri" w:hAnsi="Calibri"/>
          <w:b/>
          <w:bCs/>
          <w:color w:val="9C4B23"/>
          <w:sz w:val="22"/>
          <w:szCs w:val="22"/>
        </w:rPr>
        <w:t xml:space="preserve">Los pescadores viejos — </w:t>
      </w:r>
      <w:r>
        <w:rPr>
          <w:rFonts w:ascii="Calibri" w:cs="Calibri" w:eastAsia="Calibri" w:hAnsi="Calibri"/>
          <w:color w:val="3B2E22"/>
          <w:sz w:val="22"/>
          <w:szCs w:val="22"/>
        </w:rPr>
        <w:t xml:space="preserve">lo cuentan como un patrón justo pero severo: "él da y él cobra; el que no paga, que no se queje". Para ellos es un hecho económico.</w:t>
      </w:r>
    </w:p>
    <w:p>
      <w:pPr>
        <w:pStyle w:val="ListParagraph"/>
        <w:numPr>
          <w:ilvl w:val="0"/>
          <w:numId w:val="1"/>
        </w:numPr>
        <w:spacing w:after="100" w:line="290"/>
      </w:pPr>
      <w:r>
        <w:rPr>
          <w:rFonts w:ascii="Calibri" w:cs="Calibri" w:eastAsia="Calibri" w:hAnsi="Calibri"/>
          <w:b/>
          <w:bCs/>
          <w:color w:val="9C4B23"/>
          <w:sz w:val="22"/>
          <w:szCs w:val="22"/>
        </w:rPr>
        <w:t xml:space="preserve">Las lavanderas de las piedras — </w:t>
      </w:r>
      <w:r>
        <w:rPr>
          <w:rFonts w:ascii="Calibri" w:cs="Calibri" w:eastAsia="Calibri" w:hAnsi="Calibri"/>
          <w:color w:val="3B2E22"/>
          <w:sz w:val="22"/>
          <w:szCs w:val="22"/>
        </w:rPr>
        <w:t xml:space="preserve">lo cuentan como seductor: se llevó a fulana, la vieron "rejuvenecida y ausente", habla de cuevas de oro y juventud. Registro de advertencia femenina, de madre a hija.</w:t>
      </w:r>
    </w:p>
    <w:p>
      <w:pPr>
        <w:pStyle w:val="ListParagraph"/>
        <w:numPr>
          <w:ilvl w:val="0"/>
          <w:numId w:val="1"/>
        </w:numPr>
        <w:spacing w:after="100" w:line="290"/>
      </w:pPr>
      <w:r>
        <w:rPr>
          <w:rFonts w:ascii="Calibri" w:cs="Calibri" w:eastAsia="Calibri" w:hAnsi="Calibri"/>
          <w:b/>
          <w:bCs/>
          <w:color w:val="9C4B23"/>
          <w:sz w:val="22"/>
          <w:szCs w:val="22"/>
        </w:rPr>
        <w:t xml:space="preserve">El cura y los devotos — </w:t>
      </w:r>
      <w:r>
        <w:rPr>
          <w:rFonts w:ascii="Calibri" w:cs="Calibri" w:eastAsia="Calibri" w:hAnsi="Calibri"/>
          <w:color w:val="3B2E22"/>
          <w:sz w:val="22"/>
          <w:szCs w:val="22"/>
        </w:rPr>
        <w:t xml:space="preserve">lo niegan y lo reducen a superstición o "el enemigo" — alimentar la piedra es pecado, y hay una campaña reciente por acabar la costumbre.</w:t>
      </w:r>
    </w:p>
    <w:p>
      <w:pPr>
        <w:pStyle w:val="ListParagraph"/>
        <w:numPr>
          <w:ilvl w:val="0"/>
          <w:numId w:val="1"/>
        </w:numPr>
        <w:spacing w:after="100" w:line="290"/>
      </w:pPr>
      <w:r>
        <w:rPr>
          <w:rFonts w:ascii="Calibri" w:cs="Calibri" w:eastAsia="Calibri" w:hAnsi="Calibri"/>
          <w:b/>
          <w:bCs/>
          <w:color w:val="9C4B23"/>
          <w:sz w:val="22"/>
          <w:szCs w:val="22"/>
        </w:rPr>
        <w:t xml:space="preserve">Los niños de la escuela — </w:t>
      </w:r>
      <w:r>
        <w:rPr>
          <w:rFonts w:ascii="Calibri" w:cs="Calibri" w:eastAsia="Calibri" w:hAnsi="Calibri"/>
          <w:color w:val="3B2E22"/>
          <w:sz w:val="22"/>
          <w:szCs w:val="22"/>
        </w:rPr>
        <w:t xml:space="preserve">lo mezclan con el coco — exageraciones útiles, con algún detalle real enterrado en la fantasía.</w:t>
      </w:r>
    </w:p>
    <w:p>
      <w:pPr>
        <w:pStyle w:val="ListParagraph"/>
        <w:numPr>
          <w:ilvl w:val="0"/>
          <w:numId w:val="1"/>
        </w:numPr>
        <w:spacing w:after="100" w:line="290"/>
      </w:pPr>
      <w:r>
        <w:rPr>
          <w:rFonts w:ascii="Calibri" w:cs="Calibri" w:eastAsia="Calibri" w:hAnsi="Calibri"/>
          <w:b/>
          <w:bCs/>
          <w:color w:val="9C4B23"/>
          <w:sz w:val="22"/>
          <w:szCs w:val="22"/>
        </w:rPr>
        <w:t xml:space="preserve">El corregidor / la gente nueva del barrio nuevo — </w:t>
      </w:r>
      <w:r>
        <w:rPr>
          <w:rFonts w:ascii="Calibri" w:cs="Calibri" w:eastAsia="Calibri" w:hAnsi="Calibri"/>
          <w:color w:val="3B2E22"/>
          <w:sz w:val="22"/>
          <w:szCs w:val="22"/>
        </w:rPr>
        <w:t xml:space="preserve">tienden a la explicación racional: "es la creciente", "son cuentos", "alguien está robando".</w:t>
      </w:r>
    </w:p>
    <w:p>
      <w:pPr>
        <w:pStyle w:val="Heading1"/>
        <w:pBdr>
          <w:bottom w:val="single" w:color="9C4B23" w:sz="8" w:space="4"/>
        </w:pBdr>
        <w:spacing w:after="240" w:before="400"/>
      </w:pPr>
      <w:r>
        <w:rPr>
          <w:rFonts w:ascii="Calibri" w:cs="Calibri" w:eastAsia="Calibri" w:hAnsi="Calibri"/>
          <w:b/>
          <w:bCs/>
          <w:color w:val="9C4B23"/>
          <w:sz w:val="40"/>
          <w:szCs w:val="40"/>
        </w:rPr>
        <w:t xml:space="preserve">El verbo jugable: la regla del pacto</w:t>
      </w:r>
    </w:p>
    <w:p>
      <w:pPr>
        <w:spacing w:after="160" w:line="300"/>
      </w:pPr>
      <w:r>
        <w:rPr>
          <w:rFonts w:ascii="Calibri" w:cs="Calibri" w:eastAsia="Calibri" w:hAnsi="Calibri"/>
          <w:b w:val="false"/>
          <w:bCs w:val="false"/>
          <w:i w:val="false"/>
          <w:iCs w:val="false"/>
          <w:color w:val="3B2E22"/>
          <w:sz w:val="22"/>
          <w:szCs w:val="22"/>
        </w:rPr>
        <w:t xml:space="preserve">El error de diseño a evitar es que negociar degenere en "adivina el ítem del inventario". La solución: la ofrenda no es un objeto que se encuentra, es una composición que se deduce, con tres componentes que las pruebas del caso determinan. Encontrar tabaco o aguardiente es trivial; saber qué ofrecer, por qué y de parte de quién es todo el juego.</w:t>
      </w:r>
    </w:p>
    <w:p>
      <w:pPr>
        <w:pStyle w:val="Heading3"/>
        <w:spacing w:after="120" w:before="240"/>
      </w:pPr>
      <w:r>
        <w:rPr>
          <w:rFonts w:ascii="Calibri" w:cs="Calibri" w:eastAsia="Calibri" w:hAnsi="Calibri"/>
          <w:b/>
          <w:bCs/>
          <w:color w:val="9C4B23"/>
          <w:sz w:val="25"/>
          <w:szCs w:val="25"/>
        </w:rPr>
        <w:t xml:space="preserve">Los tres componentes de una ofrenda válida</w:t>
      </w:r>
    </w:p>
    <w:p>
      <w:pPr>
        <w:pStyle w:val="ListParagraph"/>
        <w:numPr>
          <w:ilvl w:val="0"/>
          <w:numId w:val="1"/>
        </w:numPr>
        <w:spacing w:after="100" w:line="290"/>
      </w:pPr>
      <w:r>
        <w:rPr>
          <w:rFonts w:ascii="Calibri" w:cs="Calibri" w:eastAsia="Calibri" w:hAnsi="Calibri"/>
          <w:b/>
          <w:bCs/>
          <w:color w:val="9C4B23"/>
          <w:sz w:val="22"/>
          <w:szCs w:val="22"/>
        </w:rPr>
        <w:t xml:space="preserve">A) El tributo base ("la renta") — </w:t>
      </w:r>
      <w:r>
        <w:rPr>
          <w:rFonts w:ascii="Calibri" w:cs="Calibri" w:eastAsia="Calibri" w:hAnsi="Calibri"/>
          <w:color w:val="3B2E22"/>
          <w:sz w:val="22"/>
          <w:szCs w:val="22"/>
        </w:rPr>
        <w:t xml:space="preserve">tabaco y aguardiente sobre la piedra. Es el mínimo relacional que reconoce que el río tiene dueño. Casi siempre presente; su ausencia (piedra barrida, costumbre abandonada) suele ser la causa misma del conflicto, no la solución.</w:t>
      </w:r>
    </w:p>
    <w:p>
      <w:pPr>
        <w:pStyle w:val="ListParagraph"/>
        <w:numPr>
          <w:ilvl w:val="0"/>
          <w:numId w:val="1"/>
        </w:numPr>
        <w:spacing w:after="100" w:line="290"/>
      </w:pPr>
      <w:r>
        <w:rPr>
          <w:rFonts w:ascii="Calibri" w:cs="Calibri" w:eastAsia="Calibri" w:hAnsi="Calibri"/>
          <w:b/>
          <w:bCs/>
          <w:color w:val="9C4B23"/>
          <w:sz w:val="22"/>
          <w:szCs w:val="22"/>
        </w:rPr>
        <w:t xml:space="preserve">B) La restitución (el corazón de la deducción) — </w:t>
      </w:r>
      <w:r>
        <w:rPr>
          <w:rFonts w:ascii="Calibri" w:cs="Calibri" w:eastAsia="Calibri" w:hAnsi="Calibri"/>
          <w:color w:val="3B2E22"/>
          <w:sz w:val="22"/>
          <w:szCs w:val="22"/>
        </w:rPr>
        <w:t xml:space="preserve">el Mohán se enoja por una transgresión concreta, y el tributo base no basta si esa transgresión sigue abierta. La restitución debe corresponder a lo que se rompió:</w:t>
      </w:r>
    </w:p>
    <w:p>
      <w:pPr>
        <w:pStyle w:val="ListParagraph"/>
        <w:numPr>
          <w:ilvl w:val="1"/>
          <w:numId w:val="1"/>
        </w:numPr>
        <w:spacing w:after="100" w:line="290"/>
      </w:pPr>
      <w:r>
        <w:rPr>
          <w:rFonts w:ascii="Calibri" w:cs="Calibri" w:eastAsia="Calibri" w:hAnsi="Calibri"/>
          <w:b w:val="false"/>
          <w:bCs w:val="false"/>
          <w:color w:val="3B2E22"/>
          <w:sz w:val="22"/>
          <w:szCs w:val="22"/>
        </w:rPr>
        <w:t xml:space="preserve">Si alguien cortó el flujo (represó el agua en el trapiche, tapó un pozo) → la restitución es devolver el agua / abrir el paso, no más aguardiente.</w:t>
      </w:r>
    </w:p>
    <w:p>
      <w:pPr>
        <w:pStyle w:val="ListParagraph"/>
        <w:numPr>
          <w:ilvl w:val="1"/>
          <w:numId w:val="1"/>
        </w:numPr>
        <w:spacing w:after="100" w:line="290"/>
      </w:pPr>
      <w:r>
        <w:rPr>
          <w:rFonts w:ascii="Calibri" w:cs="Calibri" w:eastAsia="Calibri" w:hAnsi="Calibri"/>
          <w:b w:val="false"/>
          <w:bCs w:val="false"/>
          <w:color w:val="3B2E22"/>
          <w:sz w:val="22"/>
          <w:szCs w:val="22"/>
        </w:rPr>
        <w:t xml:space="preserve">Si alguien pescó en tiempo o lugar vedado → restitución = renunciar a esa captura o compensarla.</w:t>
      </w:r>
    </w:p>
    <w:p>
      <w:pPr>
        <w:pStyle w:val="ListParagraph"/>
        <w:numPr>
          <w:ilvl w:val="1"/>
          <w:numId w:val="1"/>
        </w:numPr>
        <w:spacing w:after="100" w:line="290"/>
      </w:pPr>
      <w:r>
        <w:rPr>
          <w:rFonts w:ascii="Calibri" w:cs="Calibri" w:eastAsia="Calibri" w:hAnsi="Calibri"/>
          <w:b w:val="false"/>
          <w:bCs w:val="false"/>
          <w:color w:val="3B2E22"/>
          <w:sz w:val="22"/>
          <w:szCs w:val="22"/>
        </w:rPr>
        <w:t xml:space="preserve">Si alguien ensució o profanó su dominio → restitución = limpiar/honrar.</w:t>
      </w:r>
    </w:p>
    <w:p>
      <w:pPr>
        <w:pStyle w:val="ListParagraph"/>
        <w:numPr>
          <w:ilvl w:val="1"/>
          <w:numId w:val="1"/>
        </w:numPr>
        <w:spacing w:after="100" w:line="290"/>
      </w:pPr>
      <w:r>
        <w:rPr>
          <w:rFonts w:ascii="Calibri" w:cs="Calibri" w:eastAsia="Calibri" w:hAnsi="Calibri"/>
          <w:b w:val="false"/>
          <w:bCs w:val="false"/>
          <w:color w:val="3B2E22"/>
          <w:sz w:val="22"/>
          <w:szCs w:val="22"/>
        </w:rPr>
        <w:t xml:space="preserve">Si el Mohán retiene a una persona (seducción) → la restitución cambia de naturaleza: no se le paga por la persona, se negocia un sustituto de valor equivalente para él, o se descubre que el pacto es con ella, no contigo.</w:t>
      </w:r>
    </w:p>
    <w:p>
      <w:pPr>
        <w:pStyle w:val="ListParagraph"/>
        <w:numPr>
          <w:ilvl w:val="0"/>
          <w:numId w:val="1"/>
        </w:numPr>
        <w:spacing w:after="100" w:line="290"/>
      </w:pPr>
      <w:r>
        <w:rPr>
          <w:rFonts w:ascii="Calibri" w:cs="Calibri" w:eastAsia="Calibri" w:hAnsi="Calibri"/>
          <w:b/>
          <w:bCs/>
          <w:color w:val="9C4B23"/>
          <w:sz w:val="22"/>
          <w:szCs w:val="22"/>
        </w:rPr>
        <w:t xml:space="preserve">C) El portador legítimo (regla simplificada para el MVP) — </w:t>
      </w:r>
      <w:r>
        <w:rPr>
          <w:rFonts w:ascii="Calibri" w:cs="Calibri" w:eastAsia="Calibri" w:hAnsi="Calibri"/>
          <w:color w:val="3B2E22"/>
          <w:sz w:val="22"/>
          <w:szCs w:val="22"/>
        </w:rPr>
        <w:t xml:space="preserve">el pacto es entre el Mohán y personas, no entidades abstractas. Regla del MVP, deliberadamente simple, sin excepciones ni linajes: el Mohán reconoce únicamente a quien tiene relación directa con la transgresión o con aquello que debe restituirse — quien la cometió, o quien está más directamente afectado por ella. Cualquier otra persona que intente ofrendar es ignorada o cobrada de más. Esta regla puede ampliarse en casos posteriores si el sistema demuestra funcionar en el MVP.</w:t>
      </w:r>
    </w:p>
    <w:p>
      <w:pPr>
        <w:pStyle w:val="Heading3"/>
        <w:spacing w:after="120" w:before="240"/>
      </w:pPr>
      <w:r>
        <w:rPr>
          <w:rFonts w:ascii="Calibri" w:cs="Calibri" w:eastAsia="Calibri" w:hAnsi="Calibri"/>
          <w:b/>
          <w:bCs/>
          <w:color w:val="9C4B23"/>
          <w:sz w:val="25"/>
          <w:szCs w:val="25"/>
        </w:rPr>
        <w:t xml:space="preserve">Qué invalida una ofrenda</w:t>
      </w:r>
    </w:p>
    <w:p>
      <w:pPr>
        <w:pStyle w:val="ListParagraph"/>
        <w:numPr>
          <w:ilvl w:val="0"/>
          <w:numId w:val="1"/>
        </w:numPr>
        <w:spacing w:after="100" w:line="290"/>
      </w:pPr>
      <w:r>
        <w:rPr>
          <w:rFonts w:ascii="Calibri" w:cs="Calibri" w:eastAsia="Calibri" w:hAnsi="Calibri"/>
          <w:b/>
          <w:bCs/>
          <w:color w:val="9C4B23"/>
          <w:sz w:val="22"/>
          <w:szCs w:val="22"/>
        </w:rPr>
        <w:t xml:space="preserve">Ofrecer contra su naturaleza — </w:t>
      </w:r>
      <w:r>
        <w:rPr>
          <w:rFonts w:ascii="Calibri" w:cs="Calibri" w:eastAsia="Calibri" w:hAnsi="Calibri"/>
          <w:color w:val="3B2E22"/>
          <w:sz w:val="22"/>
          <w:szCs w:val="22"/>
        </w:rPr>
        <w:t xml:space="preserve">agua bendita, oraciones, cruces, amenazas, fuego → no es que "no funcione", es que ofende y transforma el encuentro a peor. El Mohán no es un demonio a exorcizar; tratarlo como tal rompe el pacto en vez de restaurarlo.</w:t>
      </w:r>
    </w:p>
    <w:p>
      <w:pPr>
        <w:pStyle w:val="ListParagraph"/>
        <w:numPr>
          <w:ilvl w:val="0"/>
          <w:numId w:val="1"/>
        </w:numPr>
        <w:spacing w:after="100" w:line="290"/>
      </w:pPr>
      <w:r>
        <w:rPr>
          <w:rFonts w:ascii="Calibri" w:cs="Calibri" w:eastAsia="Calibri" w:hAnsi="Calibri"/>
          <w:b/>
          <w:bCs/>
          <w:color w:val="9C4B23"/>
          <w:sz w:val="22"/>
          <w:szCs w:val="22"/>
        </w:rPr>
        <w:t xml:space="preserve">Restitución que no corresponde — </w:t>
      </w:r>
      <w:r>
        <w:rPr>
          <w:rFonts w:ascii="Calibri" w:cs="Calibri" w:eastAsia="Calibri" w:hAnsi="Calibri"/>
          <w:color w:val="3B2E22"/>
          <w:sz w:val="22"/>
          <w:szCs w:val="22"/>
        </w:rPr>
        <w:t xml:space="preserve">pagar tributo cuando lo roto es el flujo del agua → el Mohán acepta el aguardiente y sigue cobrando, porque la causa real sigue abierta — un falso positivo peligroso.</w:t>
      </w:r>
    </w:p>
    <w:p>
      <w:pPr>
        <w:pStyle w:val="ListParagraph"/>
        <w:numPr>
          <w:ilvl w:val="0"/>
          <w:numId w:val="1"/>
        </w:numPr>
        <w:spacing w:after="100" w:line="290"/>
      </w:pPr>
      <w:r>
        <w:rPr>
          <w:rFonts w:ascii="Calibri" w:cs="Calibri" w:eastAsia="Calibri" w:hAnsi="Calibri"/>
          <w:b/>
          <w:bCs/>
          <w:color w:val="9C4B23"/>
          <w:sz w:val="22"/>
          <w:szCs w:val="22"/>
        </w:rPr>
        <w:t xml:space="preserve">Sobrepago — </w:t>
      </w:r>
      <w:r>
        <w:rPr>
          <w:rFonts w:ascii="Calibri" w:cs="Calibri" w:eastAsia="Calibri" w:hAnsi="Calibri"/>
          <w:color w:val="3B2E22"/>
          <w:sz w:val="22"/>
          <w:szCs w:val="22"/>
        </w:rPr>
        <w:t xml:space="preserve">dar de más "por si acaso" → el Mohán fija ese nuevo precio y lo esperará siempre — consecuencia permanente.</w:t>
      </w:r>
    </w:p>
    <w:p>
      <w:pPr>
        <w:pStyle w:val="ListParagraph"/>
        <w:numPr>
          <w:ilvl w:val="0"/>
          <w:numId w:val="1"/>
        </w:numPr>
        <w:spacing w:after="100" w:line="290"/>
      </w:pPr>
      <w:r>
        <w:rPr>
          <w:rFonts w:ascii="Calibri" w:cs="Calibri" w:eastAsia="Calibri" w:hAnsi="Calibri"/>
          <w:b/>
          <w:bCs/>
          <w:color w:val="9C4B23"/>
          <w:sz w:val="22"/>
          <w:szCs w:val="22"/>
        </w:rPr>
        <w:t xml:space="preserve">Portador ilegítimo — </w:t>
      </w:r>
      <w:r>
        <w:rPr>
          <w:rFonts w:ascii="Calibri" w:cs="Calibri" w:eastAsia="Calibri" w:hAnsi="Calibri"/>
          <w:color w:val="3B2E22"/>
          <w:sz w:val="22"/>
          <w:szCs w:val="22"/>
        </w:rPr>
        <w:t xml:space="preserve">la ofrenda correcta dada por la persona equivocada → se degrada a tributo base y no cierra la transgresión.</w:t>
      </w:r>
    </w:p>
    <w:p>
      <w:pPr>
        <w:pStyle w:val="Heading3"/>
        <w:spacing w:after="120" w:before="240"/>
      </w:pPr>
      <w:r>
        <w:rPr>
          <w:rFonts w:ascii="Calibri" w:cs="Calibri" w:eastAsia="Calibri" w:hAnsi="Calibri"/>
          <w:b/>
          <w:bCs/>
          <w:color w:val="9C4B23"/>
          <w:sz w:val="25"/>
          <w:szCs w:val="25"/>
        </w:rPr>
        <w:t xml:space="preserve">Por qué no se puede memorizar</w:t>
      </w:r>
    </w:p>
    <w:p>
      <w:pPr>
        <w:spacing w:after="160" w:line="300"/>
      </w:pPr>
      <w:r>
        <w:rPr>
          <w:rFonts w:ascii="Calibri" w:cs="Calibri" w:eastAsia="Calibri" w:hAnsi="Calibri"/>
          <w:b w:val="false"/>
          <w:bCs w:val="false"/>
          <w:i w:val="false"/>
          <w:iCs w:val="false"/>
          <w:color w:val="3B2E22"/>
          <w:sz w:val="22"/>
          <w:szCs w:val="22"/>
        </w:rPr>
        <w:t xml:space="preserve">La regla que el jugador aprende NO es "dale tabaco y aguardiente" — esa es la trampa de memorización. La regla real es: identifica la transgresión, haz que corresponda la restitución, y hazla dar por quien tiene relación directa con ella. Como la transgresión cambia en cada caso (represó / pescó vedado / profanó / sedujo), la ofrenda correcta cambia con ella. Un jugador que memorizó "tabaco+aguardiente" fallará el segundo caso del Mohán, porque ahí lo roto no era la renta. Esto sostiene el Pilar 3 incluso dentro del mismo mito.</w:t>
      </w:r>
    </w:p>
    <w:p>
      <w:pPr>
        <w:pStyle w:val="Heading1"/>
        <w:pBdr>
          <w:bottom w:val="single" w:color="9C4B23" w:sz="8" w:space="4"/>
        </w:pBdr>
        <w:spacing w:after="240" w:before="400"/>
      </w:pPr>
      <w:r>
        <w:rPr>
          <w:rFonts w:ascii="Calibri" w:cs="Calibri" w:eastAsia="Calibri" w:hAnsi="Calibri"/>
          <w:b/>
          <w:bCs/>
          <w:color w:val="9C4B23"/>
          <w:sz w:val="40"/>
          <w:szCs w:val="40"/>
        </w:rPr>
        <w:t xml:space="preserve">Señales observables (antes de la certeza)</w:t>
      </w:r>
    </w:p>
    <w:p>
      <w:pPr>
        <w:spacing w:after="160" w:line="300"/>
      </w:pPr>
      <w:r>
        <w:rPr>
          <w:rFonts w:ascii="Calibri" w:cs="Calibri" w:eastAsia="Calibri" w:hAnsi="Calibri"/>
          <w:b w:val="false"/>
          <w:bCs w:val="false"/>
          <w:i/>
          <w:iCs/>
          <w:color w:val="6B5B4A"/>
          <w:sz w:val="20"/>
          <w:szCs w:val="20"/>
        </w:rPr>
        <w:t xml:space="preserve">El Art Bible prohíbe que el arte delate al Mohán — nada de tratamiento visual especial, nada de iluminación selectiva de peligro. Por eso todas estas señales viven en comportamiento de NPCs, testimonios y patrones de eventos, nunca en cómo se ve el mundo.</w:t>
      </w:r>
    </w:p>
    <w:p>
      <w:pPr>
        <w:pStyle w:val="ListParagraph"/>
        <w:numPr>
          <w:ilvl w:val="0"/>
          <w:numId w:val="1"/>
        </w:numPr>
        <w:spacing w:after="100" w:line="290"/>
      </w:pPr>
      <w:r>
        <w:rPr>
          <w:rFonts w:ascii="Calibri" w:cs="Calibri" w:eastAsia="Calibri" w:hAnsi="Calibri"/>
          <w:b/>
          <w:bCs/>
          <w:color w:val="9C4B23"/>
          <w:sz w:val="22"/>
          <w:szCs w:val="22"/>
        </w:rPr>
        <w:t xml:space="preserve">Patrón económico asimétrico (la señal madre) — </w:t>
      </w:r>
      <w:r>
        <w:rPr>
          <w:rFonts w:ascii="Calibri" w:cs="Calibri" w:eastAsia="Calibri" w:hAnsi="Calibri"/>
          <w:color w:val="3B2E22"/>
          <w:sz w:val="22"/>
          <w:szCs w:val="22"/>
        </w:rPr>
        <w:t xml:space="preserve">la desgracia del río no es uniforme — unos pescadores siguen con buenas jornadas, otros vuelven con las redes vacías o rotas. Esa asimetría es rastreable a quién dejó de alimentar la piedra o quién ofendió al río. Una causa natural (creciente) golpearía a todos por igual; esta selectividad es la primera pista de que hay un dueño cobrando.</w:t>
      </w:r>
    </w:p>
    <w:p>
      <w:pPr>
        <w:pStyle w:val="ListParagraph"/>
        <w:numPr>
          <w:ilvl w:val="0"/>
          <w:numId w:val="1"/>
        </w:numPr>
        <w:spacing w:after="100" w:line="290"/>
      </w:pPr>
      <w:r>
        <w:rPr>
          <w:rFonts w:ascii="Calibri" w:cs="Calibri" w:eastAsia="Calibri" w:hAnsi="Calibri"/>
          <w:b/>
          <w:bCs/>
          <w:color w:val="9C4B23"/>
          <w:sz w:val="22"/>
          <w:szCs w:val="22"/>
        </w:rPr>
        <w:t xml:space="preserve">La piedra del vado — </w:t>
      </w:r>
      <w:r>
        <w:rPr>
          <w:rFonts w:ascii="Calibri" w:cs="Calibri" w:eastAsia="Calibri" w:hAnsi="Calibri"/>
          <w:color w:val="3B2E22"/>
          <w:sz w:val="22"/>
          <w:szCs w:val="22"/>
        </w:rPr>
        <w:t xml:space="preserve">¿está alimentada, barrida, o alguien la limpió a propósito? Si el cura o un converso "acabó con esa superstición" y el conflicto empezó después, hay correlación temporal.</w:t>
      </w:r>
    </w:p>
    <w:p>
      <w:pPr>
        <w:pStyle w:val="ListParagraph"/>
        <w:numPr>
          <w:ilvl w:val="0"/>
          <w:numId w:val="1"/>
        </w:numPr>
        <w:spacing w:after="100" w:line="290"/>
      </w:pPr>
      <w:r>
        <w:rPr>
          <w:rFonts w:ascii="Calibri" w:cs="Calibri" w:eastAsia="Calibri" w:hAnsi="Calibri"/>
          <w:b/>
          <w:bCs/>
          <w:color w:val="9C4B23"/>
          <w:sz w:val="22"/>
          <w:szCs w:val="22"/>
        </w:rPr>
        <w:t xml:space="preserve">Música al crepúsculo — </w:t>
      </w:r>
      <w:r>
        <w:rPr>
          <w:rFonts w:ascii="Calibri" w:cs="Calibri" w:eastAsia="Calibri" w:hAnsi="Calibri"/>
          <w:color w:val="3B2E22"/>
          <w:sz w:val="22"/>
          <w:szCs w:val="22"/>
        </w:rPr>
        <w:t xml:space="preserve">pescadores que "oyeron un tiple del lado del río a la caidita de la tarde" y nadie lo tocaba. Correlaciona con el reloj real (crepúsculo/noche), dándole al jugador una regla de timing sin codificar "modo peligro".</w:t>
      </w:r>
    </w:p>
    <w:p>
      <w:pPr>
        <w:pStyle w:val="ListParagraph"/>
        <w:numPr>
          <w:ilvl w:val="0"/>
          <w:numId w:val="1"/>
        </w:numPr>
        <w:spacing w:after="100" w:line="290"/>
      </w:pPr>
      <w:r>
        <w:rPr>
          <w:rFonts w:ascii="Calibri" w:cs="Calibri" w:eastAsia="Calibri" w:hAnsi="Calibri"/>
          <w:b/>
          <w:bCs/>
          <w:color w:val="9C4B23"/>
          <w:sz w:val="22"/>
          <w:szCs w:val="22"/>
        </w:rPr>
        <w:t xml:space="preserve">Conducta alterada de una persona (vector de seducción) — </w:t>
      </w:r>
      <w:r>
        <w:rPr>
          <w:rFonts w:ascii="Calibri" w:cs="Calibri" w:eastAsia="Calibri" w:hAnsi="Calibri"/>
          <w:color w:val="3B2E22"/>
          <w:sz w:val="22"/>
          <w:szCs w:val="22"/>
        </w:rPr>
        <w:t xml:space="preserve">alguien que se ve "más joven/radiante" según las lavanderas, se distrae, tararea una copla que no sabe de dónde sacó, baja al río sola al atardecer, guarda un objeto nuevo sin explicar su origen. Todo reportado por terceros, nunca un aura visual.</w:t>
      </w:r>
    </w:p>
    <w:p>
      <w:pPr>
        <w:pStyle w:val="ListParagraph"/>
        <w:numPr>
          <w:ilvl w:val="0"/>
          <w:numId w:val="1"/>
        </w:numPr>
        <w:spacing w:after="100" w:line="290"/>
      </w:pPr>
      <w:r>
        <w:rPr>
          <w:rFonts w:ascii="Calibri" w:cs="Calibri" w:eastAsia="Calibri" w:hAnsi="Calibri"/>
          <w:b/>
          <w:bCs/>
          <w:color w:val="9C4B23"/>
          <w:sz w:val="22"/>
          <w:szCs w:val="22"/>
        </w:rPr>
        <w:t xml:space="preserve">El tipo de daño físico — </w:t>
      </w:r>
      <w:r>
        <w:rPr>
          <w:rFonts w:ascii="Calibri" w:cs="Calibri" w:eastAsia="Calibri" w:hAnsi="Calibri"/>
          <w:color w:val="3B2E22"/>
          <w:sz w:val="22"/>
          <w:szCs w:val="22"/>
        </w:rPr>
        <w:t xml:space="preserve">redes cortadas limpias vs. enredadas/desgarradas por palos distinguen "el dueño cobrando" de una palizada sumergida natural. Aguardiente y tabaco que desaparecen de las reservas. Huellas o ausencia de huellas humanas en la orilla.</w:t>
      </w:r>
    </w:p>
    <w:p>
      <w:pPr>
        <w:pStyle w:val="ListParagraph"/>
        <w:numPr>
          <w:ilvl w:val="0"/>
          <w:numId w:val="1"/>
        </w:numPr>
        <w:spacing w:after="100" w:line="290"/>
      </w:pPr>
      <w:r>
        <w:rPr>
          <w:rFonts w:ascii="Calibri" w:cs="Calibri" w:eastAsia="Calibri" w:hAnsi="Calibri"/>
          <w:b/>
          <w:bCs/>
          <w:color w:val="9C4B23"/>
          <w:sz w:val="22"/>
          <w:szCs w:val="22"/>
        </w:rPr>
        <w:t xml:space="preserve">El silencio de los que saben — </w:t>
      </w:r>
      <w:r>
        <w:rPr>
          <w:rFonts w:ascii="Calibri" w:cs="Calibri" w:eastAsia="Calibri" w:hAnsi="Calibri"/>
          <w:color w:val="3B2E22"/>
          <w:sz w:val="22"/>
          <w:szCs w:val="22"/>
        </w:rPr>
        <w:t xml:space="preserve">los pescadores viejos evitan el tema o responden con evasivas ("no hay que nombrarlo") — quién no quiere hablar es en sí una señal.</w:t>
      </w:r>
    </w:p>
    <w:p>
      <w:pPr>
        <w:pStyle w:val="Heading1"/>
        <w:pBdr>
          <w:bottom w:val="single" w:color="9C4B23" w:sz="8" w:space="4"/>
        </w:pBdr>
        <w:spacing w:after="240" w:before="400"/>
      </w:pPr>
      <w:r>
        <w:rPr>
          <w:rFonts w:ascii="Calibri" w:cs="Calibri" w:eastAsia="Calibri" w:hAnsi="Calibri"/>
          <w:b/>
          <w:bCs/>
          <w:color w:val="9C4B23"/>
          <w:sz w:val="40"/>
          <w:szCs w:val="40"/>
        </w:rPr>
        <w:t xml:space="preserve">Hipótesis rivales (candidatos de confusión)</w:t>
      </w:r>
    </w:p>
    <w:p>
      <w:pPr>
        <w:spacing w:after="160" w:line="300"/>
      </w:pPr>
      <w:r>
        <w:rPr>
          <w:rFonts w:ascii="Calibri" w:cs="Calibri" w:eastAsia="Calibri" w:hAnsi="Calibri"/>
          <w:b w:val="false"/>
          <w:bCs w:val="false"/>
          <w:i w:val="false"/>
          <w:iCs w:val="false"/>
          <w:color w:val="3B2E22"/>
          <w:sz w:val="22"/>
          <w:szCs w:val="22"/>
        </w:rPr>
        <w:t xml:space="preserve">Los mismos síntomas — malas jornadas, redes rotas, alguien que desaparece o cambia — admiten al menos cuatro lecturas plausibles. Cada caso debe sembrar pistas para 2–4 de ellas.</w:t>
      </w:r>
    </w:p>
    <w:p>
      <w:pPr>
        <w:pStyle w:val="Heading3"/>
        <w:spacing w:after="120" w:before="240"/>
      </w:pPr>
      <w:r>
        <w:rPr>
          <w:rFonts w:ascii="Calibri" w:cs="Calibri" w:eastAsia="Calibri" w:hAnsi="Calibri"/>
          <w:b/>
          <w:bCs/>
          <w:color w:val="9C4B23"/>
          <w:sz w:val="25"/>
          <w:szCs w:val="25"/>
        </w:rPr>
        <w:t xml:space="preserve">1) Causa natural (creciente / palizada sumergida)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redes desgarradas, agua turbia, un ahogamiento.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Por qué engaña: es la explicación más económica, y el corregidor la empuja.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lo natural es uniforme y correlaciona con el clima (lluvias aguas arriba, creciente que sube para todos). Si el daño es selectivo y sigue a las personas, no al caudal, no es natural. Una palizada deja restos físicos localizables; el Mohán no.</w:t>
      </w:r>
    </w:p>
    <w:p>
      <w:pPr>
        <w:pStyle w:val="Heading3"/>
        <w:spacing w:after="120" w:before="240"/>
      </w:pPr>
      <w:r>
        <w:rPr>
          <w:rFonts w:ascii="Calibri" w:cs="Calibri" w:eastAsia="Calibri" w:hAnsi="Calibri"/>
          <w:b/>
          <w:bCs/>
          <w:color w:val="9C4B23"/>
          <w:sz w:val="25"/>
          <w:szCs w:val="25"/>
        </w:rPr>
        <w:t xml:space="preserve">2) La Madremonte (figura del monte, aguas arriba)</w:t>
      </w:r>
    </w:p>
    <w:p>
      <w:pPr>
        <w:spacing w:after="160" w:line="300"/>
      </w:pPr>
      <w:r>
        <w:rPr>
          <w:rFonts w:ascii="Calibri" w:cs="Calibri" w:eastAsia="Calibri" w:hAnsi="Calibri"/>
          <w:b w:val="false"/>
          <w:bCs w:val="false"/>
          <w:i/>
          <w:iCs/>
          <w:color w:val="6B5B4A"/>
          <w:sz w:val="20"/>
          <w:szCs w:val="20"/>
        </w:rPr>
        <w:t xml:space="preserve">Red herring — no confrontable en el MVP.</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agua súbitamente turbia, enfermedad de quien bebió, tormenta que "castiga".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Por qué engaña: comparte el elemento agua y es una atribución folclórica común — una confusión de dominio cruzado, ya que el monte (Patasola) y el río (Mohán) se tocan en el agua.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la Madremonte responde a transgresión ambiental (talar, ensuciar, cazar de más) y viene de arriba con creciente y mal tiempo — es impersonal y colectiva. El Mohán es transaccional y personal, atado a pozos e individuos concretos. Confundirlos garantiza una ofrenda equivocada: a la Madremonte no se le paga con tabaco.</w:t>
      </w:r>
    </w:p>
    <w:p>
      <w:pPr>
        <w:pStyle w:val="Heading3"/>
        <w:spacing w:after="120" w:before="240"/>
      </w:pPr>
      <w:r>
        <w:rPr>
          <w:rFonts w:ascii="Calibri" w:cs="Calibri" w:eastAsia="Calibri" w:hAnsi="Calibri"/>
          <w:b/>
          <w:bCs/>
          <w:color w:val="9C4B23"/>
          <w:sz w:val="25"/>
          <w:szCs w:val="25"/>
        </w:rPr>
        <w:t xml:space="preserve">3) Brujería local (maleficio humano)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la selectividad — la desgracia cae sobre una familia concreta. Este es el candidato peligroso, porque la selectividad también apunta al Mohán.</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Por qué engaña: reproduce el mismo síntoma-madre (asimetría) por una causa totalmente distinta.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el maleficio tiene un motivo humano rastreable (envidia, pleito de tierras, un desaire) y sigue a la persona, no al río — la víctima tiene mala suerte también lejos del agua. El "remedio" es un contrahechizo, no un pacto. Si el jugador va al río a negociar cuando era una bruja con rencor, negocia con nadie y el maleficio sigue.</w:t>
      </w:r>
    </w:p>
    <w:p>
      <w:pPr>
        <w:pStyle w:val="Heading3"/>
        <w:spacing w:after="120" w:before="240"/>
      </w:pPr>
      <w:r>
        <w:rPr>
          <w:rFonts w:ascii="Calibri" w:cs="Calibri" w:eastAsia="Calibri" w:hAnsi="Calibri"/>
          <w:b/>
          <w:bCs/>
          <w:color w:val="9C4B23"/>
          <w:sz w:val="25"/>
          <w:szCs w:val="25"/>
        </w:rPr>
        <w:t xml:space="preserve">4) Estafador humano (racket de "protección del río")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alguien exige "hay que pagarle al río", la piedra aparece barrida, hay una demanda de bienes.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Por qué engaña: imita el pacto real casi a la perfección — es el reverso oscuro de la costumbre. Puede ser el barquero del vado, un forastero de la fonda, o alguien que sabotea las redes de los que no pagan para sostener el miedo.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el tributo va a un bolsillo humano (dinero, no tabaco ritual); las demandas escalan hacia el efectivo; el sabotaje deja rastro físico (soga cortada con cuchillo, huellas, un cómplice). El Mohán no cobra en pesos.</w:t>
      </w:r>
    </w:p>
    <w:p>
      <w:pPr>
        <w:spacing w:after="160" w:line="300"/>
      </w:pPr>
      <w:r>
        <w:rPr>
          <w:rFonts w:ascii="Calibri" w:cs="Calibri" w:eastAsia="Calibri" w:hAnsi="Calibri"/>
          <w:b w:val="false"/>
          <w:bCs w:val="false"/>
          <w:i/>
          <w:iCs/>
          <w:color w:val="6B5B4A"/>
          <w:sz w:val="20"/>
          <w:szCs w:val="20"/>
        </w:rPr>
        <w:t xml:space="preserve">Por qué es la trampa central: aquí el error es doble filo. Negociar con el Mohán cuando era un estafador → pagas a la nada y el estafador prospera. Romper la costumbre acusando de fraude cuando el pacto era real → ofendes al dueño, se retira su protección y el río se vuelve genuinamente peligroso. Distinguir mito de fraude es el núcleo deductivo de este mito.</w:t>
      </w:r>
    </w:p>
    <w:p>
      <w:pPr>
        <w:pStyle w:val="Heading1"/>
        <w:pBdr>
          <w:bottom w:val="single" w:color="9C4B23" w:sz="8" w:space="4"/>
        </w:pBdr>
        <w:spacing w:after="240" w:before="400"/>
      </w:pPr>
      <w:r>
        <w:rPr>
          <w:rFonts w:ascii="Calibri" w:cs="Calibri" w:eastAsia="Calibri" w:hAnsi="Calibri"/>
          <w:b/>
          <w:bCs/>
          <w:color w:val="9C4B23"/>
          <w:sz w:val="40"/>
          <w:szCs w:val="40"/>
        </w:rPr>
        <w:t xml:space="preserve">La confrontación de ingenio</w:t>
      </w:r>
    </w:p>
    <w:p>
      <w:pPr>
        <w:spacing w:after="160" w:line="300"/>
      </w:pPr>
      <w:r>
        <w:rPr>
          <w:rFonts w:ascii="Calibri" w:cs="Calibri" w:eastAsia="Calibri" w:hAnsi="Calibri"/>
          <w:b w:val="false"/>
          <w:bCs w:val="false"/>
          <w:i w:val="false"/>
          <w:iCs w:val="false"/>
          <w:color w:val="3B2E22"/>
          <w:sz w:val="22"/>
          <w:szCs w:val="22"/>
        </w:rPr>
        <w:t xml:space="preserve">No es combate. Es un regateo ritual en el pozo/cueva del Mohán, al que se llega cruzando el río por el vado (o adentrándose a su pozo). Cruzar es una decisión consciente — geografía fijada en el documento del hub — y el momento importa: el Mohán aparece al crepúsculo/noche. Ir a mediodía significa que la piedra está muda: viaje perdido o solo reconocimiento. El jugador debe elegir la hora, y esa elección es parte del plan.</w:t>
      </w:r>
    </w:p>
    <w:p>
      <w:pPr>
        <w:spacing w:after="160" w:line="300"/>
      </w:pPr>
      <w:r>
        <w:rPr>
          <w:rFonts w:ascii="Calibri" w:cs="Calibri" w:eastAsia="Calibri" w:hAnsi="Calibri"/>
          <w:b w:val="false"/>
          <w:bCs w:val="false"/>
          <w:i/>
          <w:iCs/>
          <w:color w:val="6B5B4A"/>
          <w:sz w:val="20"/>
          <w:szCs w:val="20"/>
        </w:rPr>
        <w:t xml:space="preserve">(Pendiente de validación mecánica con diseño de juego — ver notas de traspaso.)</w:t>
      </w:r>
    </w:p>
    <w:p>
      <w:pPr>
        <w:pStyle w:val="Heading3"/>
        <w:spacing w:after="120" w:before="240"/>
      </w:pPr>
      <w:r>
        <w:rPr>
          <w:rFonts w:ascii="Calibri" w:cs="Calibri" w:eastAsia="Calibri" w:hAnsi="Calibri"/>
          <w:b/>
          <w:bCs/>
          <w:color w:val="9C4B23"/>
          <w:sz w:val="25"/>
          <w:szCs w:val="25"/>
        </w:rPr>
        <w:t xml:space="preserve">Estructura del encuentro, paso a paso</w:t>
      </w:r>
    </w:p>
    <w:p>
      <w:pPr>
        <w:pStyle w:val="ListParagraph"/>
        <w:numPr>
          <w:ilvl w:val="0"/>
          <w:numId w:val="1"/>
        </w:numPr>
        <w:spacing w:after="100" w:line="290"/>
      </w:pPr>
      <w:r>
        <w:rPr>
          <w:rFonts w:ascii="Calibri" w:cs="Calibri" w:eastAsia="Calibri" w:hAnsi="Calibri"/>
          <w:b/>
          <w:bCs/>
          <w:color w:val="9C4B23"/>
          <w:sz w:val="22"/>
          <w:szCs w:val="22"/>
        </w:rPr>
        <w:t xml:space="preserve">1. La aproximación — </w:t>
      </w:r>
      <w:r>
        <w:rPr>
          <w:rFonts w:ascii="Calibri" w:cs="Calibri" w:eastAsia="Calibri" w:hAnsi="Calibri"/>
          <w:color w:val="3B2E22"/>
          <w:sz w:val="22"/>
          <w:szCs w:val="22"/>
        </w:rPr>
        <w:t xml:space="preserve">¿cómo se presenta el jugador? Con respeto y ofrenda en mano, o con hostilidad/objetos sagrados. La aproximación equivocada (agua bendita, amenaza, fuego) no termina el encuentro: el Mohán se ofende, se hunde más hondo, sube el precio o se lleva algo antes de reabrir el trato en peores términos.</w:t>
      </w:r>
    </w:p>
    <w:p>
      <w:pPr>
        <w:pStyle w:val="ListParagraph"/>
        <w:numPr>
          <w:ilvl w:val="0"/>
          <w:numId w:val="1"/>
        </w:numPr>
        <w:spacing w:after="100" w:line="290"/>
      </w:pPr>
      <w:r>
        <w:rPr>
          <w:rFonts w:ascii="Calibri" w:cs="Calibri" w:eastAsia="Calibri" w:hAnsi="Calibri"/>
          <w:b/>
          <w:bCs/>
          <w:color w:val="9C4B23"/>
          <w:sz w:val="22"/>
          <w:szCs w:val="22"/>
        </w:rPr>
        <w:t xml:space="preserve">2. Nombrar la transgresión — </w:t>
      </w:r>
      <w:r>
        <w:rPr>
          <w:rFonts w:ascii="Calibri" w:cs="Calibri" w:eastAsia="Calibri" w:hAnsi="Calibri"/>
          <w:color w:val="3B2E22"/>
          <w:sz w:val="22"/>
          <w:szCs w:val="22"/>
        </w:rPr>
        <w:t xml:space="preserve">el jugador declara qué se rompió. Aquí se pone a prueba la hipótesis. Nombrar mal la causa hace que el Mohán juegue: puede aceptar y callar, dejando creer que acertaste mientras la causa real sigue abierta.</w:t>
      </w:r>
    </w:p>
    <w:p>
      <w:pPr>
        <w:pStyle w:val="ListParagraph"/>
        <w:numPr>
          <w:ilvl w:val="0"/>
          <w:numId w:val="1"/>
        </w:numPr>
        <w:spacing w:after="100" w:line="290"/>
      </w:pPr>
      <w:r>
        <w:rPr>
          <w:rFonts w:ascii="Calibri" w:cs="Calibri" w:eastAsia="Calibri" w:hAnsi="Calibri"/>
          <w:b/>
          <w:bCs/>
          <w:color w:val="9C4B23"/>
          <w:sz w:val="22"/>
          <w:szCs w:val="22"/>
        </w:rPr>
        <w:t xml:space="preserve">3. Presentar la ofrenda compuesta — </w:t>
      </w:r>
      <w:r>
        <w:rPr>
          <w:rFonts w:ascii="Calibri" w:cs="Calibri" w:eastAsia="Calibri" w:hAnsi="Calibri"/>
          <w:color w:val="3B2E22"/>
          <w:sz w:val="22"/>
          <w:szCs w:val="22"/>
        </w:rPr>
        <w:t xml:space="preserve">tributo + restitución + portador. Este es el acto central del verbo.</w:t>
      </w:r>
    </w:p>
    <w:p>
      <w:pPr>
        <w:pStyle w:val="ListParagraph"/>
        <w:numPr>
          <w:ilvl w:val="0"/>
          <w:numId w:val="1"/>
        </w:numPr>
        <w:spacing w:after="100" w:line="290"/>
      </w:pPr>
      <w:r>
        <w:rPr>
          <w:rFonts w:ascii="Calibri" w:cs="Calibri" w:eastAsia="Calibri" w:hAnsi="Calibri"/>
          <w:b/>
          <w:bCs/>
          <w:color w:val="9C4B23"/>
          <w:sz w:val="22"/>
          <w:szCs w:val="22"/>
        </w:rPr>
        <w:t xml:space="preserve">4. El contra-ofrecimiento (la tentación) — </w:t>
      </w:r>
      <w:r>
        <w:rPr>
          <w:rFonts w:ascii="Calibri" w:cs="Calibri" w:eastAsia="Calibri" w:hAnsi="Calibri"/>
          <w:color w:val="3B2E22"/>
          <w:sz w:val="22"/>
          <w:szCs w:val="22"/>
        </w:rPr>
        <w:t xml:space="preserve">el Mohán regatea. Puede pedir más, u ofrecer un trato envenenado (una jornada milagrosa, oro de su cueva, juventud). Aceptar la tentación desplaza las consecuencias en vez de resolverlas — ganas hoy, el río te cobra a ti o a un tuyo después. Rechazarla suele ser parte de la resolución correcta.</w:t>
      </w:r>
    </w:p>
    <w:p>
      <w:pPr>
        <w:pStyle w:val="ListParagraph"/>
        <w:numPr>
          <w:ilvl w:val="0"/>
          <w:numId w:val="1"/>
        </w:numPr>
        <w:spacing w:after="100" w:line="290"/>
      </w:pPr>
      <w:r>
        <w:rPr>
          <w:rFonts w:ascii="Calibri" w:cs="Calibri" w:eastAsia="Calibri" w:hAnsi="Calibri"/>
          <w:b/>
          <w:bCs/>
          <w:color w:val="9C4B23"/>
          <w:sz w:val="22"/>
          <w:szCs w:val="22"/>
        </w:rPr>
        <w:t xml:space="preserve">5. Sellado del pacto — </w:t>
      </w:r>
      <w:r>
        <w:rPr>
          <w:rFonts w:ascii="Calibri" w:cs="Calibri" w:eastAsia="Calibri" w:hAnsi="Calibri"/>
          <w:color w:val="3B2E22"/>
          <w:sz w:val="22"/>
          <w:szCs w:val="22"/>
        </w:rPr>
        <w:t xml:space="preserve">según lo anterior, el trato se cierra, se mal-cierra, o se cede.</w:t>
      </w:r>
    </w:p>
    <w:p>
      <w:pPr>
        <w:pStyle w:val="Heading3"/>
        <w:spacing w:after="120" w:before="240"/>
      </w:pPr>
      <w:r>
        <w:rPr>
          <w:rFonts w:ascii="Calibri" w:cs="Calibri" w:eastAsia="Calibri" w:hAnsi="Calibri"/>
          <w:b/>
          <w:bCs/>
          <w:color w:val="9C4B23"/>
          <w:sz w:val="25"/>
          <w:szCs w:val="25"/>
        </w:rPr>
        <w:t xml:space="preserve">Cómo se ramifica el resultado</w:t>
      </w:r>
    </w:p>
    <w:p>
      <w:pPr>
        <w:pStyle w:val="ListParagraph"/>
        <w:numPr>
          <w:ilvl w:val="0"/>
          <w:numId w:val="1"/>
        </w:numPr>
        <w:spacing w:after="100" w:line="290"/>
      </w:pPr>
      <w:r>
        <w:rPr>
          <w:rFonts w:ascii="Calibri" w:cs="Calibri" w:eastAsia="Calibri" w:hAnsi="Calibri"/>
          <w:b/>
          <w:bCs/>
          <w:color w:val="9C4B23"/>
          <w:sz w:val="22"/>
          <w:szCs w:val="22"/>
        </w:rPr>
        <w:t xml:space="preserve">Hipótesis y ofrenda correctas — </w:t>
      </w:r>
      <w:r>
        <w:rPr>
          <w:rFonts w:ascii="Calibri" w:cs="Calibri" w:eastAsia="Calibri" w:hAnsi="Calibri"/>
          <w:color w:val="3B2E22"/>
          <w:sz w:val="22"/>
          <w:szCs w:val="22"/>
        </w:rPr>
        <w:t xml:space="preserve">el pacto se restaura o renegocia: el río vuelve a dar, la persona retenida es liberada o los términos quedan claros, el vado es seguro otra vez. El mundo mejora de forma visible y permanente. Puede quedar un costo justo — el pueblo aprende a mantener la costumbre.</w:t>
      </w:r>
    </w:p>
    <w:p>
      <w:pPr>
        <w:pStyle w:val="ListParagraph"/>
        <w:numPr>
          <w:ilvl w:val="0"/>
          <w:numId w:val="1"/>
        </w:numPr>
        <w:spacing w:after="100" w:line="290"/>
      </w:pPr>
      <w:r>
        <w:rPr>
          <w:rFonts w:ascii="Calibri" w:cs="Calibri" w:eastAsia="Calibri" w:hAnsi="Calibri"/>
          <w:b/>
          <w:bCs/>
          <w:color w:val="9C4B23"/>
          <w:sz w:val="22"/>
          <w:szCs w:val="22"/>
        </w:rPr>
        <w:t xml:space="preserve">Hipótesis correcta, ofrenda incorrecta — </w:t>
      </w:r>
      <w:r>
        <w:rPr>
          <w:rFonts w:ascii="Calibri" w:cs="Calibri" w:eastAsia="Calibri" w:hAnsi="Calibri"/>
          <w:color w:val="3B2E22"/>
          <w:sz w:val="22"/>
          <w:szCs w:val="22"/>
        </w:rPr>
        <w:t xml:space="preserve">el Mohán acepta lo que puede y deja abierto el resto: alivio parcial, la transgresión persiste, el problema reaparece degradado en un caso futuro.</w:t>
      </w:r>
    </w:p>
    <w:p>
      <w:pPr>
        <w:pStyle w:val="ListParagraph"/>
        <w:numPr>
          <w:ilvl w:val="0"/>
          <w:numId w:val="1"/>
        </w:numPr>
        <w:spacing w:after="100" w:line="290"/>
      </w:pPr>
      <w:r>
        <w:rPr>
          <w:rFonts w:ascii="Calibri" w:cs="Calibri" w:eastAsia="Calibri" w:hAnsi="Calibri"/>
          <w:b/>
          <w:bCs/>
          <w:color w:val="9C4B23"/>
          <w:sz w:val="22"/>
          <w:szCs w:val="22"/>
        </w:rPr>
        <w:t xml:space="preserve">Hipótesis incorrecta — </w:t>
      </w:r>
      <w:r>
        <w:rPr>
          <w:rFonts w:ascii="Calibri" w:cs="Calibri" w:eastAsia="Calibri" w:hAnsi="Calibri"/>
          <w:color w:val="3B2E22"/>
          <w:sz w:val="22"/>
          <w:szCs w:val="22"/>
        </w:rPr>
        <w:t xml:space="preserve">no hay interlocutor o hay ofensa. Si no había Mohán que negociara, la ofrenda se gasta en la nada y la causa real avanza. Si el pacto era real y lo trataste como fraude/demonio, lo rompes: se retira la protección. Nunca hay pantalla de derrota — el encuentro se transforma, no se corta.</w:t>
      </w:r>
    </w:p>
    <w:p>
      <w:pPr>
        <w:pStyle w:val="ListParagraph"/>
        <w:numPr>
          <w:ilvl w:val="0"/>
          <w:numId w:val="1"/>
        </w:numPr>
        <w:spacing w:after="100" w:line="290"/>
      </w:pPr>
      <w:r>
        <w:rPr>
          <w:rFonts w:ascii="Calibri" w:cs="Calibri" w:eastAsia="Calibri" w:hAnsi="Calibri"/>
          <w:b/>
          <w:bCs/>
          <w:color w:val="9C4B23"/>
          <w:sz w:val="22"/>
          <w:szCs w:val="22"/>
        </w:rPr>
        <w:t xml:space="preserve">Sobrepago / tentación aceptada — </w:t>
      </w:r>
      <w:r>
        <w:rPr>
          <w:rFonts w:ascii="Calibri" w:cs="Calibri" w:eastAsia="Calibri" w:hAnsi="Calibri"/>
          <w:color w:val="3B2E22"/>
          <w:sz w:val="22"/>
          <w:szCs w:val="22"/>
        </w:rPr>
        <w:t xml:space="preserve">resolución aparente, deuda oculta: el precio queda fijado alto o la cuenta pasa a un tercero, y eso reaparece más adelante.</w:t>
      </w:r>
    </w:p>
    <w:p>
      <w:pPr>
        <w:pStyle w:val="Heading1"/>
        <w:pBdr>
          <w:bottom w:val="single" w:color="9C4B23" w:sz="8" w:space="4"/>
        </w:pBdr>
        <w:spacing w:after="240" w:before="400"/>
      </w:pPr>
      <w:r>
        <w:rPr>
          <w:rFonts w:ascii="Calibri" w:cs="Calibri" w:eastAsia="Calibri" w:hAnsi="Calibri"/>
          <w:b/>
          <w:bCs/>
          <w:color w:val="9C4B23"/>
          <w:sz w:val="40"/>
          <w:szCs w:val="40"/>
        </w:rPr>
        <w:t xml:space="preserve">Consecuencias de fallar o no intervenir</w:t>
      </w:r>
    </w:p>
    <w:p>
      <w:pPr>
        <w:spacing w:after="160" w:line="300"/>
      </w:pPr>
      <w:r>
        <w:rPr>
          <w:rFonts w:ascii="Calibri" w:cs="Calibri" w:eastAsia="Calibri" w:hAnsi="Calibri"/>
          <w:b w:val="false"/>
          <w:bCs w:val="false"/>
          <w:i w:val="false"/>
          <w:iCs w:val="false"/>
          <w:color w:val="3B2E22"/>
          <w:sz w:val="22"/>
          <w:szCs w:val="22"/>
        </w:rPr>
        <w:t xml:space="preserve">Este mito genera consecuencias de tipo económico-relacional y demográfico: no mata al jugador, vacía y encarece el mundo.</w:t>
      </w:r>
    </w:p>
    <w:p>
      <w:pPr>
        <w:pStyle w:val="ListParagraph"/>
        <w:numPr>
          <w:ilvl w:val="0"/>
          <w:numId w:val="1"/>
        </w:numPr>
        <w:spacing w:after="100" w:line="290"/>
      </w:pPr>
      <w:r>
        <w:rPr>
          <w:rFonts w:ascii="Calibri" w:cs="Calibri" w:eastAsia="Calibri" w:hAnsi="Calibri"/>
          <w:b/>
          <w:bCs/>
          <w:color w:val="9C4B23"/>
          <w:sz w:val="22"/>
          <w:szCs w:val="22"/>
        </w:rPr>
        <w:t xml:space="preserve">El río se cierra para una familia — </w:t>
      </w:r>
      <w:r>
        <w:rPr>
          <w:rFonts w:ascii="Calibri" w:cs="Calibri" w:eastAsia="Calibri" w:hAnsi="Calibri"/>
          <w:color w:val="3B2E22"/>
          <w:sz w:val="22"/>
          <w:szCs w:val="22"/>
        </w:rPr>
        <w:t xml:space="preserve">una casa/puesto de pescadores queda improductiva; el NPC y su familia se van del pueblo. Su vivienda y su puesto quedan permanentemente vacíos en el hub; su testimonio deja de estar disponible para casos futuros.</w:t>
      </w:r>
    </w:p>
    <w:p>
      <w:pPr>
        <w:pStyle w:val="ListParagraph"/>
        <w:numPr>
          <w:ilvl w:val="0"/>
          <w:numId w:val="1"/>
        </w:numPr>
        <w:spacing w:after="100" w:line="290"/>
      </w:pPr>
      <w:r>
        <w:rPr>
          <w:rFonts w:ascii="Calibri" w:cs="Calibri" w:eastAsia="Calibri" w:hAnsi="Calibri"/>
          <w:b/>
          <w:bCs/>
          <w:color w:val="9C4B23"/>
          <w:sz w:val="22"/>
          <w:szCs w:val="22"/>
        </w:rPr>
        <w:t xml:space="preserve">Una persona retenida se pierde o vuelve cambiada — </w:t>
      </w:r>
      <w:r>
        <w:rPr>
          <w:rFonts w:ascii="Calibri" w:cs="Calibri" w:eastAsia="Calibri" w:hAnsi="Calibri"/>
          <w:color w:val="3B2E22"/>
          <w:sz w:val="22"/>
          <w:szCs w:val="22"/>
        </w:rPr>
        <w:t xml:space="preserve">la mujer seducida queda permanentemente ausente, o regresa "rejuvenecida y hueca" — presente pero vaciada, un estado de NPC persistente que otros comentan y reaparece como pista o advertencia en casos posteriores.</w:t>
      </w:r>
    </w:p>
    <w:p>
      <w:pPr>
        <w:pStyle w:val="ListParagraph"/>
        <w:numPr>
          <w:ilvl w:val="0"/>
          <w:numId w:val="1"/>
        </w:numPr>
        <w:spacing w:after="100" w:line="290"/>
      </w:pPr>
      <w:r>
        <w:rPr>
          <w:rFonts w:ascii="Calibri" w:cs="Calibri" w:eastAsia="Calibri" w:hAnsi="Calibri"/>
          <w:b/>
          <w:bCs/>
          <w:color w:val="9C4B23"/>
          <w:sz w:val="22"/>
          <w:szCs w:val="22"/>
        </w:rPr>
        <w:t xml:space="preserve">Pacto mal fijado / sobrepago — </w:t>
      </w:r>
      <w:r>
        <w:rPr>
          <w:rFonts w:ascii="Calibri" w:cs="Calibri" w:eastAsia="Calibri" w:hAnsi="Calibri"/>
          <w:color w:val="3B2E22"/>
          <w:sz w:val="22"/>
          <w:szCs w:val="22"/>
        </w:rPr>
        <w:t xml:space="preserve">la piedra del vado exige ahora tributo escalante. Los casos futuros ligados al río empiezan con una deuda: menos margen, el trapiche produce menos, el pueblo entra más pobre a la siguiente crisis. Es acumulativa, no un simple flag.</w:t>
      </w:r>
    </w:p>
    <w:p>
      <w:pPr>
        <w:pStyle w:val="ListParagraph"/>
        <w:numPr>
          <w:ilvl w:val="0"/>
          <w:numId w:val="1"/>
        </w:numPr>
        <w:spacing w:after="100" w:line="290"/>
      </w:pPr>
      <w:r>
        <w:rPr>
          <w:rFonts w:ascii="Calibri" w:cs="Calibri" w:eastAsia="Calibri" w:hAnsi="Calibri"/>
          <w:b/>
          <w:bCs/>
          <w:color w:val="9C4B23"/>
          <w:sz w:val="22"/>
          <w:szCs w:val="22"/>
        </w:rPr>
        <w:t xml:space="preserve">Pacto roto por acusación errónea — </w:t>
      </w:r>
      <w:r>
        <w:rPr>
          <w:rFonts w:ascii="Calibri" w:cs="Calibri" w:eastAsia="Calibri" w:hAnsi="Calibri"/>
          <w:color w:val="3B2E22"/>
          <w:sz w:val="22"/>
          <w:szCs w:val="22"/>
        </w:rPr>
        <w:t xml:space="preserve">el río pierde su dueño protector y se vuelve genuinamente peligroso: más ahogamientos, el vado deja de ser seguro. Un cruce que antes era tranquilo se vuelve un riesgo diegético en escenarios posteriores.</w:t>
      </w:r>
    </w:p>
    <w:p>
      <w:pPr>
        <w:pStyle w:val="ListParagraph"/>
        <w:numPr>
          <w:ilvl w:val="0"/>
          <w:numId w:val="1"/>
        </w:numPr>
        <w:spacing w:after="100" w:line="290"/>
      </w:pPr>
      <w:r>
        <w:rPr>
          <w:rFonts w:ascii="Calibri" w:cs="Calibri" w:eastAsia="Calibri" w:hAnsi="Calibri"/>
          <w:b/>
          <w:bCs/>
          <w:color w:val="9C4B23"/>
          <w:sz w:val="22"/>
          <w:szCs w:val="22"/>
        </w:rPr>
        <w:t xml:space="preserve">Dejar prosperar al estafador — </w:t>
      </w:r>
      <w:r>
        <w:rPr>
          <w:rFonts w:ascii="Calibri" w:cs="Calibri" w:eastAsia="Calibri" w:hAnsi="Calibri"/>
          <w:color w:val="3B2E22"/>
          <w:sz w:val="22"/>
          <w:szCs w:val="22"/>
        </w:rPr>
        <w:t xml:space="preserve">el racket se institucionaliza: gana poder en el pueblo y aparece como obstáculo/autoridad corrupta en casos futuros.</w:t>
      </w:r>
    </w:p>
    <w:p>
      <w:pPr>
        <w:spacing w:after="160" w:line="300"/>
      </w:pPr>
      <w:r>
        <w:rPr>
          <w:rFonts w:ascii="Calibri" w:cs="Calibri" w:eastAsia="Calibri" w:hAnsi="Calibri"/>
          <w:b w:val="false"/>
          <w:bCs w:val="false"/>
          <w:i w:val="false"/>
          <w:iCs w:val="false"/>
          <w:color w:val="3B2E22"/>
          <w:sz w:val="22"/>
          <w:szCs w:val="22"/>
        </w:rPr>
        <w:t xml:space="preserve">En todos los casos, la consecuencia es visible en el hub (una casa vacía, una persona cambiada, una piedra que exige más, un vado peligroso) y modifica el estado inicial de casos posteriores (Pilar 4).</w:t>
      </w:r>
    </w:p>
    <w:p>
      <w:pPr>
        <w:pStyle w:val="Heading1"/>
        <w:pBdr>
          <w:bottom w:val="single" w:color="9C4B23" w:sz="8" w:space="4"/>
        </w:pBdr>
        <w:spacing w:after="240" w:before="400"/>
      </w:pPr>
      <w:r>
        <w:rPr>
          <w:rFonts w:ascii="Calibri" w:cs="Calibri" w:eastAsia="Calibri" w:hAnsi="Calibri"/>
          <w:b/>
          <w:bCs/>
          <w:color w:val="9C4B23"/>
          <w:sz w:val="40"/>
          <w:szCs w:val="40"/>
        </w:rPr>
        <w:t xml:space="preserve">Nota de reaparición</w:t>
      </w:r>
    </w:p>
    <w:p>
      <w:pPr>
        <w:spacing w:after="160" w:line="300"/>
      </w:pPr>
      <w:r>
        <w:rPr>
          <w:rFonts w:ascii="Calibri" w:cs="Calibri" w:eastAsia="Calibri" w:hAnsi="Calibri"/>
          <w:b w:val="false"/>
          <w:bCs w:val="false"/>
          <w:i w:val="false"/>
          <w:iCs w:val="false"/>
          <w:color w:val="3B2E22"/>
          <w:sz w:val="22"/>
          <w:szCs w:val="22"/>
        </w:rPr>
        <w:t xml:space="preserve">La segunda aparición del Mohán no puede ser "otra vez arreglar el pacto roto" — violaría el Pilar 3 y premiaría la memorización. La reaparición debe invertir o reencuadrar el verbo. Tres vectores válidos (se elige uno al diseñar el caso posterior):</w:t>
      </w:r>
    </w:p>
    <w:p>
      <w:pPr>
        <w:pStyle w:val="ListParagraph"/>
        <w:numPr>
          <w:ilvl w:val="0"/>
          <w:numId w:val="1"/>
        </w:numPr>
        <w:spacing w:after="100" w:line="290"/>
      </w:pPr>
      <w:r>
        <w:rPr>
          <w:rFonts w:ascii="Calibri" w:cs="Calibri" w:eastAsia="Calibri" w:hAnsi="Calibri"/>
          <w:b/>
          <w:bCs/>
          <w:color w:val="9C4B23"/>
          <w:sz w:val="22"/>
          <w:szCs w:val="22"/>
        </w:rPr>
        <w:t xml:space="preserve">A) Invertir el verbo: de pagar a salir del pacto — </w:t>
      </w:r>
      <w:r>
        <w:rPr>
          <w:rFonts w:ascii="Calibri" w:cs="Calibri" w:eastAsia="Calibri" w:hAnsi="Calibri"/>
          <w:color w:val="3B2E22"/>
          <w:sz w:val="22"/>
          <w:szCs w:val="22"/>
        </w:rPr>
        <w:t xml:space="preserve">la primera vez el jugador restaura un pacto. La segunda, el problema ES el pacto: un personaje quiere salir de un trato que hizo (una mujer que cambió años de vida por juventud y hoy quiere revertirlo; un pescador que "vendió" algo por buenas jornadas y hoy paga un precio insoportable). El verbo pasa de "dar tributo para apaciguar" a "negociar una liberación / hallar el sustituto que lo suelte". Todo lo que el jugador aprendió — alimenta la piedra — ahora lo desorienta, porque más tributo solo afirma el pacto que la víctima quiere romper.</w:t>
      </w:r>
    </w:p>
    <w:p>
      <w:pPr>
        <w:pStyle w:val="ListParagraph"/>
        <w:numPr>
          <w:ilvl w:val="0"/>
          <w:numId w:val="1"/>
        </w:numPr>
        <w:spacing w:after="100" w:line="290"/>
      </w:pPr>
      <w:r>
        <w:rPr>
          <w:rFonts w:ascii="Calibri" w:cs="Calibri" w:eastAsia="Calibri" w:hAnsi="Calibri"/>
          <w:b/>
          <w:bCs/>
          <w:color w:val="9C4B23"/>
          <w:sz w:val="22"/>
          <w:szCs w:val="22"/>
        </w:rPr>
        <w:t xml:space="preserve">B) Cambiar de bando: el Mohán como parte agraviada — </w:t>
      </w:r>
      <w:r>
        <w:rPr>
          <w:rFonts w:ascii="Calibri" w:cs="Calibri" w:eastAsia="Calibri" w:hAnsi="Calibri"/>
          <w:color w:val="3B2E22"/>
          <w:sz w:val="22"/>
          <w:szCs w:val="22"/>
        </w:rPr>
        <w:t xml:space="preserve">el humano es el villano — alguien lleva tiempo robándole al río (barbasco, dinamita, saqueo de su cueva) y el Mohán responde. El jugador debe negociar del lado del Mohán contra un humano, invirtiendo la simpatía.</w:t>
      </w:r>
    </w:p>
    <w:p>
      <w:pPr>
        <w:pStyle w:val="ListParagraph"/>
        <w:numPr>
          <w:ilvl w:val="0"/>
          <w:numId w:val="1"/>
        </w:numPr>
        <w:spacing w:after="100" w:line="290"/>
      </w:pPr>
      <w:r>
        <w:rPr>
          <w:rFonts w:ascii="Calibri" w:cs="Calibri" w:eastAsia="Calibri" w:hAnsi="Calibri"/>
          <w:b/>
          <w:bCs/>
          <w:color w:val="9C4B23"/>
          <w:sz w:val="22"/>
          <w:szCs w:val="22"/>
        </w:rPr>
        <w:t xml:space="preserve">C) Recontextualizar por consecuencia previa — </w:t>
      </w:r>
      <w:r>
        <w:rPr>
          <w:rFonts w:ascii="Calibri" w:cs="Calibri" w:eastAsia="Calibri" w:hAnsi="Calibri"/>
          <w:color w:val="3B2E22"/>
          <w:sz w:val="22"/>
          <w:szCs w:val="22"/>
        </w:rPr>
        <w:t xml:space="preserve">si en el primer caso el jugador sobrepagó o aceptó la tentación, la reaparición es el cobro de esa deuda oculta — la cuenta que se difirió vuelve, ahora sobre otra persona o sobre el propio investigador. El caso es genuinamente nuevo porque lo sembró el jugador mismo.</w:t>
      </w:r>
    </w:p>
    <w:p>
      <w:pPr>
        <w:spacing w:after="160" w:line="300"/>
      </w:pPr>
      <w:r>
        <w:rPr>
          <w:rFonts w:ascii="Calibri" w:cs="Calibri" w:eastAsia="Calibri" w:hAnsi="Calibri"/>
          <w:b w:val="false"/>
          <w:bCs w:val="false"/>
          <w:i w:val="false"/>
          <w:iCs w:val="false"/>
          <w:color w:val="3B2E22"/>
          <w:sz w:val="22"/>
          <w:szCs w:val="22"/>
        </w:rPr>
        <w:t xml:space="preserve">En los tres, la costumbre aprendida (la piedra, el tabaco, el aguardiente) sigue siendo cierta pero insuficiente o engañosa para el nuevo contexto — que es exactamente cómo el mito debe crecer sin repetirse.</w:t>
      </w:r>
    </w:p>
    <w:p>
      <w:pPr>
        <w:pStyle w:val="Heading1"/>
        <w:pBdr>
          <w:bottom w:val="single" w:color="9C4B23" w:sz="8" w:space="4"/>
        </w:pBdr>
        <w:spacing w:after="240" w:before="400"/>
      </w:pPr>
      <w:r>
        <w:rPr>
          <w:rFonts w:ascii="Calibri" w:cs="Calibri" w:eastAsia="Calibri" w:hAnsi="Calibri"/>
          <w:b/>
          <w:bCs/>
          <w:color w:val="9C4B23"/>
          <w:sz w:val="40"/>
          <w:szCs w:val="40"/>
        </w:rPr>
        <w:t xml:space="preserve">Pendientes para el resto del equipo</w:t>
      </w:r>
    </w:p>
    <w:p>
      <w:pPr>
        <w:pStyle w:val="ListParagraph"/>
        <w:numPr>
          <w:ilvl w:val="0"/>
          <w:numId w:val="1"/>
        </w:numPr>
        <w:spacing w:after="100" w:line="290"/>
      </w:pPr>
      <w:r>
        <w:rPr>
          <w:rFonts w:ascii="Calibri" w:cs="Calibri" w:eastAsia="Calibri" w:hAnsi="Calibri"/>
          <w:b/>
          <w:bCs/>
          <w:color w:val="9C4B23"/>
          <w:sz w:val="22"/>
          <w:szCs w:val="22"/>
        </w:rPr>
        <w:t xml:space="preserve">Timing crepúsculo/noche — </w:t>
      </w:r>
      <w:r>
        <w:rPr>
          <w:rFonts w:ascii="Calibri" w:cs="Calibri" w:eastAsia="Calibri" w:hAnsi="Calibri"/>
          <w:color w:val="3B2E22"/>
          <w:sz w:val="22"/>
          <w:szCs w:val="22"/>
        </w:rPr>
        <w:t xml:space="preserve">pendiente de validación mecánica con diseño de juego — introduce una decisión de cuándo cruzar el río, que debe encajar en el sistema de preparación general.</w:t>
      </w:r>
    </w:p>
    <w:p>
      <w:pPr>
        <w:pStyle w:val="ListParagraph"/>
        <w:numPr>
          <w:ilvl w:val="0"/>
          <w:numId w:val="1"/>
        </w:numPr>
        <w:spacing w:after="100" w:line="290"/>
      </w:pPr>
      <w:r>
        <w:rPr>
          <w:rFonts w:ascii="Calibri" w:cs="Calibri" w:eastAsia="Calibri" w:hAnsi="Calibri"/>
          <w:b/>
          <w:bCs/>
          <w:color w:val="9C4B23"/>
          <w:sz w:val="22"/>
          <w:szCs w:val="22"/>
        </w:rPr>
        <w:t xml:space="preserve">Consecuencias permanentes — </w:t>
      </w:r>
      <w:r>
        <w:rPr>
          <w:rFonts w:ascii="Calibri" w:cs="Calibri" w:eastAsia="Calibri" w:hAnsi="Calibri"/>
          <w:color w:val="3B2E22"/>
          <w:sz w:val="22"/>
          <w:szCs w:val="22"/>
        </w:rPr>
        <w:t xml:space="preserve">alteran el estado del hub — casa vacía, vado peligroso, piedra escalante. Coordinar con diseño de niveles al asignar casos concretos.</w:t>
      </w:r>
    </w:p>
    <w:p>
      <w:pPr>
        <w:pStyle w:val="ListParagraph"/>
        <w:numPr>
          <w:ilvl w:val="0"/>
          <w:numId w:val="1"/>
        </w:numPr>
        <w:spacing w:after="100" w:line="290"/>
      </w:pPr>
      <w:r>
        <w:rPr>
          <w:rFonts w:ascii="Calibri" w:cs="Calibri" w:eastAsia="Calibri" w:hAnsi="Calibri"/>
          <w:b/>
          <w:bCs/>
          <w:color w:val="9C4B23"/>
          <w:sz w:val="22"/>
          <w:szCs w:val="22"/>
        </w:rPr>
        <w:t xml:space="preserve">Señales observables — </w:t>
      </w:r>
      <w:r>
        <w:rPr>
          <w:rFonts w:ascii="Calibri" w:cs="Calibri" w:eastAsia="Calibri" w:hAnsi="Calibri"/>
          <w:color w:val="3B2E22"/>
          <w:sz w:val="22"/>
          <w:szCs w:val="22"/>
        </w:rPr>
        <w:t xml:space="preserve">confirmar con arte/audio que pueden expresarse sin romper la regla de iluminación uniforme del Art Bible.</w:t>
      </w:r>
    </w:p>
    <w:p>
      <w:pPr>
        <w:pStyle w:val="ListParagraph"/>
        <w:numPr>
          <w:ilvl w:val="0"/>
          <w:numId w:val="1"/>
        </w:numPr>
        <w:spacing w:after="100" w:line="290"/>
      </w:pPr>
      <w:r>
        <w:rPr>
          <w:rFonts w:ascii="Calibri" w:cs="Calibri" w:eastAsia="Calibri" w:hAnsi="Calibri"/>
          <w:b/>
          <w:bCs/>
          <w:color w:val="9C4B23"/>
          <w:sz w:val="22"/>
          <w:szCs w:val="22"/>
        </w:rPr>
        <w:t xml:space="preserve">Portador legítimo — </w:t>
      </w:r>
      <w:r>
        <w:rPr>
          <w:rFonts w:ascii="Calibri" w:cs="Calibri" w:eastAsia="Calibri" w:hAnsi="Calibri"/>
          <w:color w:val="3B2E22"/>
          <w:sz w:val="22"/>
          <w:szCs w:val="22"/>
        </w:rPr>
        <w:t xml:space="preserve">regla simplificada para el MVP por decisión explícita, sin excepciones ni linajes. Revisar si ampliarla una vez el sistema esté probado.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2026-07-21T22:01:28.234Z</dcterms:created>
  <dcterms:modified xsi:type="dcterms:W3CDTF">2026-07-21T22:01:28.235Z</dcterms:modified>
</cp:coreProperties>
</file>

<file path=docProps/custom.xml><?xml version="1.0" encoding="utf-8"?>
<Properties xmlns="http://schemas.openxmlformats.org/officeDocument/2006/custom-properties" xmlns:vt="http://schemas.openxmlformats.org/officeDocument/2006/docPropsVTypes"/>
</file>