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Ficha de Entidad — La Patasola</w:t>
      </w:r>
    </w:p>
    <w:p>
      <w:pPr>
        <w:spacing w:after="500"/>
        <w:jc w:val="center"/>
      </w:pPr>
      <w:r>
        <w:rPr>
          <w:rFonts w:ascii="Calibri" w:cs="Calibri" w:eastAsia="Calibri" w:hAnsi="Calibri"/>
          <w:i/>
          <w:iCs/>
          <w:color w:val="3B2E22"/>
          <w:sz w:val="26"/>
          <w:szCs w:val="26"/>
        </w:rPr>
        <w:t xml:space="preserve">Verbo de resolución: VER A TRAVÉS DEL ENGAÑO Y NEGARSE A SEGUIR</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patasola.md</w:t>
      </w:r>
    </w:p>
    <w:p>
      <w:pPr>
        <w:spacing w:after="60"/>
        <w:jc w:val="center"/>
      </w:pPr>
      <w:r>
        <w:rPr>
          <w:rFonts w:ascii="Calibri" w:cs="Calibri" w:eastAsia="Calibri" w:hAnsi="Calibri"/>
          <w:b/>
          <w:bCs/>
          <w:color w:val="6B5B4A"/>
          <w:sz w:val="20"/>
          <w:szCs w:val="20"/>
        </w:rPr>
        <w:t xml:space="preserve">Ambientación: </w:t>
      </w:r>
      <w:r>
        <w:rPr>
          <w:rFonts w:ascii="Calibri" w:cs="Calibri" w:eastAsia="Calibri" w:hAnsi="Calibri"/>
          <w:color w:val="6B5B4A"/>
          <w:sz w:val="20"/>
          <w:szCs w:val="20"/>
        </w:rPr>
        <w:t xml:space="preserve">Región Andina (MVP)</w:t>
      </w:r>
    </w:p>
    <w:p>
      <w:pPr>
        <w:spacing w:after="60"/>
        <w:jc w:val="center"/>
      </w:pPr>
      <w:r>
        <w:rPr>
          <w:rFonts w:ascii="Calibri" w:cs="Calibri" w:eastAsia="Calibri" w:hAnsi="Calibri"/>
          <w:b/>
          <w:bCs/>
          <w:color w:val="6B5B4A"/>
          <w:sz w:val="20"/>
          <w:szCs w:val="20"/>
        </w:rPr>
        <w:t xml:space="preserve">Dominio: </w:t>
      </w:r>
      <w:r>
        <w:rPr>
          <w:rFonts w:ascii="Calibri" w:cs="Calibri" w:eastAsia="Calibri" w:hAnsi="Calibri"/>
          <w:color w:val="6B5B4A"/>
          <w:sz w:val="20"/>
          <w:szCs w:val="20"/>
        </w:rPr>
        <w:t xml:space="preserve">El monte, límite norte del pueblo</w:t>
      </w:r>
    </w:p>
    <w:p>
      <w:pPr>
        <w:spacing w:after="60"/>
        <w:jc w:val="center"/>
      </w:pPr>
      <w:r>
        <w:rPr>
          <w:rFonts w:ascii="Calibri" w:cs="Calibri" w:eastAsia="Calibri" w:hAnsi="Calibri"/>
          <w:b/>
          <w:bCs/>
          <w:color w:val="6B5B4A"/>
          <w:sz w:val="20"/>
          <w:szCs w:val="20"/>
        </w:rPr>
        <w:t xml:space="preserve">Regla-espejo con el Mohán: </w:t>
      </w:r>
      <w:r>
        <w:rPr>
          <w:rFonts w:ascii="Calibri" w:cs="Calibri" w:eastAsia="Calibri" w:hAnsi="Calibri"/>
          <w:color w:val="6B5B4A"/>
          <w:sz w:val="20"/>
          <w:szCs w:val="20"/>
        </w:rPr>
        <w:t xml:space="preserve">donde el Mohán premia cruzar el umbral y dar, la Patasola castiga cruzar y exige reconocer y no seguir. Ningún trato, ninguna ofrenda, ningún pacto la resuelve.</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Quién es</w:t>
      </w:r>
    </w:p>
    <w:p>
      <w:pPr>
        <w:spacing w:after="160" w:line="300"/>
      </w:pPr>
      <w:r>
        <w:rPr>
          <w:rFonts w:ascii="Calibri" w:cs="Calibri" w:eastAsia="Calibri" w:hAnsi="Calibri"/>
          <w:b w:val="false"/>
          <w:bCs w:val="false"/>
          <w:i w:val="false"/>
          <w:iCs w:val="false"/>
          <w:color w:val="3B2E22"/>
          <w:sz w:val="22"/>
          <w:szCs w:val="22"/>
        </w:rPr>
        <w:t xml:space="preserve">La Patasola no es un monstruo que acecha en un lugar fijo: es un engaño con voluntad. Se aparece en el monte como una mujer — a veces una desconocida hermosa, a veces una conocida del pueblo, a veces la mismísima esposa o novia muerta del hombre que la ve — y con voz dulce lo llama, lo enamora y lo va metiendo monte adentro. Cuando ya está lejos de toda casa, lejos de todo perro, lejos de toda luz, revela su forma verdadera: una sola pierna que remata en pezuña, ojos de fuego, boca de fiera. Para entonces el hombre ya la siguió demasiado lejos como para volver. No cobra como el Mohán; no negocia nada: se lleva al que se dejó llevar.</w:t>
      </w:r>
    </w:p>
    <w:p>
      <w:pPr>
        <w:pStyle w:val="Heading3"/>
        <w:spacing w:after="120" w:before="240"/>
      </w:pPr>
      <w:r>
        <w:rPr>
          <w:rFonts w:ascii="Calibri" w:cs="Calibri" w:eastAsia="Calibri" w:hAnsi="Calibri"/>
          <w:b/>
          <w:bCs/>
          <w:color w:val="9C4B23"/>
          <w:sz w:val="25"/>
          <w:szCs w:val="25"/>
        </w:rPr>
        <w:t xml:space="preserve">El origen local — deliberadamente sin confirmar</w:t>
      </w:r>
    </w:p>
    <w:p>
      <w:pPr>
        <w:spacing w:after="160" w:line="300"/>
      </w:pPr>
      <w:r>
        <w:rPr>
          <w:rFonts w:ascii="Calibri" w:cs="Calibri" w:eastAsia="Calibri" w:hAnsi="Calibri"/>
          <w:b w:val="false"/>
          <w:bCs w:val="false"/>
          <w:i w:val="false"/>
          <w:iCs w:val="false"/>
          <w:color w:val="3B2E22"/>
          <w:sz w:val="22"/>
          <w:szCs w:val="22"/>
        </w:rPr>
        <w:t xml:space="preserve">En este pueblo la Patasola tiene nombre de mujer real, o eso dicen los más viejos: la llaman por lo bajo "la Consolación", o "la del alto", según quién. La versión que se cuenta cambia de boca en boca, y esa fractura es material de deducción, no ambientación. Ninguna de las versiones es la verdad autorial del juego — el juego nunca confirma cuál, si alguna, es cierta.</w:t>
      </w:r>
    </w:p>
    <w:p>
      <w:pPr>
        <w:pStyle w:val="ListParagraph"/>
        <w:numPr>
          <w:ilvl w:val="0"/>
          <w:numId w:val="1"/>
        </w:numPr>
        <w:spacing w:after="100" w:line="290"/>
      </w:pPr>
      <w:r>
        <w:rPr>
          <w:rFonts w:ascii="Calibri" w:cs="Calibri" w:eastAsia="Calibri" w:hAnsi="Calibri"/>
          <w:b/>
          <w:bCs/>
          <w:color w:val="9C4B23"/>
          <w:sz w:val="22"/>
          <w:szCs w:val="22"/>
        </w:rPr>
        <w:t xml:space="preserve">Los hombres viejos de la fonda — </w:t>
      </w:r>
      <w:r>
        <w:rPr>
          <w:rFonts w:ascii="Calibri" w:cs="Calibri" w:eastAsia="Calibri" w:hAnsi="Calibri"/>
          <w:color w:val="3B2E22"/>
          <w:sz w:val="22"/>
          <w:szCs w:val="22"/>
        </w:rPr>
        <w:t xml:space="preserve">la cuentan como escarmiento: "esa se lleva al que anda buscando lo que no debe". Para ellos es un castigo merecido por la lujuria — una lectura moral que el juego muestra pero no endosa (ver nota de género, abajo).</w:t>
      </w:r>
    </w:p>
    <w:p>
      <w:pPr>
        <w:pStyle w:val="ListParagraph"/>
        <w:numPr>
          <w:ilvl w:val="0"/>
          <w:numId w:val="1"/>
        </w:numPr>
        <w:spacing w:after="100" w:line="290"/>
      </w:pPr>
      <w:r>
        <w:rPr>
          <w:rFonts w:ascii="Calibri" w:cs="Calibri" w:eastAsia="Calibri" w:hAnsi="Calibri"/>
          <w:b/>
          <w:bCs/>
          <w:color w:val="9C4B23"/>
          <w:sz w:val="22"/>
          <w:szCs w:val="22"/>
        </w:rPr>
        <w:t xml:space="preserve">Las mujeres mayores — </w:t>
      </w:r>
      <w:r>
        <w:rPr>
          <w:rFonts w:ascii="Calibri" w:cs="Calibri" w:eastAsia="Calibri" w:hAnsi="Calibri"/>
          <w:color w:val="3B2E22"/>
          <w:sz w:val="22"/>
          <w:szCs w:val="22"/>
        </w:rPr>
        <w:t xml:space="preserve">la cuentan distinto y más frío: fue una mujer de aquí, acusada de algo que quizá no hizo, a la que un hombre mutiló y dejó morir en el monte por celos o por honra. Volvió como lo que la hicieron. En esta versión la culpa es del que la mató, no de ella.</w:t>
      </w:r>
    </w:p>
    <w:p>
      <w:pPr>
        <w:pStyle w:val="ListParagraph"/>
        <w:numPr>
          <w:ilvl w:val="0"/>
          <w:numId w:val="1"/>
        </w:numPr>
        <w:spacing w:after="100" w:line="290"/>
      </w:pPr>
      <w:r>
        <w:rPr>
          <w:rFonts w:ascii="Calibri" w:cs="Calibri" w:eastAsia="Calibri" w:hAnsi="Calibri"/>
          <w:b/>
          <w:bCs/>
          <w:color w:val="9C4B23"/>
          <w:sz w:val="22"/>
          <w:szCs w:val="22"/>
        </w:rPr>
        <w:t xml:space="preserve">Las madres jóvenes — </w:t>
      </w:r>
      <w:r>
        <w:rPr>
          <w:rFonts w:ascii="Calibri" w:cs="Calibri" w:eastAsia="Calibri" w:hAnsi="Calibri"/>
          <w:color w:val="3B2E22"/>
          <w:sz w:val="22"/>
          <w:szCs w:val="22"/>
        </w:rPr>
        <w:t xml:space="preserve">la usan como advertencia práctica y sin moral: "el monte se pone la cara de lo que uno más quiere; por eso al monte no se entra solo ni de noche ni siguiendo voces".</w:t>
      </w:r>
    </w:p>
    <w:p>
      <w:pPr>
        <w:pStyle w:val="ListParagraph"/>
        <w:numPr>
          <w:ilvl w:val="0"/>
          <w:numId w:val="1"/>
        </w:numPr>
        <w:spacing w:after="100" w:line="290"/>
      </w:pPr>
      <w:r>
        <w:rPr>
          <w:rFonts w:ascii="Calibri" w:cs="Calibri" w:eastAsia="Calibri" w:hAnsi="Calibri"/>
          <w:b/>
          <w:bCs/>
          <w:color w:val="9C4B23"/>
          <w:sz w:val="22"/>
          <w:szCs w:val="22"/>
        </w:rPr>
        <w:t xml:space="preserve">El cura y los devotos — </w:t>
      </w:r>
      <w:r>
        <w:rPr>
          <w:rFonts w:ascii="Calibri" w:cs="Calibri" w:eastAsia="Calibri" w:hAnsi="Calibri"/>
          <w:color w:val="3B2E22"/>
          <w:sz w:val="22"/>
          <w:szCs w:val="22"/>
        </w:rPr>
        <w:t xml:space="preserve">la niegan y hablan de "tentación" y "el enemigo que toma forma agradable" — para ellos el problema es el alma del que se deja tentar.</w:t>
      </w:r>
    </w:p>
    <w:p>
      <w:pPr>
        <w:pStyle w:val="ListParagraph"/>
        <w:numPr>
          <w:ilvl w:val="0"/>
          <w:numId w:val="1"/>
        </w:numPr>
        <w:spacing w:after="100" w:line="290"/>
      </w:pPr>
      <w:r>
        <w:rPr>
          <w:rFonts w:ascii="Calibri" w:cs="Calibri" w:eastAsia="Calibri" w:hAnsi="Calibri"/>
          <w:b/>
          <w:bCs/>
          <w:color w:val="9C4B23"/>
          <w:sz w:val="22"/>
          <w:szCs w:val="22"/>
        </w:rPr>
        <w:t xml:space="preserve">El corregidor / la gente nueva — </w:t>
      </w:r>
      <w:r>
        <w:rPr>
          <w:rFonts w:ascii="Calibri" w:cs="Calibri" w:eastAsia="Calibri" w:hAnsi="Calibri"/>
          <w:color w:val="3B2E22"/>
          <w:sz w:val="22"/>
          <w:szCs w:val="22"/>
        </w:rPr>
        <w:t xml:space="preserve">empujan la explicación racional: "se perdió", "se fue con otra", "alguien lo mató y le echan la culpa al monte". A veces tienen razón — y ahí está la trampa.</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Nota de manejo de género (riesgo señalado)</w:t>
            </w:r>
          </w:p>
          <w:p>
            <w:pPr>
              <w:spacing w:after="0" w:line="290"/>
            </w:pPr>
            <w:r>
              <w:rPr>
                <w:rFonts w:ascii="Calibri" w:cs="Calibri" w:eastAsia="Calibri" w:hAnsi="Calibri"/>
                <w:i/>
                <w:iCs/>
                <w:color w:val="3B2E22"/>
                <w:sz w:val="22"/>
                <w:szCs w:val="22"/>
              </w:rPr>
              <w:t xml:space="preserve">El juego nunca afirma en su propia voz que la Patasola "castiga con razón" la lujuria masculina, ni que la versión de la mujer agraviada es la verdadera. Ambas lecturas existen dentro de la ficción, en boca de NPCs con sesgos distintos, deliberadamente en tensión. Lo que el juego premia es ver a través de un engaño, no castigar un deseo — y el jugador no necesita "resolver" quién tuvo razón sobre el origen para jugar bien.</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El verbo jugable: la regla del engaño</w:t>
      </w:r>
    </w:p>
    <w:p>
      <w:pPr>
        <w:spacing w:after="160" w:line="300"/>
      </w:pPr>
      <w:r>
        <w:rPr>
          <w:rFonts w:ascii="Calibri" w:cs="Calibri" w:eastAsia="Calibri" w:hAnsi="Calibri"/>
          <w:b w:val="false"/>
          <w:bCs w:val="false"/>
          <w:i w:val="false"/>
          <w:iCs w:val="false"/>
          <w:color w:val="3B2E22"/>
          <w:sz w:val="22"/>
          <w:szCs w:val="22"/>
        </w:rPr>
        <w:t xml:space="preserve">El error de diseño a evitar es que "detectar el disfraz" degenere en un truco memorizable ("mírale siempre la pata"). La solución: el engaño tiene una capa constante que nunca se resalta, y una capa superficial que cambia cada caso. El jugador no busca un objeto ni compone nada: lee una mentira y decide no seguirla.</w:t>
      </w:r>
    </w:p>
    <w:p>
      <w:pPr>
        <w:pStyle w:val="Heading3"/>
        <w:spacing w:after="120" w:before="240"/>
      </w:pPr>
      <w:r>
        <w:rPr>
          <w:rFonts w:ascii="Calibri" w:cs="Calibri" w:eastAsia="Calibri" w:hAnsi="Calibri"/>
          <w:b/>
          <w:bCs/>
          <w:color w:val="9C4B23"/>
          <w:sz w:val="25"/>
          <w:szCs w:val="25"/>
        </w:rPr>
        <w:t xml:space="preserve">La capa constante (lo que SIEMPRE delata, si sabes buscarlo)</w:t>
      </w:r>
    </w:p>
    <w:p>
      <w:pPr>
        <w:spacing w:after="160" w:line="300"/>
      </w:pPr>
      <w:r>
        <w:rPr>
          <w:rFonts w:ascii="Calibri" w:cs="Calibri" w:eastAsia="Calibri" w:hAnsi="Calibri"/>
          <w:b w:val="false"/>
          <w:bCs w:val="false"/>
          <w:i w:val="false"/>
          <w:iCs w:val="false"/>
          <w:color w:val="3B2E22"/>
          <w:sz w:val="22"/>
          <w:szCs w:val="22"/>
        </w:rPr>
        <w:t xml:space="preserve">La Patasola no recuerda: lee el deseo. Se pone la cara de lo que a la víctima le falta, pero por dentro no tiene la persona, solo el anhelo. De ahí salen tres constantes, que el arte nunca subraya:</w:t>
      </w:r>
    </w:p>
    <w:p>
      <w:pPr>
        <w:pStyle w:val="ListParagraph"/>
        <w:numPr>
          <w:ilvl w:val="0"/>
          <w:numId w:val="1"/>
        </w:numPr>
        <w:spacing w:after="100" w:line="290"/>
      </w:pPr>
      <w:r>
        <w:rPr>
          <w:rFonts w:ascii="Calibri" w:cs="Calibri" w:eastAsia="Calibri" w:hAnsi="Calibri"/>
          <w:b/>
          <w:bCs/>
          <w:color w:val="9C4B23"/>
          <w:sz w:val="22"/>
          <w:szCs w:val="22"/>
        </w:rPr>
        <w:t xml:space="preserve">1. Fricción cero — </w:t>
      </w:r>
      <w:r>
        <w:rPr>
          <w:rFonts w:ascii="Calibri" w:cs="Calibri" w:eastAsia="Calibri" w:hAnsi="Calibri"/>
          <w:color w:val="3B2E22"/>
          <w:sz w:val="22"/>
          <w:szCs w:val="22"/>
        </w:rPr>
        <w:t xml:space="preserve">nunca contradice, nunca tiene voluntad propia inconveniente, nunca trae su propia agenda. Es imposiblemente complaciente: acepta todo, halaga, cede, solo insiste en una cosa. Una persona real discute, tiene prisa, es inconveniente. La aparición es lisa como el agua.</w:t>
      </w:r>
    </w:p>
    <w:p>
      <w:pPr>
        <w:pStyle w:val="ListParagraph"/>
        <w:numPr>
          <w:ilvl w:val="0"/>
          <w:numId w:val="1"/>
        </w:numPr>
        <w:spacing w:after="100" w:line="290"/>
      </w:pPr>
      <w:r>
        <w:rPr>
          <w:rFonts w:ascii="Calibri" w:cs="Calibri" w:eastAsia="Calibri" w:hAnsi="Calibri"/>
          <w:b/>
          <w:bCs/>
          <w:color w:val="9C4B23"/>
          <w:sz w:val="22"/>
          <w:szCs w:val="22"/>
        </w:rPr>
        <w:t xml:space="preserve">2. Siempre lleva hacia adentro — </w:t>
      </w:r>
      <w:r>
        <w:rPr>
          <w:rFonts w:ascii="Calibri" w:cs="Calibri" w:eastAsia="Calibri" w:hAnsi="Calibri"/>
          <w:color w:val="3B2E22"/>
          <w:sz w:val="22"/>
          <w:szCs w:val="22"/>
        </w:rPr>
        <w:t xml:space="preserve">toda su insistencia apunta en una sola dirección: monte adentro, lejos del pueblo, lejos de las luces, lejos de los perros. Nunca propone volver, nunca camina hacia una casa.</w:t>
      </w:r>
    </w:p>
    <w:p>
      <w:pPr>
        <w:pStyle w:val="ListParagraph"/>
        <w:numPr>
          <w:ilvl w:val="0"/>
          <w:numId w:val="1"/>
        </w:numPr>
        <w:spacing w:after="100" w:line="290"/>
      </w:pPr>
      <w:r>
        <w:rPr>
          <w:rFonts w:ascii="Calibri" w:cs="Calibri" w:eastAsia="Calibri" w:hAnsi="Calibri"/>
          <w:b/>
          <w:bCs/>
          <w:color w:val="9C4B23"/>
          <w:sz w:val="22"/>
          <w:szCs w:val="22"/>
        </w:rPr>
        <w:t xml:space="preserve">3. El rastro imposible — </w:t>
      </w:r>
      <w:r>
        <w:rPr>
          <w:rFonts w:ascii="Calibri" w:cs="Calibri" w:eastAsia="Calibri" w:hAnsi="Calibri"/>
          <w:color w:val="3B2E22"/>
          <w:sz w:val="22"/>
          <w:szCs w:val="22"/>
        </w:rPr>
        <w:t xml:space="preserve">deja una sola huella (con pezuña, no con planta), evita el agua quieta y los reflejos, se coloca siempre de modo que no le veas la mitad de abajo, y los perros la delatan — no ladran de rabia, ladran de terror y se niegan a avanzar.</w:t>
      </w:r>
    </w:p>
    <w:p>
      <w:pPr>
        <w:spacing w:after="160" w:line="300"/>
      </w:pPr>
      <w:r>
        <w:rPr>
          <w:rFonts w:ascii="Calibri" w:cs="Calibri" w:eastAsia="Calibri" w:hAnsi="Calibri"/>
          <w:b w:val="false"/>
          <w:bCs w:val="false"/>
          <w:i w:val="false"/>
          <w:iCs w:val="false"/>
          <w:color w:val="3B2E22"/>
          <w:sz w:val="22"/>
          <w:szCs w:val="22"/>
        </w:rPr>
        <w:t xml:space="preserve">La regla real que el jugador aprende NO es "buscá la pezuña" — esa es la trampa de memorización, porque exige tener la cosa delante y a veces no la tienes. La regla real es: la persona verdadera es inconveniente, tiene su propia voluntad y te lleva a un sitio con nombre; el engaño es complaciente, no tiene voluntad y solo te hunde en el monte — verifícalo contra lo que sabes de la persona real y no lo sigas.</w:t>
      </w:r>
    </w:p>
    <w:p>
      <w:pPr>
        <w:pStyle w:val="Heading3"/>
        <w:spacing w:after="120" w:before="240"/>
      </w:pPr>
      <w:r>
        <w:rPr>
          <w:rFonts w:ascii="Calibri" w:cs="Calibri" w:eastAsia="Calibri" w:hAnsi="Calibri"/>
          <w:b/>
          <w:bCs/>
          <w:color w:val="9C4B23"/>
          <w:sz w:val="25"/>
          <w:szCs w:val="25"/>
        </w:rPr>
        <w:t xml:space="preserve">La capa superficial (lo que cambia cada caso)</w:t>
      </w:r>
    </w:p>
    <w:p>
      <w:pPr>
        <w:spacing w:after="160" w:line="300"/>
      </w:pPr>
      <w:r>
        <w:rPr>
          <w:rFonts w:ascii="Calibri" w:cs="Calibri" w:eastAsia="Calibri" w:hAnsi="Calibri"/>
          <w:b w:val="false"/>
          <w:bCs w:val="false"/>
          <w:i w:val="false"/>
          <w:iCs w:val="false"/>
          <w:color w:val="3B2E22"/>
          <w:sz w:val="22"/>
          <w:szCs w:val="22"/>
        </w:rPr>
        <w:t xml:space="preserve">Lo que varía es de quién se pone la cara y qué carencia explota, porque lee el deseo y cada víctima carece de algo distinto: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Un hombre solo y enamorado → se le aparece como la mujer que corteja o que perdió.</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Un viudo → como la esposa muerta, "que volvió".</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Un padre con un hijo perdido en el monte → como una voz que dice haberlo encontrado y guía hacia él — ni siquiera hace falta la belleza: el señuelo es la esperanza.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Un forastero perdido → como una lugareña servicial que "conoce el camino de vuelta" (y lo aleja de él).</w:t>
      </w:r>
    </w:p>
    <w:p>
      <w:pPr>
        <w:spacing w:after="160" w:line="300"/>
      </w:pPr>
      <w:r>
        <w:rPr>
          <w:rFonts w:ascii="Calibri" w:cs="Calibri" w:eastAsia="Calibri" w:hAnsi="Calibri"/>
          <w:b w:val="false"/>
          <w:bCs w:val="false"/>
          <w:i w:val="false"/>
          <w:iCs w:val="false"/>
          <w:color w:val="3B2E22"/>
          <w:sz w:val="22"/>
          <w:szCs w:val="22"/>
        </w:rPr>
        <w:t xml:space="preserve">Como la máscara y el señuelo cambian, el detalle de verificación cambia con ellos. Un jugador que memorizó "revisá la pata" fallará el caso donde nunca llega a verle los pies porque la desenmascaró antes, por conversación; uno que memorizó "preguntale por un recuerdo" fallará el caso del forastero, que no comparte ningún recuerdo con nadie del pueblo. La constante es el método; la superficie obliga a re-deducir cada vez (Pilar 3, dentro del mismo mito).</w:t>
      </w:r>
    </w:p>
    <w:p>
      <w:pPr>
        <w:pStyle w:val="Heading3"/>
        <w:spacing w:after="120" w:before="240"/>
      </w:pPr>
      <w:r>
        <w:rPr>
          <w:rFonts w:ascii="Calibri" w:cs="Calibri" w:eastAsia="Calibri" w:hAnsi="Calibri"/>
          <w:b/>
          <w:bCs/>
          <w:color w:val="9C4B23"/>
          <w:sz w:val="25"/>
          <w:szCs w:val="25"/>
        </w:rPr>
        <w:t xml:space="preserve">Qué NO es el verbo (blindaje anti-Mohán)</w:t>
      </w:r>
    </w:p>
    <w:p>
      <w:pPr>
        <w:spacing w:after="160" w:line="300"/>
      </w:pPr>
      <w:r>
        <w:rPr>
          <w:rFonts w:ascii="Calibri" w:cs="Calibri" w:eastAsia="Calibri" w:hAnsi="Calibri"/>
          <w:b w:val="false"/>
          <w:bCs w:val="false"/>
          <w:i w:val="false"/>
          <w:iCs w:val="false"/>
          <w:color w:val="3B2E22"/>
          <w:sz w:val="22"/>
          <w:szCs w:val="22"/>
        </w:rPr>
        <w:t xml:space="preserve">No existe "el objeto correcto que se le da". El azufre, las hierbas quemadas, el machete, el rezo, los perros no son una ofrenda ni un pago: son instrumentos de rechazo y de exposición que solo tienen efecto después de que el jugador ya juzgó correctamente que es ella. Aplicados sin ese juicio previo, no resuelven nada — y aplicados sobre la persona equivocada son un desastre. La Patasola no acepta nada, no regatea, no fija un precio. Con ella no se transa: se descree y se da la espalda.</w:t>
      </w:r>
    </w:p>
    <w:p>
      <w:pPr>
        <w:pStyle w:val="Heading1"/>
        <w:pBdr>
          <w:bottom w:val="single" w:color="9C4B23" w:sz="8" w:space="4"/>
        </w:pBdr>
        <w:spacing w:after="240" w:before="400"/>
      </w:pPr>
      <w:r>
        <w:rPr>
          <w:rFonts w:ascii="Calibri" w:cs="Calibri" w:eastAsia="Calibri" w:hAnsi="Calibri"/>
          <w:b/>
          <w:bCs/>
          <w:color w:val="9C4B23"/>
          <w:sz w:val="40"/>
          <w:szCs w:val="40"/>
        </w:rPr>
        <w:t xml:space="preserve">Señales observables (antes de la certeza)</w:t>
      </w:r>
    </w:p>
    <w:p>
      <w:pPr>
        <w:spacing w:after="160" w:line="300"/>
      </w:pPr>
      <w:r>
        <w:rPr>
          <w:rFonts w:ascii="Calibri" w:cs="Calibri" w:eastAsia="Calibri" w:hAnsi="Calibri"/>
          <w:b w:val="false"/>
          <w:bCs w:val="false"/>
          <w:i/>
          <w:iCs/>
          <w:color w:val="6B5B4A"/>
          <w:sz w:val="20"/>
          <w:szCs w:val="20"/>
        </w:rPr>
        <w:t xml:space="preserve">El Art Bible prohíbe que el arte delate a la Patasola. Todas estas señales viven en comportamiento de NPCs, testimonios y patrones de eventos — nunca en cómo se ve el mundo.</w:t>
      </w:r>
    </w:p>
    <w:p>
      <w:pPr>
        <w:pStyle w:val="ListParagraph"/>
        <w:numPr>
          <w:ilvl w:val="0"/>
          <w:numId w:val="1"/>
        </w:numPr>
        <w:spacing w:after="100" w:line="290"/>
      </w:pPr>
      <w:r>
        <w:rPr>
          <w:rFonts w:ascii="Calibri" w:cs="Calibri" w:eastAsia="Calibri" w:hAnsi="Calibri"/>
          <w:b/>
          <w:bCs/>
          <w:color w:val="9C4B23"/>
          <w:sz w:val="22"/>
          <w:szCs w:val="22"/>
        </w:rPr>
        <w:t xml:space="preserve">El patrón de las desapariciones (la señal madre) — </w:t>
      </w:r>
      <w:r>
        <w:rPr>
          <w:rFonts w:ascii="Calibri" w:cs="Calibri" w:eastAsia="Calibri" w:hAnsi="Calibri"/>
          <w:color w:val="3B2E22"/>
          <w:sz w:val="22"/>
          <w:szCs w:val="22"/>
        </w:rPr>
        <w:t xml:space="preserve">desaparecen personas vistas por última vez "hablando con alguien" o "yendo a encontrarse con alguien" rumbo al monte, y que se internaron solas. La selectividad apunta a un señuelo con criterio, no a un accidente que golpearía a cualquiera.</w:t>
      </w:r>
    </w:p>
    <w:p>
      <w:pPr>
        <w:pStyle w:val="ListParagraph"/>
        <w:numPr>
          <w:ilvl w:val="0"/>
          <w:numId w:val="1"/>
        </w:numPr>
        <w:spacing w:after="100" w:line="290"/>
      </w:pPr>
      <w:r>
        <w:rPr>
          <w:rFonts w:ascii="Calibri" w:cs="Calibri" w:eastAsia="Calibri" w:hAnsi="Calibri"/>
          <w:b/>
          <w:bCs/>
          <w:color w:val="9C4B23"/>
          <w:sz w:val="22"/>
          <w:szCs w:val="22"/>
        </w:rPr>
        <w:t xml:space="preserve">El testimonio del testigo a medias — </w:t>
      </w:r>
      <w:r>
        <w:rPr>
          <w:rFonts w:ascii="Calibri" w:cs="Calibri" w:eastAsia="Calibri" w:hAnsi="Calibri"/>
          <w:color w:val="3B2E22"/>
          <w:sz w:val="22"/>
          <w:szCs w:val="22"/>
        </w:rPr>
        <w:t xml:space="preserve">alguien casi siempre vio al desaparecido antes de que se internara: un arriero, un niño, una vecina. El testigo aporta quién parecía ser — y esa identidad es exactamente lo que hay que poner en duda.</w:t>
      </w:r>
    </w:p>
    <w:p>
      <w:pPr>
        <w:pStyle w:val="ListParagraph"/>
        <w:numPr>
          <w:ilvl w:val="0"/>
          <w:numId w:val="1"/>
        </w:numPr>
        <w:spacing w:after="100" w:line="290"/>
      </w:pPr>
      <w:r>
        <w:rPr>
          <w:rFonts w:ascii="Calibri" w:cs="Calibri" w:eastAsia="Calibri" w:hAnsi="Calibri"/>
          <w:b/>
          <w:bCs/>
          <w:color w:val="9C4B23"/>
          <w:sz w:val="22"/>
          <w:szCs w:val="22"/>
        </w:rPr>
        <w:t xml:space="preserve">La conducta previa de la víctima — </w:t>
      </w:r>
      <w:r>
        <w:rPr>
          <w:rFonts w:ascii="Calibri" w:cs="Calibri" w:eastAsia="Calibri" w:hAnsi="Calibri"/>
          <w:color w:val="3B2E22"/>
          <w:sz w:val="22"/>
          <w:szCs w:val="22"/>
        </w:rPr>
        <w:t xml:space="preserve">antes de perderse, el desaparecido se aislaba, buscaba estar solo, mentía sobre a dónde iba, subía al monte al atardecer sin explicación. Reportado por terceros, nunca un aura visual.</w:t>
      </w:r>
    </w:p>
    <w:p>
      <w:pPr>
        <w:pStyle w:val="ListParagraph"/>
        <w:numPr>
          <w:ilvl w:val="0"/>
          <w:numId w:val="1"/>
        </w:numPr>
        <w:spacing w:after="100" w:line="290"/>
      </w:pPr>
      <w:r>
        <w:rPr>
          <w:rFonts w:ascii="Calibri" w:cs="Calibri" w:eastAsia="Calibri" w:hAnsi="Calibri"/>
          <w:b/>
          <w:bCs/>
          <w:color w:val="9C4B23"/>
          <w:sz w:val="22"/>
          <w:szCs w:val="22"/>
        </w:rPr>
        <w:t xml:space="preserve">Los perros — </w:t>
      </w:r>
      <w:r>
        <w:rPr>
          <w:rFonts w:ascii="Calibri" w:cs="Calibri" w:eastAsia="Calibri" w:hAnsi="Calibri"/>
          <w:color w:val="3B2E22"/>
          <w:sz w:val="22"/>
          <w:szCs w:val="22"/>
        </w:rPr>
        <w:t xml:space="preserve">un dato duro y barato de obtener: los perros del pueblo no quieren subir al monte por cierto lado, se erizan, gimen, se plantan.</w:t>
      </w:r>
    </w:p>
    <w:p>
      <w:pPr>
        <w:pStyle w:val="ListParagraph"/>
        <w:numPr>
          <w:ilvl w:val="0"/>
          <w:numId w:val="1"/>
        </w:numPr>
        <w:spacing w:after="100" w:line="290"/>
      </w:pPr>
      <w:r>
        <w:rPr>
          <w:rFonts w:ascii="Calibri" w:cs="Calibri" w:eastAsia="Calibri" w:hAnsi="Calibri"/>
          <w:b/>
          <w:bCs/>
          <w:color w:val="9C4B23"/>
          <w:sz w:val="22"/>
          <w:szCs w:val="22"/>
        </w:rPr>
        <w:t xml:space="preserve">La huella única — </w:t>
      </w:r>
      <w:r>
        <w:rPr>
          <w:rFonts w:ascii="Calibri" w:cs="Calibri" w:eastAsia="Calibri" w:hAnsi="Calibri"/>
          <w:color w:val="3B2E22"/>
          <w:sz w:val="22"/>
          <w:szCs w:val="22"/>
        </w:rPr>
        <w:t xml:space="preserve">donde debería haber dos rastros, hay el de él y, junto, una sola pisada que no es de bota ni de planta. Nunca resaltada; hay que ir, agacharse y mirar.</w:t>
      </w:r>
    </w:p>
    <w:p>
      <w:pPr>
        <w:pStyle w:val="ListParagraph"/>
        <w:numPr>
          <w:ilvl w:val="0"/>
          <w:numId w:val="1"/>
        </w:numPr>
        <w:spacing w:after="100" w:line="290"/>
      </w:pPr>
      <w:r>
        <w:rPr>
          <w:rFonts w:ascii="Calibri" w:cs="Calibri" w:eastAsia="Calibri" w:hAnsi="Calibri"/>
          <w:b/>
          <w:bCs/>
          <w:color w:val="9C4B23"/>
          <w:sz w:val="22"/>
          <w:szCs w:val="22"/>
        </w:rPr>
        <w:t xml:space="preserve">El silencio de los que saben — </w:t>
      </w:r>
      <w:r>
        <w:rPr>
          <w:rFonts w:ascii="Calibri" w:cs="Calibri" w:eastAsia="Calibri" w:hAnsi="Calibri"/>
          <w:color w:val="3B2E22"/>
          <w:sz w:val="22"/>
          <w:szCs w:val="22"/>
        </w:rPr>
        <w:t xml:space="preserve">quién no quiere hablar es una señal — las mujeres mayores que cortan el tema, el que cambia de cara cuando se nombra "la del alto".</w:t>
      </w:r>
    </w:p>
    <w:p>
      <w:pPr>
        <w:pStyle w:val="Heading1"/>
        <w:pBdr>
          <w:bottom w:val="single" w:color="9C4B23" w:sz="8" w:space="4"/>
        </w:pBdr>
        <w:spacing w:after="240" w:before="400"/>
      </w:pPr>
      <w:r>
        <w:rPr>
          <w:rFonts w:ascii="Calibri" w:cs="Calibri" w:eastAsia="Calibri" w:hAnsi="Calibri"/>
          <w:b/>
          <w:bCs/>
          <w:color w:val="9C4B23"/>
          <w:sz w:val="40"/>
          <w:szCs w:val="40"/>
        </w:rPr>
        <w:t xml:space="preserve">Hipótesis rivales (candidatos de confusión)</w:t>
      </w:r>
    </w:p>
    <w:p>
      <w:pPr>
        <w:spacing w:after="160" w:line="300"/>
      </w:pPr>
      <w:r>
        <w:rPr>
          <w:rFonts w:ascii="Calibri" w:cs="Calibri" w:eastAsia="Calibri" w:hAnsi="Calibri"/>
          <w:b w:val="false"/>
          <w:bCs w:val="false"/>
          <w:i w:val="false"/>
          <w:iCs w:val="false"/>
          <w:color w:val="3B2E22"/>
          <w:sz w:val="22"/>
          <w:szCs w:val="22"/>
        </w:rPr>
        <w:t xml:space="preserve">Los mismos síntomas — alguien que se interna en el monte tras "seguir a alguien" y no vuelve — admiten varias lecturas plausibles. Cada caso siembra pistas para 2–4 de ellas.</w:t>
      </w:r>
    </w:p>
    <w:p>
      <w:pPr>
        <w:pStyle w:val="Heading3"/>
        <w:spacing w:after="120" w:before="240"/>
      </w:pPr>
      <w:r>
        <w:rPr>
          <w:rFonts w:ascii="Calibri" w:cs="Calibri" w:eastAsia="Calibri" w:hAnsi="Calibri"/>
          <w:b/>
          <w:bCs/>
          <w:color w:val="9C4B23"/>
          <w:sz w:val="25"/>
          <w:szCs w:val="25"/>
        </w:rPr>
        <w:t xml:space="preserve">1) La Madremonte (dominio compartido: el monte)</w:t>
      </w:r>
    </w:p>
    <w:p>
      <w:pPr>
        <w:spacing w:after="160" w:line="300"/>
      </w:pPr>
      <w:r>
        <w:rPr>
          <w:rFonts w:ascii="Calibri" w:cs="Calibri" w:eastAsia="Calibri" w:hAnsi="Calibri"/>
          <w:b w:val="false"/>
          <w:bCs w:val="false"/>
          <w:i/>
          <w:iCs/>
          <w:color w:val="6B5B4A"/>
          <w:sz w:val="20"/>
          <w:szCs w:val="20"/>
        </w:rPr>
        <w:t xml:space="preserve">Confusión de vecindad — no confrontable en el MVP.</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el monte, la niebla, gente que se pierde y se "enmontó" sin hallar salida.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Por qué engaña: comparten territorio exacto y ambas "se llevan gente monte adentro" — la misma confusión de dominio cruzado que ya vimos con el Mohán, aquí por el monte en vez del agua.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la Madremonte es guardiana impersonal, no seductora. Castiga la transgresión ambiental y su método es perder y desorientar — no ponerse una cara conocida y enamorar. La Patasola apunta a un individuo concreto por su deseo y usa un rostro familiar. Si nadie reporta una mujer/persona/voz con identidad, mira a la Madremonte, no a la Patasola.</w:t>
      </w:r>
    </w:p>
    <w:p>
      <w:pPr>
        <w:pStyle w:val="Heading3"/>
        <w:spacing w:after="120" w:before="240"/>
      </w:pPr>
      <w:r>
        <w:rPr>
          <w:rFonts w:ascii="Calibri" w:cs="Calibri" w:eastAsia="Calibri" w:hAnsi="Calibri"/>
          <w:b/>
          <w:bCs/>
          <w:color w:val="9C4B23"/>
          <w:sz w:val="25"/>
          <w:szCs w:val="25"/>
        </w:rPr>
        <w:t xml:space="preserve">2) El crimen humano real (el candidato más peligroso)</w:t>
      </w:r>
    </w:p>
    <w:p>
      <w:pPr>
        <w:spacing w:after="160" w:line="300"/>
      </w:pPr>
      <w:r>
        <w:rPr>
          <w:rFonts w:ascii="Calibri" w:cs="Calibri" w:eastAsia="Calibri" w:hAnsi="Calibri"/>
          <w:b w:val="false"/>
          <w:bCs w:val="false"/>
          <w:i/>
          <w:iCs/>
          <w:color w:val="6B5B4A"/>
          <w:sz w:val="20"/>
          <w:szCs w:val="20"/>
        </w:rPr>
        <w:t xml:space="preserve">Análogo funcional al "estafador humano" del Mohán, con su propia lógica. Aquí el disfraz no lo lleva la entidad: lo lleva la leyenda misma, usada para tapar un hecho mundano. Tres sabores: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Fuga real: el hombre sí se fue con alguien, y "la Patasola se lo llevó" es la coartada cómoda que el pueblo (o él mismo) prefiere creer.</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Homicidio con coartada folclórica: alguien lo mató — un marido celoso, un pleito de tierras, una deuda — y echó el cuerpo al monte y la culpa a la Patasola.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trampa de género invertida: una mujer real, señalada por el pueblo como "la Patasola" por conveniencia, que es inocente y sobre quien recae la sospecha del jugador.</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crimen humano deja rastro humano — un cuerpo, dinero movido, una amante real, un beneficiario, un móvil. La Patasola no deja cuerpo (deja un desaparecido) y no beneficia a ningún humano.</w:t>
      </w:r>
    </w:p>
    <w:p>
      <w:pPr>
        <w:spacing w:after="160" w:line="300"/>
      </w:pPr>
      <w:r>
        <w:rPr>
          <w:rFonts w:ascii="Calibri" w:cs="Calibri" w:eastAsia="Calibri" w:hAnsi="Calibri"/>
          <w:b w:val="false"/>
          <w:bCs w:val="false"/>
          <w:i/>
          <w:iCs/>
          <w:color w:val="6B5B4A"/>
          <w:sz w:val="20"/>
          <w:szCs w:val="20"/>
        </w:rPr>
        <w:t xml:space="preserve">Por qué es la trampa central: aquí el error es doble filo, peor que con el Mohán, porque el verbo de la Patasola puede volverse contra un inocente. "Confrontar a la Patasola" cuando era un homicida → el asesino queda libre y protegido por tu propia conclusión. Y su reverso es el más grave del juego: aplicar el rechazo/expulsión sobre una mujer real inocente es hacerle exactamente lo que la leyenda de origen —en una de sus versiones no confirmadas— dice que le hicieron a la primera. El verbo "no confíes en lo que ves" corta en las dos direcciones.</w:t>
      </w:r>
    </w:p>
    <w:p>
      <w:pPr>
        <w:pStyle w:val="Heading3"/>
        <w:spacing w:after="120" w:before="240"/>
      </w:pPr>
      <w:r>
        <w:rPr>
          <w:rFonts w:ascii="Calibri" w:cs="Calibri" w:eastAsia="Calibri" w:hAnsi="Calibri"/>
          <w:b/>
          <w:bCs/>
          <w:color w:val="9C4B23"/>
          <w:sz w:val="25"/>
          <w:szCs w:val="25"/>
        </w:rPr>
        <w:t xml:space="preserve">3) Accidente / naturaleza (exposición, caída, niebla del subpáramo)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Pista malinterpretable: el terreno erosionado sin ejes, la niebla creciente, el gradiente térmico hacia el subpáramo abierto hacen que perderse y morir de frío o de una caída sea verosímil sin nada sobrenatural.</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Cómo distinguirla: el accidente no tiene testigo de "una mujer / una voz", no viene precedido de conducta embobada, y le puede pasar a cualquiera. Si toda la evidencia es terreno + clima y ningún testimonio de llamado, no hay Patasola que confrontar.</w:t>
      </w:r>
    </w:p>
    <w:p>
      <w:pPr>
        <w:pStyle w:val="Heading1"/>
        <w:pBdr>
          <w:bottom w:val="single" w:color="9C4B23" w:sz="8" w:space="4"/>
        </w:pBdr>
        <w:spacing w:after="240" w:before="400"/>
      </w:pPr>
      <w:r>
        <w:rPr>
          <w:rFonts w:ascii="Calibri" w:cs="Calibri" w:eastAsia="Calibri" w:hAnsi="Calibri"/>
          <w:b/>
          <w:bCs/>
          <w:color w:val="9C4B23"/>
          <w:sz w:val="40"/>
          <w:szCs w:val="40"/>
        </w:rPr>
        <w:t xml:space="preserve">La confrontación de ingenio</w:t>
      </w:r>
    </w:p>
    <w:p>
      <w:pPr>
        <w:spacing w:after="160" w:line="300"/>
      </w:pPr>
      <w:r>
        <w:rPr>
          <w:rFonts w:ascii="Calibri" w:cs="Calibri" w:eastAsia="Calibri" w:hAnsi="Calibri"/>
          <w:b w:val="false"/>
          <w:bCs w:val="false"/>
          <w:i w:val="false"/>
          <w:iCs w:val="false"/>
          <w:color w:val="3B2E22"/>
          <w:sz w:val="22"/>
          <w:szCs w:val="22"/>
        </w:rPr>
        <w:t xml:space="preserve">No es combate. Y a diferencia del Mohán, no se llega cruzando un umbral hacia el dominio de la entidad — se resuelve resistiéndose a cruzarlo. El eje mecánico no es el tiempo (como en el Mohán) sino el espacio: la profundidad monte adentro. Cuanto más lejos del pueblo, más fuerte el engaño y más difícil volver.</w:t>
      </w:r>
    </w:p>
    <w:p>
      <w:pPr>
        <w:pStyle w:val="Heading3"/>
        <w:spacing w:after="120" w:before="240"/>
      </w:pPr>
      <w:r>
        <w:rPr>
          <w:rFonts w:ascii="Calibri" w:cs="Calibri" w:eastAsia="Calibri" w:hAnsi="Calibri"/>
          <w:b/>
          <w:bCs/>
          <w:color w:val="9C4B23"/>
          <w:sz w:val="25"/>
          <w:szCs w:val="25"/>
        </w:rPr>
        <w:t xml:space="preserve">Dónde y cómo ocurre</w:t>
      </w:r>
    </w:p>
    <w:p>
      <w:pPr>
        <w:pStyle w:val="ListParagraph"/>
        <w:numPr>
          <w:ilvl w:val="0"/>
          <w:numId w:val="1"/>
        </w:numPr>
        <w:spacing w:after="100" w:line="290"/>
      </w:pPr>
      <w:r>
        <w:rPr>
          <w:rFonts w:ascii="Calibri" w:cs="Calibri" w:eastAsia="Calibri" w:hAnsi="Calibri"/>
          <w:b/>
          <w:bCs/>
          <w:color w:val="9C4B23"/>
          <w:sz w:val="22"/>
          <w:szCs w:val="22"/>
        </w:rPr>
        <w:t xml:space="preserve">Interceptando a una víctima en curso — </w:t>
      </w:r>
      <w:r>
        <w:rPr>
          <w:rFonts w:ascii="Calibri" w:cs="Calibri" w:eastAsia="Calibri" w:hAnsi="Calibri"/>
          <w:color w:val="3B2E22"/>
          <w:sz w:val="22"/>
          <w:szCs w:val="22"/>
        </w:rPr>
        <w:t xml:space="preserve">el jugador alcanza a un NPC que está siendo llevado (o es él mismo el objetivo, si el caso lo diseña así), en algún punto del gradiente pueblo→monte. La zona liminal es donde todavía se puede intervenir; más allá, la niebla y el terreno sin ejes hacen que cada paso reste opciones.</w:t>
      </w:r>
    </w:p>
    <w:p>
      <w:pPr>
        <w:pStyle w:val="ListParagraph"/>
        <w:numPr>
          <w:ilvl w:val="0"/>
          <w:numId w:val="1"/>
        </w:numPr>
        <w:spacing w:after="100" w:line="290"/>
      </w:pPr>
      <w:r>
        <w:rPr>
          <w:rFonts w:ascii="Calibri" w:cs="Calibri" w:eastAsia="Calibri" w:hAnsi="Calibri"/>
          <w:b/>
          <w:bCs/>
          <w:color w:val="9C4B23"/>
          <w:sz w:val="22"/>
          <w:szCs w:val="22"/>
        </w:rPr>
        <w:t xml:space="preserve">Siguiendo un llamado él mismo — </w:t>
      </w:r>
      <w:r>
        <w:rPr>
          <w:rFonts w:ascii="Calibri" w:cs="Calibri" w:eastAsia="Calibri" w:hAnsi="Calibri"/>
          <w:color w:val="3B2E22"/>
          <w:sz w:val="22"/>
          <w:szCs w:val="22"/>
        </w:rPr>
        <w:t xml:space="preserve">el investigador oye/ve a "alguien" y decide si seguir. Aquí la primera y a veces única decisión correcta es no seguir.</w:t>
      </w:r>
    </w:p>
    <w:p>
      <w:pPr>
        <w:pStyle w:val="Heading3"/>
        <w:spacing w:after="120" w:before="240"/>
      </w:pPr>
      <w:r>
        <w:rPr>
          <w:rFonts w:ascii="Calibri" w:cs="Calibri" w:eastAsia="Calibri" w:hAnsi="Calibri"/>
          <w:b/>
          <w:bCs/>
          <w:color w:val="9C4B23"/>
          <w:sz w:val="25"/>
          <w:szCs w:val="25"/>
        </w:rPr>
        <w:t xml:space="preserve">Estructura del encuentro, paso a paso</w:t>
      </w:r>
    </w:p>
    <w:p>
      <w:pPr>
        <w:pStyle w:val="ListParagraph"/>
        <w:numPr>
          <w:ilvl w:val="0"/>
          <w:numId w:val="1"/>
        </w:numPr>
        <w:spacing w:after="100" w:line="290"/>
      </w:pPr>
      <w:r>
        <w:rPr>
          <w:rFonts w:ascii="Calibri" w:cs="Calibri" w:eastAsia="Calibri" w:hAnsi="Calibri"/>
          <w:b/>
          <w:bCs/>
          <w:color w:val="9C4B23"/>
          <w:sz w:val="22"/>
          <w:szCs w:val="22"/>
        </w:rPr>
        <w:t xml:space="preserve">1. Leer la dirección — </w:t>
      </w:r>
      <w:r>
        <w:rPr>
          <w:rFonts w:ascii="Calibri" w:cs="Calibri" w:eastAsia="Calibri" w:hAnsi="Calibri"/>
          <w:color w:val="3B2E22"/>
          <w:sz w:val="22"/>
          <w:szCs w:val="22"/>
        </w:rPr>
        <w:t xml:space="preserve">¿hacia dónde lleva? ¿Hacia una casa, una luz, el pueblo, o siempre más adentro? Decisión: avanzar tras ella, plantarse, o retroceder hacia el pueblo.</w:t>
      </w:r>
    </w:p>
    <w:p>
      <w:pPr>
        <w:pStyle w:val="ListParagraph"/>
        <w:numPr>
          <w:ilvl w:val="0"/>
          <w:numId w:val="1"/>
        </w:numPr>
        <w:spacing w:after="100" w:line="290"/>
      </w:pPr>
      <w:r>
        <w:rPr>
          <w:rFonts w:ascii="Calibri" w:cs="Calibri" w:eastAsia="Calibri" w:hAnsi="Calibri"/>
          <w:b/>
          <w:bCs/>
          <w:color w:val="9C4B23"/>
          <w:sz w:val="22"/>
          <w:szCs w:val="22"/>
        </w:rPr>
        <w:t xml:space="preserve">2. Probar la voluntad y la memoria — </w:t>
      </w:r>
      <w:r>
        <w:rPr>
          <w:rFonts w:ascii="Calibri" w:cs="Calibri" w:eastAsia="Calibri" w:hAnsi="Calibri"/>
          <w:color w:val="3B2E22"/>
          <w:sz w:val="22"/>
          <w:szCs w:val="22"/>
        </w:rPr>
        <w:t xml:space="preserve">el jugador verifica contra lo que sabe: le pide algo que la persona real haría o sabría, o propone volver / ir a un sitio concreto. La verdadera accede o discute con criterio propio; la Patasola no puede — no recuerda lo íntimo, y cualquier propuesta de volver la disuelve en pura insistencia de seguir. Ojo: si es un ser humano real, esta misma prueba la pasa — está diseñada para exculpar al inocente tanto como para desenmascarar al monstruo.</w:t>
      </w:r>
    </w:p>
    <w:p>
      <w:pPr>
        <w:pStyle w:val="ListParagraph"/>
        <w:numPr>
          <w:ilvl w:val="0"/>
          <w:numId w:val="1"/>
        </w:numPr>
        <w:spacing w:after="100" w:line="290"/>
      </w:pPr>
      <w:r>
        <w:rPr>
          <w:rFonts w:ascii="Calibri" w:cs="Calibri" w:eastAsia="Calibri" w:hAnsi="Calibri"/>
          <w:b/>
          <w:bCs/>
          <w:color w:val="9C4B23"/>
          <w:sz w:val="22"/>
          <w:szCs w:val="22"/>
        </w:rPr>
        <w:t xml:space="preserve">3. Negarse a seguir — </w:t>
      </w:r>
      <w:r>
        <w:rPr>
          <w:rFonts w:ascii="Calibri" w:cs="Calibri" w:eastAsia="Calibri" w:hAnsi="Calibri"/>
          <w:color w:val="3B2E22"/>
          <w:sz w:val="22"/>
          <w:szCs w:val="22"/>
        </w:rPr>
        <w:t xml:space="preserve">el acto central del verbo: dar la espalda al señuelo y no cruzar, o, si intercepta a una víctima, romper el hilo sacándola del trance. No se le da nada a la Patasola; se le retira lo único que la sostiene: el que la sigue.</w:t>
      </w:r>
    </w:p>
    <w:p>
      <w:pPr>
        <w:pStyle w:val="ListParagraph"/>
        <w:numPr>
          <w:ilvl w:val="0"/>
          <w:numId w:val="1"/>
        </w:numPr>
        <w:spacing w:after="100" w:line="290"/>
      </w:pPr>
      <w:r>
        <w:rPr>
          <w:rFonts w:ascii="Calibri" w:cs="Calibri" w:eastAsia="Calibri" w:hAnsi="Calibri"/>
          <w:b/>
          <w:bCs/>
          <w:color w:val="9C4B23"/>
          <w:sz w:val="22"/>
          <w:szCs w:val="22"/>
        </w:rPr>
        <w:t xml:space="preserve">4. Exponer / ahuyentar (solo tras el juicio correcto) — </w:t>
      </w:r>
      <w:r>
        <w:rPr>
          <w:rFonts w:ascii="Calibri" w:cs="Calibri" w:eastAsia="Calibri" w:hAnsi="Calibri"/>
          <w:color w:val="3B2E22"/>
          <w:sz w:val="22"/>
          <w:szCs w:val="22"/>
        </w:rPr>
        <w:t xml:space="preserve">los perros la enfrentan, el azufre o las hierbas quemadas la hacen retroceder, el machete es postura de no-paso, no un arma que la mate. Nada de esto es una ofrenda ni un pago. Si el jugador salta a este paso sin el juicio previo, sobre la Patasola quizá funcione por suerte, pero sobre un inocente es una agresión.</w:t>
      </w:r>
    </w:p>
    <w:p>
      <w:pPr>
        <w:pStyle w:val="Heading3"/>
        <w:spacing w:after="120" w:before="240"/>
      </w:pPr>
      <w:r>
        <w:rPr>
          <w:rFonts w:ascii="Calibri" w:cs="Calibri" w:eastAsia="Calibri" w:hAnsi="Calibri"/>
          <w:b/>
          <w:bCs/>
          <w:color w:val="9C4B23"/>
          <w:sz w:val="25"/>
          <w:szCs w:val="25"/>
        </w:rPr>
        <w:t xml:space="preserve">Cómo se ramifica el resultado</w:t>
      </w:r>
    </w:p>
    <w:p>
      <w:pPr>
        <w:pStyle w:val="ListParagraph"/>
        <w:numPr>
          <w:ilvl w:val="0"/>
          <w:numId w:val="1"/>
        </w:numPr>
        <w:spacing w:after="100" w:line="290"/>
      </w:pPr>
      <w:r>
        <w:rPr>
          <w:rFonts w:ascii="Calibri" w:cs="Calibri" w:eastAsia="Calibri" w:hAnsi="Calibri"/>
          <w:b/>
          <w:bCs/>
          <w:color w:val="9C4B23"/>
          <w:sz w:val="22"/>
          <w:szCs w:val="22"/>
        </w:rPr>
        <w:t xml:space="preserve">Hipótesis correcta + rechazo correcto — </w:t>
      </w:r>
      <w:r>
        <w:rPr>
          <w:rFonts w:ascii="Calibri" w:cs="Calibri" w:eastAsia="Calibri" w:hAnsi="Calibri"/>
          <w:color w:val="3B2E22"/>
          <w:sz w:val="22"/>
          <w:szCs w:val="22"/>
        </w:rPr>
        <w:t xml:space="preserve">la víctima vuelve al pueblo, o el investigador se retira intacto. El engaño no vuelve a esa persona con esa cara. Puede quedar un costo — la víctima marcada por lo que casi le pasa.</w:t>
      </w:r>
    </w:p>
    <w:p>
      <w:pPr>
        <w:pStyle w:val="ListParagraph"/>
        <w:numPr>
          <w:ilvl w:val="0"/>
          <w:numId w:val="1"/>
        </w:numPr>
        <w:spacing w:after="100" w:line="290"/>
      </w:pPr>
      <w:r>
        <w:rPr>
          <w:rFonts w:ascii="Calibri" w:cs="Calibri" w:eastAsia="Calibri" w:hAnsi="Calibri"/>
          <w:b/>
          <w:bCs/>
          <w:color w:val="9C4B23"/>
          <w:sz w:val="22"/>
          <w:szCs w:val="22"/>
        </w:rPr>
        <w:t xml:space="preserve">Hipótesis correcta, ejecución tibia — </w:t>
      </w:r>
      <w:r>
        <w:rPr>
          <w:rFonts w:ascii="Calibri" w:cs="Calibri" w:eastAsia="Calibri" w:hAnsi="Calibri"/>
          <w:color w:val="3B2E22"/>
          <w:sz w:val="22"/>
          <w:szCs w:val="22"/>
        </w:rPr>
        <w:t xml:space="preserve">rescate parcial: la víctima vuelve cambiada, perdida de la razón, o resentida contigo. El problema reaparece degradado.</w:t>
      </w:r>
    </w:p>
    <w:p>
      <w:pPr>
        <w:pStyle w:val="ListParagraph"/>
        <w:numPr>
          <w:ilvl w:val="0"/>
          <w:numId w:val="1"/>
        </w:numPr>
        <w:spacing w:after="100" w:line="290"/>
      </w:pPr>
      <w:r>
        <w:rPr>
          <w:rFonts w:ascii="Calibri" w:cs="Calibri" w:eastAsia="Calibri" w:hAnsi="Calibri"/>
          <w:b/>
          <w:bCs/>
          <w:color w:val="9C4B23"/>
          <w:sz w:val="22"/>
          <w:szCs w:val="22"/>
        </w:rPr>
        <w:t xml:space="preserve">Hipótesis incorrecta — </w:t>
      </w:r>
      <w:r>
        <w:rPr>
          <w:rFonts w:ascii="Calibri" w:cs="Calibri" w:eastAsia="Calibri" w:hAnsi="Calibri"/>
          <w:color w:val="3B2E22"/>
          <w:sz w:val="22"/>
          <w:szCs w:val="22"/>
        </w:rPr>
        <w:t xml:space="preserve">el encuentro se transforma, nunca se corta: si era la Madremonte o un accidente, te perdiste tú o gastaste el caso mirando al lado equivocado. Si era un crimen humano y "confrontaste a la Patasola", el culpable queda libre y blindado por tu conclusión. Si era un inocente y aplicaste el rechazo — la rama más grave — le hiciste daño a una persona real, con consecuencia social permanente.</w:t>
      </w:r>
    </w:p>
    <w:p>
      <w:pPr>
        <w:spacing w:after="160" w:line="300"/>
      </w:pPr>
      <w:r>
        <w:rPr>
          <w:rFonts w:ascii="Calibri" w:cs="Calibri" w:eastAsia="Calibri" w:hAnsi="Calibri"/>
          <w:b w:val="false"/>
          <w:bCs w:val="false"/>
          <w:i w:val="false"/>
          <w:iCs w:val="false"/>
          <w:color w:val="3B2E22"/>
          <w:sz w:val="22"/>
          <w:szCs w:val="22"/>
        </w:rPr>
        <w:t xml:space="preserve">En ningún caso hay game over. El jugador sale del monte habiendo decidido a quién creer y a quién dar la espalda, y vive con esa decisión.</w:t>
      </w:r>
    </w:p>
    <w:p>
      <w:pPr>
        <w:pStyle w:val="Heading1"/>
        <w:pBdr>
          <w:bottom w:val="single" w:color="9C4B23" w:sz="8" w:space="4"/>
        </w:pBdr>
        <w:spacing w:after="240" w:before="400"/>
      </w:pPr>
      <w:r>
        <w:rPr>
          <w:rFonts w:ascii="Calibri" w:cs="Calibri" w:eastAsia="Calibri" w:hAnsi="Calibri"/>
          <w:b/>
          <w:bCs/>
          <w:color w:val="9C4B23"/>
          <w:sz w:val="40"/>
          <w:szCs w:val="40"/>
        </w:rPr>
        <w:t xml:space="preserve">Consecuencias de fallar o no intervenir</w:t>
      </w:r>
    </w:p>
    <w:p>
      <w:pPr>
        <w:spacing w:after="160" w:line="300"/>
      </w:pPr>
      <w:r>
        <w:rPr>
          <w:rFonts w:ascii="Calibri" w:cs="Calibri" w:eastAsia="Calibri" w:hAnsi="Calibri"/>
          <w:b w:val="false"/>
          <w:bCs w:val="false"/>
          <w:i w:val="false"/>
          <w:iCs w:val="false"/>
          <w:color w:val="3B2E22"/>
          <w:sz w:val="22"/>
          <w:szCs w:val="22"/>
        </w:rPr>
        <w:t xml:space="preserve">Donde el Mohán genera consecuencias económico-relacionales y demográficas, la Patasola genera consecuencias de tipo espacial y de confianza: el mundo se encoge y se vuelve menos creíble.</w:t>
      </w:r>
    </w:p>
    <w:p>
      <w:pPr>
        <w:pStyle w:val="ListParagraph"/>
        <w:numPr>
          <w:ilvl w:val="0"/>
          <w:numId w:val="1"/>
        </w:numPr>
        <w:spacing w:after="100" w:line="290"/>
      </w:pPr>
      <w:r>
        <w:rPr>
          <w:rFonts w:ascii="Calibri" w:cs="Calibri" w:eastAsia="Calibri" w:hAnsi="Calibri"/>
          <w:b/>
          <w:bCs/>
          <w:color w:val="9C4B23"/>
          <w:sz w:val="22"/>
          <w:szCs w:val="22"/>
        </w:rPr>
        <w:t xml:space="preserve">El monte gana terreno — </w:t>
      </w:r>
      <w:r>
        <w:rPr>
          <w:rFonts w:ascii="Calibri" w:cs="Calibri" w:eastAsia="Calibri" w:hAnsi="Calibri"/>
          <w:color w:val="3B2E22"/>
          <w:sz w:val="22"/>
          <w:szCs w:val="22"/>
        </w:rPr>
        <w:t xml:space="preserve">cada persona que se pierde corre hacia adentro el límite de lo seguro: la niebla del borde norte avanza, un tramo del camino real o una chagra del filo quedan "enmontados". El hub se contrae físicamente.</w:t>
      </w:r>
    </w:p>
    <w:p>
      <w:pPr>
        <w:pStyle w:val="ListParagraph"/>
        <w:numPr>
          <w:ilvl w:val="0"/>
          <w:numId w:val="1"/>
        </w:numPr>
        <w:spacing w:after="100" w:line="290"/>
      </w:pPr>
      <w:r>
        <w:rPr>
          <w:rFonts w:ascii="Calibri" w:cs="Calibri" w:eastAsia="Calibri" w:hAnsi="Calibri"/>
          <w:b/>
          <w:bCs/>
          <w:color w:val="9C4B23"/>
          <w:sz w:val="22"/>
          <w:szCs w:val="22"/>
        </w:rPr>
        <w:t xml:space="preserve">La desaparición sin cuerpo — </w:t>
      </w:r>
      <w:r>
        <w:rPr>
          <w:rFonts w:ascii="Calibri" w:cs="Calibri" w:eastAsia="Calibri" w:hAnsi="Calibri"/>
          <w:color w:val="3B2E22"/>
          <w:sz w:val="22"/>
          <w:szCs w:val="22"/>
        </w:rPr>
        <w:t xml:space="preserve">no hay velorio, no hay duelo cerrado — hay una familia que espera y un puesto vacío sin explicación. Puede reaparecer como la propia víctima cambiada que vuelve tiempo después.</w:t>
      </w:r>
    </w:p>
    <w:p>
      <w:pPr>
        <w:pStyle w:val="ListParagraph"/>
        <w:numPr>
          <w:ilvl w:val="0"/>
          <w:numId w:val="1"/>
        </w:numPr>
        <w:spacing w:after="100" w:line="290"/>
      </w:pPr>
      <w:r>
        <w:rPr>
          <w:rFonts w:ascii="Calibri" w:cs="Calibri" w:eastAsia="Calibri" w:hAnsi="Calibri"/>
          <w:b/>
          <w:bCs/>
          <w:color w:val="9C4B23"/>
          <w:sz w:val="22"/>
          <w:szCs w:val="22"/>
        </w:rPr>
        <w:t xml:space="preserve">El superviviente marcado — </w:t>
      </w:r>
      <w:r>
        <w:rPr>
          <w:rFonts w:ascii="Calibri" w:cs="Calibri" w:eastAsia="Calibri" w:hAnsi="Calibri"/>
          <w:color w:val="3B2E22"/>
          <w:sz w:val="22"/>
          <w:szCs w:val="22"/>
        </w:rPr>
        <w:t xml:space="preserve">quien fue rescatado tarde vuelve "perdido de la razón" o convencido de una mentira. Estado de NPC persistente que sesga testimonios futuros.</w:t>
      </w:r>
    </w:p>
    <w:p>
      <w:pPr>
        <w:pStyle w:val="ListParagraph"/>
        <w:numPr>
          <w:ilvl w:val="0"/>
          <w:numId w:val="1"/>
        </w:numPr>
        <w:spacing w:after="100" w:line="290"/>
      </w:pPr>
      <w:r>
        <w:rPr>
          <w:rFonts w:ascii="Calibri" w:cs="Calibri" w:eastAsia="Calibri" w:hAnsi="Calibri"/>
          <w:b/>
          <w:bCs/>
          <w:color w:val="9C4B23"/>
          <w:sz w:val="22"/>
          <w:szCs w:val="22"/>
        </w:rPr>
        <w:t xml:space="preserve">La erosión de la confianza (la consecuencia firma de este mito) — </w:t>
      </w:r>
      <w:r>
        <w:rPr>
          <w:rFonts w:ascii="Calibri" w:cs="Calibri" w:eastAsia="Calibri" w:hAnsi="Calibri"/>
          <w:color w:val="3B2E22"/>
          <w:sz w:val="22"/>
          <w:szCs w:val="22"/>
        </w:rPr>
        <w:t xml:space="preserve">si el jugador acusó a un inocente, se instala una sospecha social permanente: la gente desconfía de las caras conocidas, cierra las puertas. En casos posteriores el jugador entra a un pueblo más cerrado y más difícil de interrogar — el propio recurso de la deducción se degrada.</w:t>
      </w:r>
    </w:p>
    <w:p>
      <w:pPr>
        <w:pStyle w:val="ListParagraph"/>
        <w:numPr>
          <w:ilvl w:val="0"/>
          <w:numId w:val="1"/>
        </w:numPr>
        <w:spacing w:after="100" w:line="290"/>
      </w:pPr>
      <w:r>
        <w:rPr>
          <w:rFonts w:ascii="Calibri" w:cs="Calibri" w:eastAsia="Calibri" w:hAnsi="Calibri"/>
          <w:b/>
          <w:bCs/>
          <w:color w:val="9C4B23"/>
          <w:sz w:val="22"/>
          <w:szCs w:val="22"/>
        </w:rPr>
        <w:t xml:space="preserve">Dejar prosperar el crimen humano — </w:t>
      </w:r>
      <w:r>
        <w:rPr>
          <w:rFonts w:ascii="Calibri" w:cs="Calibri" w:eastAsia="Calibri" w:hAnsi="Calibri"/>
          <w:color w:val="3B2E22"/>
          <w:sz w:val="22"/>
          <w:szCs w:val="22"/>
        </w:rPr>
        <w:t xml:space="preserve">el homicida/impostor queda impune y su coartada folclórica se refuerza.</w:t>
      </w:r>
    </w:p>
    <w:p>
      <w:pPr>
        <w:spacing w:after="160" w:line="300"/>
      </w:pPr>
      <w:r>
        <w:rPr>
          <w:rFonts w:ascii="Calibri" w:cs="Calibri" w:eastAsia="Calibri" w:hAnsi="Calibri"/>
          <w:b w:val="false"/>
          <w:bCs w:val="false"/>
          <w:i w:val="false"/>
          <w:iCs w:val="false"/>
          <w:color w:val="3B2E22"/>
          <w:sz w:val="22"/>
          <w:szCs w:val="22"/>
        </w:rPr>
        <w:t xml:space="preserve">Todas las consecuencias son visibles en el hub y modifican el estado inicial de casos posteriores (Pilar 4).</w:t>
      </w:r>
    </w:p>
    <w:p>
      <w:pPr>
        <w:pStyle w:val="Heading1"/>
        <w:pBdr>
          <w:bottom w:val="single" w:color="9C4B23" w:sz="8" w:space="4"/>
        </w:pBdr>
        <w:spacing w:after="240" w:before="400"/>
      </w:pPr>
      <w:r>
        <w:rPr>
          <w:rFonts w:ascii="Calibri" w:cs="Calibri" w:eastAsia="Calibri" w:hAnsi="Calibri"/>
          <w:b/>
          <w:bCs/>
          <w:color w:val="9C4B23"/>
          <w:sz w:val="40"/>
          <w:szCs w:val="40"/>
        </w:rPr>
        <w:t xml:space="preserve">Nota de reaparición</w:t>
      </w:r>
    </w:p>
    <w:p>
      <w:pPr>
        <w:spacing w:after="160" w:line="300"/>
      </w:pPr>
      <w:r>
        <w:rPr>
          <w:rFonts w:ascii="Calibri" w:cs="Calibri" w:eastAsia="Calibri" w:hAnsi="Calibri"/>
          <w:b w:val="false"/>
          <w:bCs w:val="false"/>
          <w:i w:val="false"/>
          <w:iCs w:val="false"/>
          <w:color w:val="3B2E22"/>
          <w:sz w:val="22"/>
          <w:szCs w:val="22"/>
        </w:rPr>
        <w:t xml:space="preserve">La segunda aparición de la Patasola no puede ser "otra vez desenmascarar a la seductora del monte". Debe reencuadrar o invertir el verbo "no confíes / no sigas". Tres vectores válidos:</w:t>
      </w:r>
    </w:p>
    <w:p>
      <w:pPr>
        <w:pStyle w:val="ListParagraph"/>
        <w:numPr>
          <w:ilvl w:val="0"/>
          <w:numId w:val="1"/>
        </w:numPr>
        <w:spacing w:after="100" w:line="290"/>
      </w:pPr>
      <w:r>
        <w:rPr>
          <w:rFonts w:ascii="Calibri" w:cs="Calibri" w:eastAsia="Calibri" w:hAnsi="Calibri"/>
          <w:b/>
          <w:bCs/>
          <w:color w:val="9C4B23"/>
          <w:sz w:val="22"/>
          <w:szCs w:val="22"/>
        </w:rPr>
        <w:t xml:space="preserve">A) Invertir la sospecha: el falso positivo como caso — </w:t>
      </w:r>
      <w:r>
        <w:rPr>
          <w:rFonts w:ascii="Calibri" w:cs="Calibri" w:eastAsia="Calibri" w:hAnsi="Calibri"/>
          <w:color w:val="3B2E22"/>
          <w:sz w:val="22"/>
          <w:szCs w:val="22"/>
        </w:rPr>
        <w:t xml:space="preserve">el pueblo — o el jugador ya escaldado — acusa de Patasola a una mujer real, y el caso es demostrar que es inocente y frenar el linchamiento. El verbo pasa de "detectá al monstruo bajo la cara amable" a "detectá a la persona bajo la acusación de monstruo".</w:t>
      </w:r>
    </w:p>
    <w:p>
      <w:pPr>
        <w:pStyle w:val="ListParagraph"/>
        <w:numPr>
          <w:ilvl w:val="0"/>
          <w:numId w:val="1"/>
        </w:numPr>
        <w:spacing w:after="100" w:line="290"/>
      </w:pPr>
      <w:r>
        <w:rPr>
          <w:rFonts w:ascii="Calibri" w:cs="Calibri" w:eastAsia="Calibri" w:hAnsi="Calibri"/>
          <w:b/>
          <w:bCs/>
          <w:color w:val="9C4B23"/>
          <w:sz w:val="22"/>
          <w:szCs w:val="22"/>
        </w:rPr>
        <w:t xml:space="preserve">B) Recontextualizar el señuelo: no seduce, guía — </w:t>
      </w:r>
      <w:r>
        <w:rPr>
          <w:rFonts w:ascii="Calibri" w:cs="Calibri" w:eastAsia="Calibri" w:hAnsi="Calibri"/>
          <w:color w:val="3B2E22"/>
          <w:sz w:val="22"/>
          <w:szCs w:val="22"/>
        </w:rPr>
        <w:t xml:space="preserve">la Patasola vuelve sin belleza y sin cortejo, como una voz de auxilio que explota la compasión en vez del deseo. Especialmente cruel: a veces sí hay un niño perdido de verdad, y negarse a seguir condena a un inocente.</w:t>
      </w:r>
    </w:p>
    <w:p>
      <w:pPr>
        <w:pStyle w:val="ListParagraph"/>
        <w:numPr>
          <w:ilvl w:val="0"/>
          <w:numId w:val="1"/>
        </w:numPr>
        <w:spacing w:after="100" w:line="290"/>
      </w:pPr>
      <w:r>
        <w:rPr>
          <w:rFonts w:ascii="Calibri" w:cs="Calibri" w:eastAsia="Calibri" w:hAnsi="Calibri"/>
          <w:b/>
          <w:bCs/>
          <w:color w:val="9C4B23"/>
          <w:sz w:val="22"/>
          <w:szCs w:val="22"/>
        </w:rPr>
        <w:t xml:space="preserve">C) La víctima que vuelve — </w:t>
      </w:r>
      <w:r>
        <w:rPr>
          <w:rFonts w:ascii="Calibri" w:cs="Calibri" w:eastAsia="Calibri" w:hAnsi="Calibri"/>
          <w:color w:val="3B2E22"/>
          <w:sz w:val="22"/>
          <w:szCs w:val="22"/>
        </w:rPr>
        <w:t xml:space="preserve">un desaparecido de un caso anterior regresa cambiado. ¿Es la persona real que sobrevivió, o la Patasola con su cara, ahora suelta dentro del pueblo? El caso traslada el verbo del monte al hub.</w:t>
      </w:r>
    </w:p>
    <w:p>
      <w:pPr>
        <w:spacing w:after="160" w:line="300"/>
      </w:pPr>
      <w:r>
        <w:rPr>
          <w:rFonts w:ascii="Calibri" w:cs="Calibri" w:eastAsia="Calibri" w:hAnsi="Calibri"/>
          <w:b w:val="false"/>
          <w:bCs w:val="false"/>
          <w:i w:val="false"/>
          <w:iCs w:val="false"/>
          <w:color w:val="3B2E22"/>
          <w:sz w:val="22"/>
          <w:szCs w:val="22"/>
        </w:rPr>
        <w:t xml:space="preserve">En los tres, la lección aprendida sigue siendo cierta pero insuficiente o directamente peligrosa en el nuevo contexto.</w:t>
      </w:r>
    </w:p>
    <w:p>
      <w:pPr>
        <w:pStyle w:val="Heading1"/>
        <w:pBdr>
          <w:bottom w:val="single" w:color="9C4B23" w:sz="8" w:space="4"/>
        </w:pBdr>
        <w:spacing w:after="240" w:before="400"/>
      </w:pPr>
      <w:r>
        <w:rPr>
          <w:rFonts w:ascii="Calibri" w:cs="Calibri" w:eastAsia="Calibri" w:hAnsi="Calibri"/>
          <w:b/>
          <w:bCs/>
          <w:color w:val="9C4B23"/>
          <w:sz w:val="40"/>
          <w:szCs w:val="40"/>
        </w:rPr>
        <w:t xml:space="preserve">Pendientes para el resto del equipo</w:t>
      </w:r>
    </w:p>
    <w:p>
      <w:pPr>
        <w:pStyle w:val="ListParagraph"/>
        <w:numPr>
          <w:ilvl w:val="0"/>
          <w:numId w:val="1"/>
        </w:numPr>
        <w:spacing w:after="100" w:line="290"/>
      </w:pPr>
      <w:r>
        <w:rPr>
          <w:rFonts w:ascii="Calibri" w:cs="Calibri" w:eastAsia="Calibri" w:hAnsi="Calibri"/>
          <w:b/>
          <w:bCs/>
          <w:color w:val="9C4B23"/>
          <w:sz w:val="22"/>
          <w:szCs w:val="22"/>
        </w:rPr>
        <w:t xml:space="preserve">Eje espacial de profundidad — </w:t>
      </w:r>
      <w:r>
        <w:rPr>
          <w:rFonts w:ascii="Calibri" w:cs="Calibri" w:eastAsia="Calibri" w:hAnsi="Calibri"/>
          <w:color w:val="3B2E22"/>
          <w:sz w:val="22"/>
          <w:szCs w:val="22"/>
        </w:rPr>
        <w:t xml:space="preserve">decisión de sistema deliberadamente distinta al timing del Mohán. Pendiente de validación con diseño de juego.</w:t>
      </w:r>
    </w:p>
    <w:p>
      <w:pPr>
        <w:pStyle w:val="ListParagraph"/>
        <w:numPr>
          <w:ilvl w:val="0"/>
          <w:numId w:val="1"/>
        </w:numPr>
        <w:spacing w:after="100" w:line="290"/>
      </w:pPr>
      <w:r>
        <w:rPr>
          <w:rFonts w:ascii="Calibri" w:cs="Calibri" w:eastAsia="Calibri" w:hAnsi="Calibri"/>
          <w:b/>
          <w:bCs/>
          <w:color w:val="9C4B23"/>
          <w:sz w:val="22"/>
          <w:szCs w:val="22"/>
        </w:rPr>
        <w:t xml:space="preserve">Consecuencias espaciales — </w:t>
      </w:r>
      <w:r>
        <w:rPr>
          <w:rFonts w:ascii="Calibri" w:cs="Calibri" w:eastAsia="Calibri" w:hAnsi="Calibri"/>
          <w:color w:val="3B2E22"/>
          <w:sz w:val="22"/>
          <w:szCs w:val="22"/>
        </w:rPr>
        <w:t xml:space="preserve">alteran el estado del hub — avance de niebla, tramos enmontados, puestos vacíos sin duelo. Coordinar con diseño de niveles, y con arte/audio para expresar el avance del borde sin codificar "modo peligro".</w:t>
      </w:r>
    </w:p>
    <w:p>
      <w:pPr>
        <w:pStyle w:val="ListParagraph"/>
        <w:numPr>
          <w:ilvl w:val="0"/>
          <w:numId w:val="1"/>
        </w:numPr>
        <w:spacing w:after="100" w:line="290"/>
      </w:pPr>
      <w:r>
        <w:rPr>
          <w:rFonts w:ascii="Calibri" w:cs="Calibri" w:eastAsia="Calibri" w:hAnsi="Calibri"/>
          <w:b/>
          <w:bCs/>
          <w:color w:val="9C4B23"/>
          <w:sz w:val="22"/>
          <w:szCs w:val="22"/>
        </w:rPr>
        <w:t xml:space="preserve">Rama del falso positivo / daño a inocente — </w:t>
      </w:r>
      <w:r>
        <w:rPr>
          <w:rFonts w:ascii="Calibri" w:cs="Calibri" w:eastAsia="Calibri" w:hAnsi="Calibri"/>
          <w:color w:val="3B2E22"/>
          <w:sz w:val="22"/>
          <w:szCs w:val="22"/>
        </w:rPr>
        <w:t xml:space="preserve">el corazón ético del mito. Requiere aprobación de diseño de juego y revisión de sensibilidad — señalar a producción.</w:t>
      </w:r>
    </w:p>
    <w:p>
      <w:pPr>
        <w:pStyle w:val="ListParagraph"/>
        <w:numPr>
          <w:ilvl w:val="0"/>
          <w:numId w:val="1"/>
        </w:numPr>
        <w:spacing w:after="100" w:line="290"/>
      </w:pPr>
      <w:r>
        <w:rPr>
          <w:rFonts w:ascii="Calibri" w:cs="Calibri" w:eastAsia="Calibri" w:hAnsi="Calibri"/>
          <w:b/>
          <w:bCs/>
          <w:color w:val="9C4B23"/>
          <w:sz w:val="22"/>
          <w:szCs w:val="22"/>
        </w:rPr>
        <w:t xml:space="preserve">Señales observables — </w:t>
      </w:r>
      <w:r>
        <w:rPr>
          <w:rFonts w:ascii="Calibri" w:cs="Calibri" w:eastAsia="Calibri" w:hAnsi="Calibri"/>
          <w:color w:val="3B2E22"/>
          <w:sz w:val="22"/>
          <w:szCs w:val="22"/>
        </w:rPr>
        <w:t xml:space="preserve">confirmar con arte/audio que perros, huella única y conducta reportada pueden expresarse sin romper la iluminación uniforme del Art Bible.</w:t>
      </w:r>
    </w:p>
    <w:p>
      <w:pPr>
        <w:pStyle w:val="ListParagraph"/>
        <w:numPr>
          <w:ilvl w:val="0"/>
          <w:numId w:val="1"/>
        </w:numPr>
        <w:spacing w:after="100" w:line="290"/>
      </w:pPr>
      <w:r>
        <w:rPr>
          <w:rFonts w:ascii="Calibri" w:cs="Calibri" w:eastAsia="Calibri" w:hAnsi="Calibri"/>
          <w:b/>
          <w:bCs/>
          <w:color w:val="9C4B23"/>
          <w:sz w:val="22"/>
          <w:szCs w:val="22"/>
        </w:rPr>
        <w:t xml:space="preserve">Solapamiento de verbo con el Hojarasquín — </w:t>
      </w:r>
      <w:r>
        <w:rPr>
          <w:rFonts w:ascii="Calibri" w:cs="Calibri" w:eastAsia="Calibri" w:hAnsi="Calibri"/>
          <w:color w:val="3B2E22"/>
          <w:sz w:val="22"/>
          <w:szCs w:val="22"/>
        </w:rPr>
        <w:t xml:space="preserve">(detectar impostor) — riesgo registrado; el Hojarasquín no está en el MVP. Si entra, diferenciar explícitamente.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2026-07-21T22:01:28.417Z</dcterms:created>
  <dcterms:modified xsi:type="dcterms:W3CDTF">2026-07-21T22:01:28.417Z</dcterms:modified>
</cp:coreProperties>
</file>

<file path=docProps/custom.xml><?xml version="1.0" encoding="utf-8"?>
<Properties xmlns="http://schemas.openxmlformats.org/officeDocument/2006/custom-properties" xmlns:vt="http://schemas.openxmlformats.org/officeDocument/2006/docPropsVTypes"/>
</file>