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nybody" w:cs="Anybody" w:eastAsia="Anybody" w:hAnsi="Anybody"/>
          <w:b w:val="1"/>
          <w:sz w:val="26"/>
          <w:szCs w:val="26"/>
        </w:rPr>
      </w:pPr>
      <w:r w:rsidDel="00000000" w:rsidR="00000000" w:rsidRPr="00000000">
        <w:rPr>
          <w:rFonts w:ascii="Anybody" w:cs="Anybody" w:eastAsia="Anybody" w:hAnsi="Anybody"/>
          <w:b w:val="1"/>
          <w:sz w:val="26"/>
          <w:szCs w:val="26"/>
          <w:rtl w:val="0"/>
        </w:rPr>
        <w:t xml:space="preserve">[Título del proyecto]</w:t>
      </w:r>
    </w:p>
    <w:p w:rsidR="00000000" w:rsidDel="00000000" w:rsidP="00000000" w:rsidRDefault="00000000" w:rsidRPr="00000000" w14:paraId="00000002">
      <w:pPr>
        <w:jc w:val="both"/>
        <w:rPr>
          <w:rFonts w:ascii="Anybody" w:cs="Anybody" w:eastAsia="Anybody" w:hAnsi="Anybod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Nombre del autor:</w:t>
      </w:r>
    </w:p>
    <w:p w:rsidR="00000000" w:rsidDel="00000000" w:rsidP="00000000" w:rsidRDefault="00000000" w:rsidRPr="00000000" w14:paraId="00000004">
      <w:pPr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Email:</w:t>
      </w:r>
    </w:p>
    <w:p w:rsidR="00000000" w:rsidDel="00000000" w:rsidP="00000000" w:rsidRDefault="00000000" w:rsidRPr="00000000" w14:paraId="00000005">
      <w:pPr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Cohorte:</w:t>
      </w:r>
    </w:p>
    <w:p w:rsidR="00000000" w:rsidDel="00000000" w:rsidP="00000000" w:rsidRDefault="00000000" w:rsidRPr="00000000" w14:paraId="00000006">
      <w:pPr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Fecha de entrega: 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cuándo se completó y entregó el informe</w:t>
      </w:r>
    </w:p>
    <w:p w:rsidR="00000000" w:rsidDel="00000000" w:rsidP="00000000" w:rsidRDefault="00000000" w:rsidRPr="00000000" w14:paraId="00000007">
      <w:pPr>
        <w:jc w:val="both"/>
        <w:rPr>
          <w:rFonts w:ascii="Anybody" w:cs="Anybody" w:eastAsia="Anybody" w:hAnsi="Anybody"/>
          <w:sz w:val="20"/>
          <w:szCs w:val="20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Institución: </w:t>
      </w:r>
      <w:r w:rsidDel="00000000" w:rsidR="00000000" w:rsidRPr="00000000">
        <w:rPr>
          <w:rFonts w:ascii="Anybody" w:cs="Anybody" w:eastAsia="Anybody" w:hAnsi="Anybody"/>
          <w:b w:val="1"/>
          <w:sz w:val="26"/>
          <w:szCs w:val="26"/>
          <w:highlight w:val="white"/>
          <w:rtl w:val="0"/>
        </w:rPr>
        <w:t xml:space="preserve">BIOGENESYS</w:t>
      </w: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 laboratory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both"/>
        <w:rPr>
          <w:sz w:val="20"/>
          <w:szCs w:val="20"/>
        </w:rPr>
      </w:pPr>
      <w:bookmarkStart w:colFirst="0" w:colLast="0" w:name="_heading=h.3jg4of673q00" w:id="0"/>
      <w:bookmarkEnd w:id="0"/>
      <w:r w:rsidDel="00000000" w:rsidR="00000000" w:rsidRPr="00000000">
        <w:rPr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0A">
      <w:pPr>
        <w:pStyle w:val="Heading1"/>
        <w:jc w:val="both"/>
        <w:rPr>
          <w:rFonts w:ascii="Calibri" w:cs="Calibri" w:eastAsia="Calibri" w:hAnsi="Calibri"/>
          <w:b w:val="0"/>
          <w:sz w:val="10"/>
          <w:szCs w:val="10"/>
        </w:rPr>
      </w:pPr>
      <w:bookmarkStart w:colFirst="0" w:colLast="0" w:name="_heading=h.ibr4h3ggfaa" w:id="1"/>
      <w:bookmarkEnd w:id="1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highlight w:val="white"/>
          <w:rtl w:val="0"/>
        </w:rPr>
        <w:t xml:space="preserve">La empresa farmacéutica BIOGENESYS busca identificar las ubicaciones óptimas para la expansión de laboratorios farmacéuticos, basándose en el análisis de datos de incidencia de COVID-19, tasas de vacunación, y la disponibilidad de infraestructuras sanitarias. La meta es optimizar la respuesta a los efectos de la pandemia y postpandemia con el fin de mejorar el acceso a las vacunas.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both"/>
        <w:rPr/>
      </w:pPr>
      <w:bookmarkStart w:colFirst="0" w:colLast="0" w:name="_heading=h.4rnk2zj6izgt" w:id="2"/>
      <w:bookmarkEnd w:id="2"/>
      <w:r w:rsidDel="00000000" w:rsidR="00000000" w:rsidRPr="00000000">
        <w:rPr>
          <w:rtl w:val="0"/>
        </w:rPr>
        <w:t xml:space="preserve">Desarrollo del proyecto</w:t>
      </w:r>
    </w:p>
    <w:p w:rsidR="00000000" w:rsidDel="00000000" w:rsidP="00000000" w:rsidRDefault="00000000" w:rsidRPr="00000000" w14:paraId="0000000D">
      <w:pPr>
        <w:rPr>
          <w:b w:val="0"/>
          <w:sz w:val="14"/>
          <w:szCs w:val="14"/>
        </w:rPr>
      </w:pPr>
      <w:r w:rsidDel="00000000" w:rsidR="00000000" w:rsidRPr="00000000">
        <w:rPr>
          <w:sz w:val="16"/>
          <w:szCs w:val="16"/>
          <w:rtl w:val="0"/>
        </w:rPr>
        <w:t xml:space="preserve">primero se utilizo la libreria de pandas para leer el archivo csv proporcionado para el analisis,luego se filtro por los paises y las fechas pedidas. se limpiaron los datos faltantes y se normalizaron segun sus caracteristicas, algunos con la media y otros con datos mas dispersos con la mediana. se utilizaron funciones como fillna, dropna, ffill y bfill para tratar los nulos y rellenar los espacios. luego se utilizaron las librerias de matplotlib y seaborn para visualizaciones. y por ultimo se personalizaron los graficos para que sea mas estetico.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heading=h.efteai290er2" w:id="3"/>
      <w:bookmarkEnd w:id="3"/>
      <w:r w:rsidDel="00000000" w:rsidR="00000000" w:rsidRPr="00000000">
        <w:rPr>
          <w:rtl w:val="0"/>
        </w:rPr>
        <w:t xml:space="preserve">EDA e insights</w:t>
      </w:r>
    </w:p>
    <w:p w:rsidR="00000000" w:rsidDel="00000000" w:rsidP="00000000" w:rsidRDefault="00000000" w:rsidRPr="00000000" w14:paraId="0000000F">
      <w:pPr>
        <w:pStyle w:val="Heading1"/>
        <w:jc w:val="both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rz6ltghia3iv" w:id="4"/>
      <w:bookmarkEnd w:id="4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Alcance de datos: 2021–2022 para AR, BR, CL, CO, MX, PE. Se saneó la serie (ffill/bfill y </w:t>
      </w: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cummax()</w:t>
      </w: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en acumulados), se obtuvieron tasas por 100k y métricas mensuales; el daily_vax se derivó como </w:t>
      </w: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diff()</w:t>
      </w: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del acumulado.</w:t>
        <w:br w:type="textWrapping"/>
      </w:r>
    </w:p>
    <w:p w:rsidR="00000000" w:rsidDel="00000000" w:rsidP="00000000" w:rsidRDefault="00000000" w:rsidRPr="00000000" w14:paraId="00000010">
      <w:pPr>
        <w:pStyle w:val="Heading1"/>
        <w:jc w:val="both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rz6ltghia3iv" w:id="4"/>
      <w:bookmarkEnd w:id="4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Tendencia temporal: picos marcados en 2021-Q1/Q2; onda corta en 2022-Q1 (ómicron) y desaceleración sostenida el resto del año.</w:t>
        <w:br w:type="textWrapping"/>
        <w:t xml:space="preserve"> Los KPIs del último mes muestran caídas m/m fuertes en casos (~−81%) y muertes (~−72%) y leve alza en recuperados (~+21%).</w:t>
        <w:br w:type="textWrapping"/>
      </w:r>
    </w:p>
    <w:p w:rsidR="00000000" w:rsidDel="00000000" w:rsidP="00000000" w:rsidRDefault="00000000" w:rsidRPr="00000000" w14:paraId="00000011">
      <w:pPr>
        <w:pStyle w:val="Heading1"/>
        <w:jc w:val="both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rz6ltghia3iv" w:id="4"/>
      <w:bookmarkEnd w:id="4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Carga por país (absoluta): Brasil domina en casos y muertes mensuales; México es el segundo gran contribuyente. Colombia y Perú muestran picos intermitentes; Argentina y Chile con volúmenes más contenidos.</w:t>
        <w:br w:type="textWrapping"/>
      </w:r>
    </w:p>
    <w:p w:rsidR="00000000" w:rsidDel="00000000" w:rsidP="00000000" w:rsidRDefault="00000000" w:rsidRPr="00000000" w14:paraId="00000012">
      <w:pPr>
        <w:pStyle w:val="Heading1"/>
        <w:jc w:val="both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rz6ltghia3iv" w:id="4"/>
      <w:bookmarkEnd w:id="4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Correlaciones (heatmap):</w:t>
        <w:br w:type="textWrapping"/>
      </w:r>
    </w:p>
    <w:p w:rsidR="00000000" w:rsidDel="00000000" w:rsidP="00000000" w:rsidRDefault="00000000" w:rsidRPr="00000000" w14:paraId="00000013">
      <w:pPr>
        <w:pStyle w:val="Heading1"/>
        <w:spacing w:after="240" w:before="240" w:lineRule="auto"/>
        <w:ind w:left="720" w:firstLine="0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rz6ltghia3iv" w:id="4"/>
      <w:bookmarkEnd w:id="4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vax_coverage_per_100</w:t>
      </w: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vs </w:t>
      </w: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deaths_per_100k</w:t>
      </w: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: negativa débil (≈ −0.15).</w:t>
      </w:r>
    </w:p>
    <w:p w:rsidR="00000000" w:rsidDel="00000000" w:rsidP="00000000" w:rsidRDefault="00000000" w:rsidRPr="00000000" w14:paraId="00000014">
      <w:pPr>
        <w:pStyle w:val="Heading1"/>
        <w:spacing w:after="240" w:before="240" w:lineRule="auto"/>
        <w:ind w:left="720" w:firstLine="0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rz6ltghia3iv" w:id="4"/>
      <w:bookmarkEnd w:id="4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vax_coverage_per_100</w:t>
      </w: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vs </w:t>
      </w: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cases_per_100k</w:t>
      </w: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: negativa débil (≈ −0.13).</w:t>
      </w:r>
    </w:p>
    <w:p w:rsidR="00000000" w:rsidDel="00000000" w:rsidP="00000000" w:rsidRDefault="00000000" w:rsidRPr="00000000" w14:paraId="00000015">
      <w:pPr>
        <w:pStyle w:val="Heading1"/>
        <w:spacing w:after="240" w:before="240" w:lineRule="auto"/>
        <w:ind w:left="720" w:firstLine="0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wyb1mxvtzdlc" w:id="5"/>
      <w:bookmarkEnd w:id="5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cases_per_100k</w:t>
      </w: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vs </w:t>
      </w: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deaths_per_100k</w:t>
      </w: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: positiva moderada (≈ +0.42).</w:t>
        <w:br w:type="textWrapping"/>
        <w:t xml:space="preserve"> Lectura: mayor cobertura se asocia con menor severidad, y los casos anticipan muertes (coherente epidemiológicamente).</w:t>
      </w:r>
    </w:p>
    <w:p w:rsidR="00000000" w:rsidDel="00000000" w:rsidP="00000000" w:rsidRDefault="00000000" w:rsidRPr="00000000" w14:paraId="00000016">
      <w:pPr>
        <w:pStyle w:val="Heading1"/>
        <w:jc w:val="both"/>
        <w:rPr/>
      </w:pPr>
      <w:bookmarkStart w:colFirst="0" w:colLast="0" w:name="_heading=h.rz6ltghia3i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both"/>
        <w:rPr>
          <w:sz w:val="20"/>
          <w:szCs w:val="20"/>
        </w:rPr>
      </w:pPr>
      <w:bookmarkStart w:colFirst="0" w:colLast="0" w:name="_heading=h.ny3igcd5usf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/>
      </w:pPr>
      <w:bookmarkStart w:colFirst="0" w:colLast="0" w:name="_heading=h.79sshaszgzd6" w:id="7"/>
      <w:bookmarkEnd w:id="7"/>
      <w:r w:rsidDel="00000000" w:rsidR="00000000" w:rsidRPr="00000000">
        <w:rPr>
          <w:rtl w:val="0"/>
        </w:rPr>
        <w:t xml:space="preserve">Análisis del dashboard</w:t>
      </w:r>
    </w:p>
    <w:p w:rsidR="00000000" w:rsidDel="00000000" w:rsidP="00000000" w:rsidRDefault="00000000" w:rsidRPr="00000000" w14:paraId="00000019">
      <w:pPr>
        <w:pStyle w:val="Heading1"/>
        <w:jc w:val="both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sd8z4oy91ngx" w:id="8"/>
      <w:bookmarkEnd w:id="8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Slicers (izquierda):</w:t>
        <w:br w:type="textWrapping"/>
      </w:r>
    </w:p>
    <w:p w:rsidR="00000000" w:rsidDel="00000000" w:rsidP="00000000" w:rsidRDefault="00000000" w:rsidRPr="00000000" w14:paraId="0000001A">
      <w:pPr>
        <w:pStyle w:val="Heading1"/>
        <w:spacing w:after="240" w:before="240" w:lineRule="auto"/>
        <w:ind w:left="720" w:firstLine="0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sd8z4oy91ngx" w:id="8"/>
      <w:bookmarkEnd w:id="8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year para filtrar 2021/2022.</w:t>
      </w:r>
    </w:p>
    <w:p w:rsidR="00000000" w:rsidDel="00000000" w:rsidP="00000000" w:rsidRDefault="00000000" w:rsidRPr="00000000" w14:paraId="0000001B">
      <w:pPr>
        <w:pStyle w:val="Heading1"/>
        <w:spacing w:after="240" w:before="240" w:lineRule="auto"/>
        <w:ind w:left="720" w:firstLine="0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sd8z4oy91ngx" w:id="8"/>
      <w:bookmarkEnd w:id="8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location_key para aislar uno o varios países.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16"/>
          <w:szCs w:val="16"/>
          <w:rtl w:val="0"/>
        </w:rPr>
        <w:t xml:space="preserve">Sugerencia de navegación</w:t>
      </w: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: empieza por “Select all” y luego quita/añade países para comparar.</w:t>
        <w:br w:type="textWrapping"/>
      </w:r>
    </w:p>
    <w:p w:rsidR="00000000" w:rsidDel="00000000" w:rsidP="00000000" w:rsidRDefault="00000000" w:rsidRPr="00000000" w14:paraId="0000001C">
      <w:pPr>
        <w:pStyle w:val="Heading1"/>
        <w:jc w:val="both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sd8z4oy91ngx" w:id="8"/>
      <w:bookmarkEnd w:id="8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Fila superior:</w:t>
        <w:br w:type="textWrapping"/>
      </w:r>
    </w:p>
    <w:p w:rsidR="00000000" w:rsidDel="00000000" w:rsidP="00000000" w:rsidRDefault="00000000" w:rsidRPr="00000000" w14:paraId="0000001D">
      <w:pPr>
        <w:pStyle w:val="Heading1"/>
        <w:spacing w:after="240" w:before="240" w:lineRule="auto"/>
        <w:ind w:left="720" w:firstLine="0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sd8z4oy91ngx" w:id="8"/>
      <w:bookmarkEnd w:id="8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KPI de casos y KPI de muertes con variación m/m y mes de referencia.</w:t>
      </w:r>
    </w:p>
    <w:p w:rsidR="00000000" w:rsidDel="00000000" w:rsidP="00000000" w:rsidRDefault="00000000" w:rsidRPr="00000000" w14:paraId="0000001E">
      <w:pPr>
        <w:pStyle w:val="Heading1"/>
        <w:spacing w:after="240" w:before="240" w:lineRule="auto"/>
        <w:ind w:left="720" w:firstLine="0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sd8z4oy91ngx" w:id="8"/>
      <w:bookmarkEnd w:id="8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KPI de recuperados (útil como proxy de salida del evento).</w:t>
      </w:r>
    </w:p>
    <w:p w:rsidR="00000000" w:rsidDel="00000000" w:rsidP="00000000" w:rsidRDefault="00000000" w:rsidRPr="00000000" w14:paraId="0000001F">
      <w:pPr>
        <w:pStyle w:val="Heading1"/>
        <w:spacing w:after="240" w:before="240" w:lineRule="auto"/>
        <w:ind w:left="720" w:firstLine="0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sd8z4oy91ngx" w:id="8"/>
      <w:bookmarkEnd w:id="8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Heatmap de correlación (cobertura, casos, muertes por 100k) para una vista causal rápida.</w:t>
      </w:r>
    </w:p>
    <w:p w:rsidR="00000000" w:rsidDel="00000000" w:rsidP="00000000" w:rsidRDefault="00000000" w:rsidRPr="00000000" w14:paraId="00000020">
      <w:pPr>
        <w:pStyle w:val="Heading1"/>
        <w:spacing w:after="240" w:before="240" w:lineRule="auto"/>
        <w:ind w:left="720" w:firstLine="0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sd8z4oy91ngx" w:id="8"/>
      <w:bookmarkEnd w:id="8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Barras anuales de casos por país (compara 2021 vs 2022).</w:t>
        <w:br w:type="textWrapping"/>
      </w:r>
    </w:p>
    <w:p w:rsidR="00000000" w:rsidDel="00000000" w:rsidP="00000000" w:rsidRDefault="00000000" w:rsidRPr="00000000" w14:paraId="00000021">
      <w:pPr>
        <w:pStyle w:val="Heading1"/>
        <w:jc w:val="both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sd8z4oy91ngx" w:id="8"/>
      <w:bookmarkEnd w:id="8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Centro–izquierda:</w:t>
        <w:br w:type="textWrapping"/>
      </w:r>
    </w:p>
    <w:p w:rsidR="00000000" w:rsidDel="00000000" w:rsidP="00000000" w:rsidRDefault="00000000" w:rsidRPr="00000000" w14:paraId="00000022">
      <w:pPr>
        <w:pStyle w:val="Heading1"/>
        <w:spacing w:after="240" w:before="240" w:lineRule="auto"/>
        <w:ind w:left="720" w:firstLine="0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sd8z4oy91ngx" w:id="8"/>
      <w:bookmarkEnd w:id="8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Casos nuevos mensuales por país (barras apiladas por país y mes). Útil para identificar meses pico y país líder en carga absoluta.</w:t>
      </w:r>
    </w:p>
    <w:p w:rsidR="00000000" w:rsidDel="00000000" w:rsidP="00000000" w:rsidRDefault="00000000" w:rsidRPr="00000000" w14:paraId="00000023">
      <w:pPr>
        <w:pStyle w:val="Heading1"/>
        <w:jc w:val="both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sd8z4oy91ngx" w:id="8"/>
      <w:bookmarkEnd w:id="8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Inferior–izquierda:</w:t>
        <w:br w:type="textWrapping"/>
      </w:r>
    </w:p>
    <w:p w:rsidR="00000000" w:rsidDel="00000000" w:rsidP="00000000" w:rsidRDefault="00000000" w:rsidRPr="00000000" w14:paraId="00000024">
      <w:pPr>
        <w:pStyle w:val="Heading1"/>
        <w:spacing w:after="240" w:before="240" w:lineRule="auto"/>
        <w:ind w:left="720" w:firstLine="0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sd8z4oy91ngx" w:id="8"/>
      <w:bookmarkEnd w:id="8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Muertes nuevas mensuales por país. Mismo análisis pero sobre severidad.</w:t>
        <w:br w:type="textWrapping"/>
      </w:r>
    </w:p>
    <w:p w:rsidR="00000000" w:rsidDel="00000000" w:rsidP="00000000" w:rsidRDefault="00000000" w:rsidRPr="00000000" w14:paraId="00000025">
      <w:pPr>
        <w:pStyle w:val="Heading1"/>
        <w:jc w:val="both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sd8z4oy91ngx" w:id="8"/>
      <w:bookmarkEnd w:id="8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Derecha:</w:t>
        <w:br w:type="textWrapping"/>
      </w:r>
    </w:p>
    <w:p w:rsidR="00000000" w:rsidDel="00000000" w:rsidP="00000000" w:rsidRDefault="00000000" w:rsidRPr="00000000" w14:paraId="00000026">
      <w:pPr>
        <w:pStyle w:val="Heading1"/>
        <w:spacing w:after="240" w:before="240" w:lineRule="auto"/>
        <w:ind w:left="720" w:firstLine="0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sd8z4oy91ngx" w:id="8"/>
      <w:bookmarkEnd w:id="8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multiples (líneas) por país. Excelente para leer timing de olas y su magnitud relativa.</w:t>
        <w:br w:type="textWrapping"/>
      </w:r>
    </w:p>
    <w:p w:rsidR="00000000" w:rsidDel="00000000" w:rsidP="00000000" w:rsidRDefault="00000000" w:rsidRPr="00000000" w14:paraId="00000027">
      <w:pPr>
        <w:pStyle w:val="Heading1"/>
        <w:jc w:val="both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q73vbiqjxdos" w:id="9"/>
      <w:bookmarkEnd w:id="9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Conclusiones típicas al navegar: al filtrar 2022, cae la incidencia y mortalidad en todos los países; al filtrar países de alta población (BR, MX) se concentran los volúmenes; Chile muestra buena contención relativa en muertes/100k con amplia cobertura.</w:t>
      </w:r>
    </w:p>
    <w:p w:rsidR="00000000" w:rsidDel="00000000" w:rsidP="00000000" w:rsidRDefault="00000000" w:rsidRPr="00000000" w14:paraId="00000028">
      <w:pPr>
        <w:pStyle w:val="Heading1"/>
        <w:jc w:val="both"/>
        <w:rPr>
          <w:b w:val="0"/>
          <w:sz w:val="20"/>
          <w:szCs w:val="20"/>
        </w:rPr>
      </w:pPr>
      <w:bookmarkStart w:colFirst="0" w:colLast="0" w:name="_heading=h.sd8z4oy91ng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jc w:val="both"/>
        <w:rPr>
          <w:b w:val="0"/>
        </w:rPr>
      </w:pPr>
      <w:bookmarkStart w:colFirst="0" w:colLast="0" w:name="_heading=h.hhc7ucnay9ra" w:id="10"/>
      <w:bookmarkEnd w:id="10"/>
      <w:r w:rsidDel="00000000" w:rsidR="00000000" w:rsidRPr="00000000">
        <w:rPr>
          <w:b w:val="0"/>
          <w:rtl w:val="0"/>
        </w:rPr>
        <w:t xml:space="preserve">Conclusiones y Recomendaciones</w:t>
      </w:r>
    </w:p>
    <w:p w:rsidR="00000000" w:rsidDel="00000000" w:rsidP="00000000" w:rsidRDefault="00000000" w:rsidRPr="00000000" w14:paraId="0000002B">
      <w:pPr>
        <w:pStyle w:val="Heading1"/>
        <w:jc w:val="both"/>
        <w:rPr>
          <w:rFonts w:ascii="Calibri" w:cs="Calibri" w:eastAsia="Calibri" w:hAnsi="Calibri"/>
          <w:b w:val="0"/>
          <w:sz w:val="16"/>
          <w:szCs w:val="16"/>
        </w:rPr>
      </w:pPr>
      <w:bookmarkStart w:colFirst="0" w:colLast="0" w:name="_heading=h.6lt7nyl1n63j" w:id="11"/>
      <w:bookmarkEnd w:id="11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Síntesis general. El ecosistema 2021–2022 muestra olas pronunciadas con descenso marcado en 2022. La cobertura de vacunación guarda relación inversa (aunque débil, como es esperable a nivel agregado) con muertes/100k; la relación casos→muertes es clara. En términos de oportunidad, combinando tamaño de mercado, carga por 100k, cobertura, urbanización/densidad y capacidad sanitaria (nurses/physicians por 1000) se identifican zonas donde nueva infraestructura (diagnóstico, fill-finish, control de calidad, hubs logísticos de biológicos) aportaría mayor valor.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Respuesta principal: ubicaciones óptimas para la expansión de laboratorios farmacéuticos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Prioridad  alta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Brasil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Evidencia en el dashboard: Lidera los volúmenes absolutos en </w:t>
      </w:r>
      <w:r w:rsidDel="00000000" w:rsidR="00000000" w:rsidRPr="00000000">
        <w:rPr>
          <w:i w:val="1"/>
          <w:sz w:val="16"/>
          <w:szCs w:val="16"/>
          <w:rtl w:val="0"/>
        </w:rPr>
        <w:t xml:space="preserve">Casos nuevos por año</w:t>
      </w:r>
      <w:r w:rsidDel="00000000" w:rsidR="00000000" w:rsidRPr="00000000">
        <w:rPr>
          <w:sz w:val="16"/>
          <w:szCs w:val="16"/>
          <w:rtl w:val="0"/>
        </w:rPr>
        <w:t xml:space="preserve"> (2021 y también alto en 2022) y en las barras mensuales de casos/muertes; en los small multiples se  ven olas prolongadas y picos intensos.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Lectura operativa: Mercado grande + carga histórica  alta ⇒ tiene sentido fill-finish, control de calidad y hubs de biológicos (capacidad para absorber escala).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México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Evidencia en el dashboard: Segundo en volumen anual y con barras mensuales relevantes durante 2021–2022; en líneas MM7 se aprecian picos claros y buena persistencia de demanda.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Lectura operativa: Buen candidato para laboratorios de diagnóstico (alto flujo) y centros de distribución (acopla con la carga observada en el panel).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ind w:left="1440" w:firstLine="0"/>
        <w:rPr>
          <w:b w:val="0"/>
          <w:sz w:val="16"/>
          <w:szCs w:val="16"/>
        </w:rPr>
      </w:pPr>
      <w:bookmarkStart w:colFirst="0" w:colLast="0" w:name="_heading=h.xtg0akpwp1cm" w:id="12"/>
      <w:bookmarkEnd w:id="12"/>
      <w:r w:rsidDel="00000000" w:rsidR="00000000" w:rsidRPr="00000000">
        <w:rPr>
          <w:b w:val="0"/>
          <w:sz w:val="16"/>
          <w:szCs w:val="16"/>
          <w:rtl w:val="0"/>
        </w:rPr>
        <w:t xml:space="preserve">Prioridad Media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ind w:left="0" w:firstLine="0"/>
        <w:rPr>
          <w:b w:val="0"/>
          <w:sz w:val="16"/>
          <w:szCs w:val="16"/>
        </w:rPr>
      </w:pPr>
      <w:bookmarkStart w:colFirst="0" w:colLast="0" w:name="_heading=h.g6a47v12816r" w:id="13"/>
      <w:bookmarkEnd w:id="13"/>
      <w:r w:rsidDel="00000000" w:rsidR="00000000" w:rsidRPr="00000000">
        <w:rPr>
          <w:b w:val="0"/>
          <w:sz w:val="16"/>
          <w:szCs w:val="16"/>
          <w:rtl w:val="0"/>
        </w:rPr>
        <w:t xml:space="preserve">Colombia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Evidencia en el dashboard: Picos intermitentes visibles en monthly bars y en el small multiple; carga menor que BR/MX pero no trivial.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Lectura operativa: Reforzar diagnóstico y cadena de frío para sostener cobertura (tu heatmap sugiere que más cobertura ↓ muertes/100k).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Perú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Evidencia en el dashboard: Picos marcados en 2021 y repunte corto en 2022-Q1; luego caída pronunciada (mensuales y MM7).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Lectura operativa: Hubs de distribución y laboratorios regionales para responder a demanda concentrada por olas y mejorar tiempo de respuesta.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ind w:left="1440" w:firstLine="0"/>
        <w:rPr>
          <w:b w:val="0"/>
          <w:sz w:val="16"/>
          <w:szCs w:val="16"/>
        </w:rPr>
      </w:pPr>
      <w:bookmarkStart w:colFirst="0" w:colLast="0" w:name="_heading=h.26us55jmn429" w:id="14"/>
      <w:bookmarkEnd w:id="14"/>
      <w:r w:rsidDel="00000000" w:rsidR="00000000" w:rsidRPr="00000000">
        <w:rPr>
          <w:b w:val="0"/>
          <w:sz w:val="16"/>
          <w:szCs w:val="16"/>
          <w:rtl w:val="0"/>
        </w:rPr>
        <w:t xml:space="preserve">Prioridad Baja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Argentina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Evidencia en el dashboard: Volumen moderado en anual y mensual; en MM7 las olas están más contenidas y 2022 cae fuerte.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Chile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sz w:val="16"/>
          <w:szCs w:val="16"/>
          <w:rtl w:val="0"/>
        </w:rPr>
        <w:t xml:space="preserve">Evidencia en el dashboard: En líneas y barras muestra menor severidad relativa que sus pares; heatmap indica relación negativa entre cobertura   y muertes/100k, coherente con su mejor control.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jc w:val="both"/>
        <w:rPr/>
      </w:pPr>
      <w:bookmarkStart w:colFirst="0" w:colLast="0" w:name="_heading=h.1q6yzjkwu9a" w:id="15"/>
      <w:bookmarkEnd w:id="15"/>
      <w:r w:rsidDel="00000000" w:rsidR="00000000" w:rsidRPr="00000000">
        <w:rPr>
          <w:rtl w:val="0"/>
        </w:rPr>
        <w:t xml:space="preserve">Reflexión personal</w:t>
      </w:r>
    </w:p>
    <w:p w:rsidR="00000000" w:rsidDel="00000000" w:rsidP="00000000" w:rsidRDefault="00000000" w:rsidRPr="00000000" w14:paraId="00000042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heading=h.md70b53eagq8" w:id="16"/>
      <w:bookmarkEnd w:id="16"/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Aprendí mucho en este módulo sobre python, pandas, numpy, matplotlib y seaborn. Creo que es la manera más eficiente y rápida de archivos con mucho volumen de datos. Aparte de la facilidad para crear gráficas, correlaciones, estadística, medidas de tendencia central,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both"/>
        <w:rPr/>
      </w:pPr>
      <w:bookmarkStart w:colFirst="0" w:colLast="0" w:name="_heading=h.mxt8suje60lc" w:id="17"/>
      <w:bookmarkEnd w:id="17"/>
      <w:r w:rsidDel="00000000" w:rsidR="00000000" w:rsidRPr="00000000">
        <w:rPr>
          <w:rtl w:val="0"/>
        </w:rPr>
        <w:t xml:space="preserve">EXTRA CREDIT</w:t>
      </w:r>
    </w:p>
    <w:p w:rsidR="00000000" w:rsidDel="00000000" w:rsidP="00000000" w:rsidRDefault="00000000" w:rsidRPr="00000000" w14:paraId="00000045">
      <w:pPr>
        <w:pStyle w:val="Heading1"/>
        <w:jc w:val="both"/>
        <w:rPr/>
      </w:pPr>
      <w:bookmarkStart w:colFirst="0" w:colLast="0" w:name="_heading=h.79kvs2iz0nzc" w:id="18"/>
      <w:bookmarkEnd w:id="18"/>
      <w:r w:rsidDel="00000000" w:rsidR="00000000" w:rsidRPr="00000000">
        <w:rPr>
          <w:b w:val="0"/>
          <w:sz w:val="20"/>
          <w:szCs w:val="20"/>
          <w:rtl w:val="0"/>
        </w:rPr>
        <w:t xml:space="preserve">[Aquí detallarás las mejoras de tu proyecto]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nybod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>
        <w:rFonts w:ascii="Anybody" w:cs="Anybody" w:eastAsia="Anybody" w:hAnsi="Anybody"/>
        <w:b w:val="1"/>
      </w:rPr>
    </w:pPr>
    <w:r w:rsidDel="00000000" w:rsidR="00000000" w:rsidRPr="00000000">
      <w:rPr>
        <w:rFonts w:ascii="Anybody" w:cs="Anybody" w:eastAsia="Anybody" w:hAnsi="Anybody"/>
        <w:b w:val="1"/>
        <w:rtl w:val="0"/>
      </w:rPr>
      <w:t xml:space="preserve">Carrera: Data Analytics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4705350</wp:posOffset>
          </wp:positionH>
          <wp:positionV relativeFrom="paragraph">
            <wp:posOffset>-266696</wp:posOffset>
          </wp:positionV>
          <wp:extent cx="1723073" cy="666471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3073" cy="6664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rPr>
        <w:rFonts w:ascii="Anybody" w:cs="Anybody" w:eastAsia="Anybody" w:hAnsi="Anybody"/>
        <w:b w:val="1"/>
      </w:rPr>
    </w:pPr>
    <w:r w:rsidDel="00000000" w:rsidR="00000000" w:rsidRPr="00000000">
      <w:rPr>
        <w:rFonts w:ascii="Anybody" w:cs="Anybody" w:eastAsia="Anybody" w:hAnsi="Anybody"/>
        <w:b w:val="1"/>
        <w:rtl w:val="0"/>
      </w:rPr>
      <w:t xml:space="preserve">Módulo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nybody" w:cs="Anybody" w:eastAsia="Anybody" w:hAnsi="Anybody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3699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ybody-regular.ttf"/><Relationship Id="rId2" Type="http://schemas.openxmlformats.org/officeDocument/2006/relationships/font" Target="fonts/Anybody-bold.ttf"/><Relationship Id="rId3" Type="http://schemas.openxmlformats.org/officeDocument/2006/relationships/font" Target="fonts/Anybody-italic.ttf"/><Relationship Id="rId4" Type="http://schemas.openxmlformats.org/officeDocument/2006/relationships/font" Target="fonts/Anybod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sBjb+S/2oVTDdvJDlaIRy1k46A==">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2024-01-30T00:09:00Z</dcterms:created>
  <dc:creator>Elisea Esther Horñiacek</dc:creator>
</cp:coreProperties>
</file>