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pcontaormanual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Ucontadormanual;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impar,par:contadormanual;</w:t>
              <w:br w:type="textWrapping"/>
              <w:br w:type="textWrapping"/>
              <w:t xml:space="preserve">  num, i: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par := contadormanual.create();</w:t>
              <w:br w:type="textWrapping"/>
              <w:t xml:space="preserve">  impar := contadormanual.create();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un número: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readln(num);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par.incrementar()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impar.incrementar();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total de pares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par.getcantidad(),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y de impares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impar.getcantidad());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