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ARCHIVOS MODIFICADOS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Creación del Árbol de Clientes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Se implementó la estructura del árbol para gestionar los clientes de manera organizada.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Modificaciones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UCLIENTE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agregaron métodos para facilitar la manipulación de datos del cliente: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function toString(): ansistring; override;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function getDNI(): string;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function getSaldo(): real;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Modificación del constructor para incluir una nueva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dni</w:t>
      </w:r>
      <w:r w:rsidDel="00000000" w:rsidR="00000000" w:rsidRPr="00000000">
        <w:rPr>
          <w:sz w:val="20"/>
          <w:szCs w:val="20"/>
          <w:rtl w:val="0"/>
        </w:rPr>
        <w:t xml:space="preserve">, la cual se inicializa en el constructor.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Nota: Se utilizó una versión anterior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UCLIENTE</w:t>
      </w:r>
      <w:r w:rsidDel="00000000" w:rsidR="00000000" w:rsidRPr="00000000">
        <w:rPr>
          <w:sz w:val="20"/>
          <w:szCs w:val="20"/>
          <w:rtl w:val="0"/>
        </w:rPr>
        <w:t xml:space="preserve"> en la que los clientes tienen solo una billetera en lugar de una lista. Esta estructura simplifica el manejo de saldo y evita la necesidad de manipular listas.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VERSIÓN ACTUALIZADA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ABBGenerico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Ojo revisar o leer bien este procedimiento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procedure (ABBGenerico.buscarElemento(</w:t>
      </w:r>
      <w:r w:rsidDel="00000000" w:rsidR="00000000" w:rsidRPr="00000000">
        <w:rPr>
          <w:sz w:val="20"/>
          <w:szCs w:val="20"/>
          <w:shd w:fill="d9ead3" w:val="clear"/>
          <w:rtl w:val="0"/>
        </w:rPr>
        <w:t xml:space="preserve">unaClave: Comparable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sz w:val="20"/>
          <w:szCs w:val="20"/>
          <w:shd w:fill="e6b8af" w:val="clear"/>
          <w:rtl w:val="0"/>
        </w:rPr>
        <w:t xml:space="preserve">var dato: TObject; var existe: boolean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 pide un comparable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240" w:before="0" w:beforeAutospacing="0" w:lineRule="auto"/>
        <w:ind w:left="2160" w:right="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 devuelve un TObjetct, tenes que hacer una transformación cuando lo vayas a usar lo deje comentado en el código Pero masomenos es guardarlo en una variable y despues pones </w:t>
      </w:r>
      <w:commentRangeStart w:id="0"/>
      <w:r w:rsidDel="00000000" w:rsidR="00000000" w:rsidRPr="00000000">
        <w:rPr>
          <w:sz w:val="20"/>
          <w:szCs w:val="20"/>
          <w:rtl w:val="0"/>
        </w:rPr>
        <w:t xml:space="preserve">clase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(variable)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Encapsulamiento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162675" cy="7762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76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Revisión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UCAJADEAHORRO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Aunque no se realizaron modificaciones en este archivo, se revisó para evaluar la funcionalidad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consultarSaldo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ablo Luberriaga" w:id="0" w:date="2024-11-01T00:46:25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seria la clase a la cual la vas a transformar por ejemplo en este tp es clientes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