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9000E" w14:textId="77777777" w:rsidR="00EA710F" w:rsidRPr="00727AE8" w:rsidRDefault="00EA710F" w:rsidP="006403BD"/>
    <w:p w14:paraId="73B74D5E" w14:textId="164DC298" w:rsidR="006A56B3" w:rsidRPr="001C4EA4" w:rsidRDefault="009450AB" w:rsidP="001C4EA4">
      <w:pPr>
        <w:pStyle w:val="NoSpacing"/>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val="en-GB" w:eastAsia="en-GB"/>
        </w:rPr>
        <w:drawing>
          <wp:inline distT="0" distB="0" distL="0" distR="0" wp14:anchorId="402EFF8F" wp14:editId="660EEF95">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821D63" w:rsidRDefault="00821D63" w:rsidP="00821D63">
      <w:pPr>
        <w:pStyle w:val="NoSpacing"/>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44787FC9" w14:textId="77777777" w:rsidR="006F0917" w:rsidRPr="00233A11" w:rsidRDefault="006F0917" w:rsidP="006F0917">
      <w:pPr>
        <w:pStyle w:val="NoSpacing"/>
        <w:spacing w:line="276" w:lineRule="auto"/>
        <w:jc w:val="center"/>
        <w:rPr>
          <w:rFonts w:asciiTheme="majorHAnsi" w:hAnsiTheme="majorHAnsi" w:cs="Open Sans"/>
          <w:sz w:val="40"/>
          <w:szCs w:val="28"/>
        </w:rPr>
      </w:pPr>
      <w:r>
        <w:rPr>
          <w:rFonts w:asciiTheme="majorHAnsi" w:hAnsiTheme="majorHAnsi" w:cs="Open Sans"/>
          <w:sz w:val="40"/>
          <w:szCs w:val="28"/>
        </w:rPr>
        <w:t xml:space="preserve">Escuela </w:t>
      </w:r>
      <w:r w:rsidRPr="00233A11">
        <w:rPr>
          <w:rFonts w:asciiTheme="majorHAnsi" w:hAnsiTheme="majorHAnsi" w:cs="Open Sans"/>
          <w:sz w:val="40"/>
          <w:szCs w:val="28"/>
        </w:rPr>
        <w:t>Superior de Ingeniería y Tecnología</w:t>
      </w:r>
    </w:p>
    <w:p w14:paraId="62ED148A" w14:textId="32640DEB" w:rsidR="00821D63" w:rsidRDefault="00821D63" w:rsidP="00821D63">
      <w:pPr>
        <w:pStyle w:val="NoSpacing"/>
        <w:spacing w:line="276" w:lineRule="auto"/>
        <w:jc w:val="center"/>
        <w:rPr>
          <w:rFonts w:asciiTheme="minorHAnsi" w:hAnsiTheme="minorHAnsi" w:cs="Tahoma"/>
          <w:sz w:val="40"/>
          <w:szCs w:val="28"/>
        </w:rPr>
      </w:pPr>
    </w:p>
    <w:p w14:paraId="4376B2C2" w14:textId="1FAD4F31" w:rsidR="00FC4A7B" w:rsidRDefault="00FC4A7B" w:rsidP="00821D63">
      <w:pPr>
        <w:pStyle w:val="NoSpacing"/>
        <w:spacing w:line="276" w:lineRule="auto"/>
        <w:jc w:val="center"/>
        <w:rPr>
          <w:rFonts w:asciiTheme="minorHAnsi" w:hAnsiTheme="minorHAnsi" w:cs="Tahoma"/>
          <w:sz w:val="40"/>
          <w:szCs w:val="28"/>
        </w:rPr>
      </w:pPr>
    </w:p>
    <w:p w14:paraId="56C3CC49" w14:textId="30810348" w:rsidR="00FC4A7B" w:rsidRDefault="00FC4A7B" w:rsidP="00821D63">
      <w:pPr>
        <w:pStyle w:val="NoSpacing"/>
        <w:spacing w:line="276" w:lineRule="auto"/>
        <w:jc w:val="center"/>
        <w:rPr>
          <w:rFonts w:asciiTheme="minorHAnsi" w:hAnsiTheme="minorHAnsi" w:cs="Tahoma"/>
          <w:sz w:val="40"/>
          <w:szCs w:val="28"/>
        </w:rPr>
      </w:pPr>
    </w:p>
    <w:p w14:paraId="6067B72C" w14:textId="77777777" w:rsidR="00FC4A7B" w:rsidRDefault="00FC4A7B" w:rsidP="00821D63">
      <w:pPr>
        <w:pStyle w:val="NoSpacing"/>
        <w:spacing w:line="276" w:lineRule="auto"/>
        <w:jc w:val="center"/>
        <w:rPr>
          <w:rFonts w:asciiTheme="minorHAnsi" w:hAnsiTheme="minorHAnsi" w:cs="Tahoma"/>
          <w:sz w:val="40"/>
          <w:szCs w:val="28"/>
        </w:rPr>
      </w:pPr>
    </w:p>
    <w:p w14:paraId="27B5EF07" w14:textId="77777777" w:rsidR="006F0917" w:rsidRPr="00FC4A7B" w:rsidRDefault="006F0917" w:rsidP="006F0917">
      <w:pPr>
        <w:pStyle w:val="NoSpacing"/>
        <w:spacing w:line="276" w:lineRule="auto"/>
        <w:jc w:val="center"/>
        <w:rPr>
          <w:rFonts w:asciiTheme="majorHAnsi" w:hAnsiTheme="majorHAnsi" w:cs="Tahoma"/>
          <w:sz w:val="48"/>
          <w:szCs w:val="28"/>
        </w:rPr>
      </w:pPr>
      <w:r w:rsidRPr="00233A11">
        <w:rPr>
          <w:rFonts w:asciiTheme="majorHAnsi" w:hAnsiTheme="majorHAnsi" w:cs="Tahoma"/>
          <w:sz w:val="36"/>
          <w:szCs w:val="28"/>
        </w:rPr>
        <w:t>Máster en Ingeniería Matemática y Computación</w:t>
      </w:r>
    </w:p>
    <w:p w14:paraId="7E4DEE80" w14:textId="6BA58912" w:rsidR="00821D63" w:rsidRPr="00CA0785" w:rsidRDefault="00A2264C" w:rsidP="00821D63">
      <w:pPr>
        <w:pStyle w:val="NoSpacing"/>
        <w:spacing w:line="276" w:lineRule="auto"/>
        <w:jc w:val="center"/>
        <w:rPr>
          <w:rFonts w:asciiTheme="minorHAnsi" w:hAnsiTheme="minorHAnsi" w:cs="Tahoma"/>
          <w:sz w:val="52"/>
          <w:szCs w:val="28"/>
        </w:rPr>
      </w:pPr>
      <w:r>
        <w:rPr>
          <w:rFonts w:asciiTheme="minorHAnsi" w:hAnsiTheme="minorHAnsi" w:cs="Tahoma"/>
          <w:color w:val="0098CD"/>
          <w:sz w:val="52"/>
          <w:szCs w:val="28"/>
        </w:rPr>
        <w:t>Valoración de derivados financieros con un modelo de dividendos estocásticos</w:t>
      </w:r>
    </w:p>
    <w:p w14:paraId="6D71EAEA" w14:textId="464E026D" w:rsidR="0016080C" w:rsidRDefault="0016080C" w:rsidP="006403BD">
      <w:pPr>
        <w:rPr>
          <w:lang w:eastAsia="en-US"/>
        </w:rPr>
      </w:pPr>
    </w:p>
    <w:p w14:paraId="39BFED55" w14:textId="1300B8A3" w:rsidR="0016080C" w:rsidRDefault="0016080C" w:rsidP="006403BD">
      <w:pPr>
        <w:rPr>
          <w:lang w:eastAsia="en-US"/>
        </w:rPr>
      </w:pPr>
    </w:p>
    <w:p w14:paraId="1DB80821" w14:textId="08F166BC" w:rsidR="0016080C" w:rsidRDefault="0016080C" w:rsidP="006403BD">
      <w:pPr>
        <w:rPr>
          <w:lang w:eastAsia="en-US"/>
        </w:rPr>
      </w:pP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eGrid"/>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CA0785" w14:paraId="4878D15C" w14:textId="77777777" w:rsidTr="000757FF">
        <w:tc>
          <w:tcPr>
            <w:tcW w:w="4683" w:type="dxa"/>
            <w:vAlign w:val="center"/>
          </w:tcPr>
          <w:p w14:paraId="03508D4B" w14:textId="77777777" w:rsidR="001C4EA4" w:rsidRPr="00EF3680" w:rsidRDefault="001C4EA4" w:rsidP="000757FF">
            <w:pPr>
              <w:pStyle w:val="NoSpacing"/>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3830" w:type="dxa"/>
            <w:vAlign w:val="center"/>
          </w:tcPr>
          <w:p w14:paraId="44493B68" w14:textId="3D1ABA12" w:rsidR="001C4EA4" w:rsidRPr="00EF3680" w:rsidRDefault="00A2264C" w:rsidP="000757FF">
            <w:pPr>
              <w:pStyle w:val="NoSpacing"/>
              <w:spacing w:line="276" w:lineRule="auto"/>
              <w:rPr>
                <w:rFonts w:asciiTheme="majorHAnsi" w:hAnsiTheme="majorHAnsi" w:cs="Tahoma"/>
                <w:sz w:val="24"/>
                <w:szCs w:val="28"/>
              </w:rPr>
            </w:pPr>
            <w:r>
              <w:rPr>
                <w:rFonts w:asciiTheme="majorHAnsi" w:hAnsiTheme="majorHAnsi" w:cs="Tahoma"/>
                <w:sz w:val="24"/>
                <w:szCs w:val="28"/>
              </w:rPr>
              <w:t>Pablo Macías Pineda</w:t>
            </w:r>
          </w:p>
        </w:tc>
      </w:tr>
      <w:tr w:rsidR="00CA0801" w:rsidRPr="00CA0785" w14:paraId="16305541" w14:textId="77777777" w:rsidTr="000757FF">
        <w:tc>
          <w:tcPr>
            <w:tcW w:w="4683" w:type="dxa"/>
            <w:vAlign w:val="center"/>
          </w:tcPr>
          <w:p w14:paraId="5E049953" w14:textId="77777777" w:rsidR="00CA0801" w:rsidRPr="00EF3680" w:rsidRDefault="00CA0801" w:rsidP="00CA0801">
            <w:pPr>
              <w:pStyle w:val="NoSpacing"/>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3830" w:type="dxa"/>
            <w:vAlign w:val="center"/>
          </w:tcPr>
          <w:p w14:paraId="717AFC5C" w14:textId="3B056326" w:rsidR="00CA0801" w:rsidRPr="00EF3680" w:rsidRDefault="00CA0801" w:rsidP="00CA0801">
            <w:pPr>
              <w:pStyle w:val="NoSpacing"/>
              <w:spacing w:line="276" w:lineRule="auto"/>
              <w:rPr>
                <w:rFonts w:asciiTheme="majorHAnsi" w:hAnsiTheme="majorHAnsi" w:cs="Tahoma"/>
                <w:sz w:val="24"/>
                <w:szCs w:val="28"/>
              </w:rPr>
            </w:pPr>
            <w:r>
              <w:rPr>
                <w:rFonts w:asciiTheme="majorHAnsi" w:hAnsiTheme="majorHAnsi" w:cs="Tahoma"/>
                <w:sz w:val="24"/>
                <w:szCs w:val="28"/>
              </w:rPr>
              <w:t>Tipo 3. Investigación pura</w:t>
            </w:r>
          </w:p>
        </w:tc>
      </w:tr>
      <w:tr w:rsidR="008D77EF" w:rsidRPr="00CA0785" w14:paraId="41A229E9" w14:textId="77777777" w:rsidTr="000757FF">
        <w:tc>
          <w:tcPr>
            <w:tcW w:w="4683" w:type="dxa"/>
            <w:vAlign w:val="center"/>
          </w:tcPr>
          <w:p w14:paraId="19B201E3" w14:textId="77777777" w:rsidR="008D77EF" w:rsidRPr="00EF3680" w:rsidRDefault="008D77EF" w:rsidP="008D77EF">
            <w:pPr>
              <w:pStyle w:val="NoSpacing"/>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3830" w:type="dxa"/>
            <w:vAlign w:val="center"/>
          </w:tcPr>
          <w:p w14:paraId="5CFF1A55" w14:textId="30049910" w:rsidR="008D77EF" w:rsidRPr="00EF3680" w:rsidRDefault="00A2264C" w:rsidP="008D77EF">
            <w:pPr>
              <w:pStyle w:val="NoSpacing"/>
              <w:spacing w:line="276" w:lineRule="auto"/>
              <w:rPr>
                <w:rFonts w:asciiTheme="majorHAnsi" w:hAnsiTheme="majorHAnsi" w:cs="Tahoma"/>
                <w:sz w:val="24"/>
                <w:szCs w:val="28"/>
              </w:rPr>
            </w:pPr>
            <w:r>
              <w:rPr>
                <w:rFonts w:asciiTheme="majorHAnsi" w:hAnsiTheme="majorHAnsi" w:cs="Tahoma"/>
                <w:sz w:val="24"/>
                <w:szCs w:val="28"/>
              </w:rPr>
              <w:t>Julia Calatayud Gregori</w:t>
            </w:r>
          </w:p>
        </w:tc>
      </w:tr>
      <w:tr w:rsidR="008D77EF" w:rsidRPr="00CA0785" w14:paraId="4E825087" w14:textId="77777777" w:rsidTr="000757FF">
        <w:tc>
          <w:tcPr>
            <w:tcW w:w="4683" w:type="dxa"/>
            <w:vAlign w:val="center"/>
          </w:tcPr>
          <w:p w14:paraId="12742576" w14:textId="77777777" w:rsidR="008D77EF" w:rsidRPr="00EF3680" w:rsidRDefault="008D77EF" w:rsidP="008D77EF">
            <w:pPr>
              <w:pStyle w:val="NoSpacing"/>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3830" w:type="dxa"/>
            <w:vAlign w:val="center"/>
          </w:tcPr>
          <w:p w14:paraId="0CCDCEC7" w14:textId="087CAE63" w:rsidR="008D77EF" w:rsidRPr="00EF3680" w:rsidRDefault="00A2264C" w:rsidP="008D77EF">
            <w:pPr>
              <w:pStyle w:val="NoSpacing"/>
              <w:spacing w:line="276" w:lineRule="auto"/>
              <w:rPr>
                <w:rFonts w:asciiTheme="majorHAnsi" w:hAnsiTheme="majorHAnsi" w:cs="Tahoma"/>
                <w:sz w:val="24"/>
                <w:szCs w:val="28"/>
              </w:rPr>
            </w:pPr>
            <w:r>
              <w:rPr>
                <w:rFonts w:asciiTheme="majorHAnsi" w:hAnsiTheme="majorHAnsi" w:cs="Tahoma"/>
                <w:sz w:val="24"/>
                <w:szCs w:val="28"/>
              </w:rPr>
              <w:t>2 de mayo de 2021</w:t>
            </w:r>
          </w:p>
        </w:tc>
      </w:tr>
    </w:tbl>
    <w:p w14:paraId="5A1FFC3E" w14:textId="7FC13AA7" w:rsidR="008544B8" w:rsidRDefault="008544B8" w:rsidP="006403BD">
      <w:pPr>
        <w:pStyle w:val="Ttulondices"/>
      </w:pPr>
      <w:r w:rsidRPr="00034DA4">
        <w:rPr>
          <w:szCs w:val="22"/>
        </w:rPr>
        <w:br w:type="page"/>
      </w:r>
      <w:r w:rsidR="00D92F3B">
        <w:lastRenderedPageBreak/>
        <w:t xml:space="preserve">Resumen </w:t>
      </w:r>
    </w:p>
    <w:p w14:paraId="4BB29D16" w14:textId="6E2E4D27" w:rsidR="00A2264C" w:rsidRDefault="00F55C0B" w:rsidP="006403BD">
      <w:pPr>
        <w:rPr>
          <w:lang w:eastAsia="en-US"/>
        </w:rPr>
      </w:pPr>
      <w:r>
        <w:rPr>
          <w:lang w:eastAsia="en-US"/>
        </w:rPr>
        <w:t>En este trabajo se modelizarán el índice EURO STOXX 50 con una evolución lognormal y el pago de sus dividendos con el modelo de Cox-Ingersoll-Ross. Se utilizar</w:t>
      </w:r>
      <w:r w:rsidR="00C35DC7">
        <w:rPr>
          <w:lang w:eastAsia="en-US"/>
        </w:rPr>
        <w:t>á</w:t>
      </w:r>
      <w:r>
        <w:rPr>
          <w:lang w:eastAsia="en-US"/>
        </w:rPr>
        <w:t xml:space="preserve"> el precio de opciones call sobre el EURO STOXX 50, el precio de opciones call sobre los dividendos y futuros sobre los dividendos para </w:t>
      </w:r>
      <w:r w:rsidR="00C35DC7">
        <w:rPr>
          <w:lang w:eastAsia="en-US"/>
        </w:rPr>
        <w:t xml:space="preserve">calibrar </w:t>
      </w:r>
      <w:r>
        <w:rPr>
          <w:lang w:eastAsia="en-US"/>
        </w:rPr>
        <w:t>todos los parámetros</w:t>
      </w:r>
      <w:r w:rsidR="00C35DC7">
        <w:rPr>
          <w:lang w:eastAsia="en-US"/>
        </w:rPr>
        <w:t xml:space="preserve"> libres</w:t>
      </w:r>
      <w:r>
        <w:rPr>
          <w:lang w:eastAsia="en-US"/>
        </w:rPr>
        <w:t xml:space="preserve"> de</w:t>
      </w:r>
      <w:r w:rsidR="00C35DC7">
        <w:rPr>
          <w:lang w:eastAsia="en-US"/>
        </w:rPr>
        <w:t>l sistema de ecuaciones diferenciales estocásticas</w:t>
      </w:r>
      <w:r>
        <w:rPr>
          <w:lang w:eastAsia="en-US"/>
        </w:rPr>
        <w:t xml:space="preserve"> </w:t>
      </w:r>
      <w:r w:rsidR="00C35DC7">
        <w:rPr>
          <w:lang w:eastAsia="en-US"/>
        </w:rPr>
        <w:t>planteado: la volatilidad del índice, la volatilidad de los dividendos, el valor medio de los dividendos y la velocidad de reversión a la media de los dividendos.</w:t>
      </w:r>
    </w:p>
    <w:p w14:paraId="0152D4AC" w14:textId="7EDA35E4" w:rsidR="00C35DC7" w:rsidRDefault="00C35DC7" w:rsidP="006403BD">
      <w:pPr>
        <w:rPr>
          <w:lang w:eastAsia="en-US"/>
        </w:rPr>
      </w:pPr>
      <w:r>
        <w:rPr>
          <w:lang w:eastAsia="en-US"/>
        </w:rPr>
        <w:t xml:space="preserve">Para realizar esta calibración, se valorarán los productos a través de un método Montecarlo programado en Python y se utilizará el método híbrido de Powell </w:t>
      </w:r>
      <w:r w:rsidR="00E20BFD">
        <w:rPr>
          <w:lang w:eastAsia="en-US"/>
        </w:rPr>
        <w:t>como algoritmo de búsqueda de raíces para encontrar los parámetros del modelo.</w:t>
      </w:r>
    </w:p>
    <w:p w14:paraId="145274F3" w14:textId="10FA4182" w:rsidR="00E20BFD" w:rsidRDefault="00E20BFD" w:rsidP="006403BD">
      <w:pPr>
        <w:rPr>
          <w:lang w:eastAsia="en-US"/>
        </w:rPr>
      </w:pPr>
      <w:r>
        <w:rPr>
          <w:lang w:eastAsia="en-US"/>
        </w:rPr>
        <w:t>Una vez calibrado el modelo, se analizará uno de los posibles usos de este modelo en la industria financiera: el cálculo del VaR por aproximación de Taylor.</w:t>
      </w:r>
    </w:p>
    <w:p w14:paraId="0D7D8B19" w14:textId="77777777" w:rsidR="00ED1546" w:rsidRPr="001C2FB3" w:rsidRDefault="00ED1546" w:rsidP="006403BD">
      <w:pPr>
        <w:rPr>
          <w:lang w:eastAsia="en-US"/>
        </w:rPr>
      </w:pPr>
    </w:p>
    <w:p w14:paraId="3AF5F4A7" w14:textId="545872B2" w:rsidR="008544B8" w:rsidRPr="001C2FB3" w:rsidRDefault="008544B8" w:rsidP="006403BD">
      <w:pPr>
        <w:rPr>
          <w:lang w:eastAsia="en-US"/>
        </w:rPr>
      </w:pPr>
      <w:r w:rsidRPr="00ED1546">
        <w:rPr>
          <w:b/>
          <w:lang w:eastAsia="en-US"/>
        </w:rPr>
        <w:t>Palabras clave:</w:t>
      </w:r>
      <w:r w:rsidRPr="001C2FB3">
        <w:rPr>
          <w:lang w:eastAsia="en-US"/>
        </w:rPr>
        <w:t xml:space="preserve"> </w:t>
      </w:r>
      <w:r w:rsidR="00E20BFD">
        <w:rPr>
          <w:lang w:eastAsia="en-US"/>
        </w:rPr>
        <w:t>Cox-Ingersoll-Ross, Dividendos, Derivados financieros, Montecarlo</w:t>
      </w:r>
    </w:p>
    <w:p w14:paraId="08B78616" w14:textId="451F0E3A" w:rsidR="008544B8" w:rsidRDefault="008544B8"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0" w:name="_Toc437509152"/>
      <w:r>
        <w:rPr>
          <w:lang w:eastAsia="en-US"/>
        </w:rPr>
        <w:br w:type="page"/>
      </w:r>
    </w:p>
    <w:p w14:paraId="669DBB93" w14:textId="77777777" w:rsidR="00D92F3B" w:rsidRPr="00423190" w:rsidRDefault="00D92F3B" w:rsidP="00D92F3B">
      <w:pPr>
        <w:pStyle w:val="Ttulondices"/>
        <w:rPr>
          <w:lang w:val="en-GB"/>
        </w:rPr>
      </w:pPr>
      <w:r w:rsidRPr="00423190">
        <w:rPr>
          <w:lang w:val="en-GB"/>
        </w:rPr>
        <w:lastRenderedPageBreak/>
        <w:t>Abstract</w:t>
      </w:r>
    </w:p>
    <w:p w14:paraId="1F5119FE" w14:textId="41BD21A6" w:rsidR="00D92F3B" w:rsidRPr="00423190" w:rsidRDefault="00E20BFD" w:rsidP="00194057">
      <w:pPr>
        <w:rPr>
          <w:lang w:val="en-GB"/>
        </w:rPr>
      </w:pPr>
      <w:r w:rsidRPr="00423190">
        <w:rPr>
          <w:lang w:val="en-GB"/>
        </w:rPr>
        <w:t>In this work</w:t>
      </w:r>
      <w:r w:rsidR="00412583" w:rsidRPr="00423190">
        <w:rPr>
          <w:lang w:val="en-GB"/>
        </w:rPr>
        <w:t>, we model the EURO STOXX  index with a lognormal temporary evolution and the payment of its dividends with a Cox-Ingersoll-Ross model. The price of call option on the EURO STOXX 50 index, the price of call options on the dividends and dividend futures are used for calibrating all the free parameters of the stochactic differential equations system purposed: the volatitly of the index, the volatility of the dividends, the mean value of the dividends and the mean reversion speed of the dividends.</w:t>
      </w:r>
    </w:p>
    <w:p w14:paraId="0FC0B6D9" w14:textId="06704482" w:rsidR="00412583" w:rsidRPr="00423190" w:rsidRDefault="00412583" w:rsidP="00194057">
      <w:pPr>
        <w:rPr>
          <w:lang w:val="en-GB"/>
        </w:rPr>
      </w:pPr>
      <w:r w:rsidRPr="00423190">
        <w:rPr>
          <w:lang w:val="en-GB"/>
        </w:rPr>
        <w:t>For performing this calibration, the three products will be priced using a Montecarlo method programmed in Python and the Powell’s hybrid method will be used as roots finding algorithm for obtaining the model paremeters.</w:t>
      </w:r>
    </w:p>
    <w:p w14:paraId="1C00F417" w14:textId="25F7E0FE" w:rsidR="00412583" w:rsidRPr="00423190" w:rsidRDefault="00412583" w:rsidP="00194057">
      <w:pPr>
        <w:rPr>
          <w:lang w:val="en-GB"/>
        </w:rPr>
      </w:pPr>
      <w:r w:rsidRPr="00423190">
        <w:rPr>
          <w:lang w:val="en-GB"/>
        </w:rPr>
        <w:t>Once the model is calibrated, we will analyse one of it posible uses in the financial industry: the calculation of the VaR through Taylor’s approah.</w:t>
      </w:r>
    </w:p>
    <w:p w14:paraId="3CA8B481" w14:textId="77777777" w:rsidR="00412583" w:rsidRPr="00423190" w:rsidRDefault="00412583" w:rsidP="00194057">
      <w:pPr>
        <w:rPr>
          <w:lang w:val="en-GB"/>
        </w:rPr>
      </w:pPr>
    </w:p>
    <w:p w14:paraId="2598FE1E" w14:textId="30A12C71" w:rsidR="00E20BFD" w:rsidRPr="00423190" w:rsidRDefault="00D92F3B" w:rsidP="00E20BFD">
      <w:pPr>
        <w:rPr>
          <w:lang w:val="en-GB" w:eastAsia="en-US"/>
        </w:rPr>
      </w:pPr>
      <w:r w:rsidRPr="00423190">
        <w:rPr>
          <w:b/>
          <w:bCs/>
          <w:lang w:val="en-GB"/>
        </w:rPr>
        <w:t>Keywords</w:t>
      </w:r>
      <w:r w:rsidRPr="00423190">
        <w:rPr>
          <w:lang w:val="en-GB"/>
        </w:rPr>
        <w:t xml:space="preserve">: </w:t>
      </w:r>
      <w:r w:rsidR="00E20BFD" w:rsidRPr="00423190">
        <w:rPr>
          <w:lang w:val="en-GB" w:eastAsia="en-US"/>
        </w:rPr>
        <w:t>Cox-Ingersoll-Ross, Dividends, Financial derivatives, Montecarlo</w:t>
      </w:r>
    </w:p>
    <w:p w14:paraId="5043D940" w14:textId="79598F73" w:rsidR="001C2FB3" w:rsidRPr="00423190" w:rsidRDefault="001C2FB3">
      <w:pPr>
        <w:rPr>
          <w:lang w:val="en-GB"/>
        </w:rPr>
      </w:pPr>
      <w:r w:rsidRPr="00423190">
        <w:rPr>
          <w:lang w:val="en-GB"/>
        </w:rPr>
        <w:br w:type="page"/>
      </w:r>
    </w:p>
    <w:bookmarkEnd w:id="0"/>
    <w:p w14:paraId="37509664" w14:textId="52E8292E" w:rsidR="008544B8" w:rsidRDefault="007B76BF" w:rsidP="006403BD">
      <w:pPr>
        <w:pStyle w:val="Ttulondices"/>
      </w:pPr>
      <w:r>
        <w:lastRenderedPageBreak/>
        <w:t xml:space="preserve">Índice </w:t>
      </w:r>
      <w:r w:rsidR="00FA21E3">
        <w:t>de contenidos</w:t>
      </w:r>
    </w:p>
    <w:p w14:paraId="61EE5053" w14:textId="1F13DB58" w:rsidR="00206E69" w:rsidRDefault="00423E85">
      <w:pPr>
        <w:pStyle w:val="TOC1"/>
        <w:tabs>
          <w:tab w:val="left" w:pos="440"/>
          <w:tab w:val="right" w:leader="dot" w:pos="9061"/>
        </w:tabs>
        <w:rPr>
          <w:rFonts w:eastAsiaTheme="minorEastAsia" w:cstheme="minorBidi"/>
          <w:noProof/>
          <w:sz w:val="22"/>
          <w:szCs w:val="22"/>
        </w:rPr>
      </w:pPr>
      <w:r>
        <w:rPr>
          <w:sz w:val="22"/>
        </w:rPr>
        <w:fldChar w:fldCharType="begin"/>
      </w:r>
      <w:r>
        <w:rPr>
          <w:sz w:val="22"/>
        </w:rPr>
        <w:instrText xml:space="preserve"> TOC \o "1-3" \h \z \u </w:instrText>
      </w:r>
      <w:r>
        <w:rPr>
          <w:sz w:val="22"/>
        </w:rPr>
        <w:fldChar w:fldCharType="separate"/>
      </w:r>
      <w:hyperlink w:anchor="_Toc53920804" w:history="1">
        <w:r w:rsidR="00206E69" w:rsidRPr="009E7ABA">
          <w:rPr>
            <w:rStyle w:val="Hyperlink"/>
            <w:noProof/>
          </w:rPr>
          <w:t>1.</w:t>
        </w:r>
        <w:r w:rsidR="00206E69">
          <w:rPr>
            <w:rFonts w:eastAsiaTheme="minorEastAsia" w:cstheme="minorBidi"/>
            <w:noProof/>
            <w:sz w:val="22"/>
            <w:szCs w:val="22"/>
          </w:rPr>
          <w:tab/>
        </w:r>
        <w:r w:rsidR="00206E69" w:rsidRPr="009E7ABA">
          <w:rPr>
            <w:rStyle w:val="Hyperlink"/>
            <w:noProof/>
          </w:rPr>
          <w:t>Introducción y conceptos básicos</w:t>
        </w:r>
        <w:r w:rsidR="00206E69">
          <w:rPr>
            <w:noProof/>
            <w:webHidden/>
          </w:rPr>
          <w:tab/>
        </w:r>
        <w:r w:rsidR="00206E69">
          <w:rPr>
            <w:noProof/>
            <w:webHidden/>
          </w:rPr>
          <w:fldChar w:fldCharType="begin"/>
        </w:r>
        <w:r w:rsidR="00206E69">
          <w:rPr>
            <w:noProof/>
            <w:webHidden/>
          </w:rPr>
          <w:instrText xml:space="preserve"> PAGEREF _Toc53920804 \h </w:instrText>
        </w:r>
        <w:r w:rsidR="00206E69">
          <w:rPr>
            <w:noProof/>
            <w:webHidden/>
          </w:rPr>
        </w:r>
        <w:r w:rsidR="00206E69">
          <w:rPr>
            <w:noProof/>
            <w:webHidden/>
          </w:rPr>
          <w:fldChar w:fldCharType="separate"/>
        </w:r>
        <w:r w:rsidR="00206E69">
          <w:rPr>
            <w:noProof/>
            <w:webHidden/>
          </w:rPr>
          <w:t>7</w:t>
        </w:r>
        <w:r w:rsidR="00206E69">
          <w:rPr>
            <w:noProof/>
            <w:webHidden/>
          </w:rPr>
          <w:fldChar w:fldCharType="end"/>
        </w:r>
      </w:hyperlink>
    </w:p>
    <w:p w14:paraId="0E8C7678" w14:textId="6488A8F8" w:rsidR="00206E69" w:rsidRDefault="00653888">
      <w:pPr>
        <w:pStyle w:val="TOC2"/>
        <w:tabs>
          <w:tab w:val="left" w:pos="880"/>
          <w:tab w:val="right" w:leader="dot" w:pos="9061"/>
        </w:tabs>
        <w:rPr>
          <w:rFonts w:eastAsiaTheme="minorEastAsia" w:cstheme="minorBidi"/>
          <w:noProof/>
          <w:sz w:val="22"/>
          <w:szCs w:val="22"/>
        </w:rPr>
      </w:pPr>
      <w:hyperlink w:anchor="_Toc53920805" w:history="1">
        <w:r w:rsidR="00206E69" w:rsidRPr="009E7ABA">
          <w:rPr>
            <w:rStyle w:val="Hyperlink"/>
            <w:noProof/>
          </w:rPr>
          <w:t>1.1.</w:t>
        </w:r>
        <w:r w:rsidR="00206E69">
          <w:rPr>
            <w:rFonts w:eastAsiaTheme="minorEastAsia" w:cstheme="minorBidi"/>
            <w:noProof/>
            <w:sz w:val="22"/>
            <w:szCs w:val="22"/>
          </w:rPr>
          <w:tab/>
        </w:r>
        <w:r w:rsidR="00206E69" w:rsidRPr="009E7ABA">
          <w:rPr>
            <w:rStyle w:val="Hyperlink"/>
            <w:noProof/>
          </w:rPr>
          <w:t>Justificación</w:t>
        </w:r>
        <w:r w:rsidR="00206E69">
          <w:rPr>
            <w:noProof/>
            <w:webHidden/>
          </w:rPr>
          <w:tab/>
        </w:r>
        <w:r w:rsidR="00206E69">
          <w:rPr>
            <w:noProof/>
            <w:webHidden/>
          </w:rPr>
          <w:fldChar w:fldCharType="begin"/>
        </w:r>
        <w:r w:rsidR="00206E69">
          <w:rPr>
            <w:noProof/>
            <w:webHidden/>
          </w:rPr>
          <w:instrText xml:space="preserve"> PAGEREF _Toc53920805 \h </w:instrText>
        </w:r>
        <w:r w:rsidR="00206E69">
          <w:rPr>
            <w:noProof/>
            <w:webHidden/>
          </w:rPr>
        </w:r>
        <w:r w:rsidR="00206E69">
          <w:rPr>
            <w:noProof/>
            <w:webHidden/>
          </w:rPr>
          <w:fldChar w:fldCharType="separate"/>
        </w:r>
        <w:r w:rsidR="00206E69">
          <w:rPr>
            <w:noProof/>
            <w:webHidden/>
          </w:rPr>
          <w:t>7</w:t>
        </w:r>
        <w:r w:rsidR="00206E69">
          <w:rPr>
            <w:noProof/>
            <w:webHidden/>
          </w:rPr>
          <w:fldChar w:fldCharType="end"/>
        </w:r>
      </w:hyperlink>
    </w:p>
    <w:p w14:paraId="3DA985CD" w14:textId="505ED05D" w:rsidR="00206E69" w:rsidRDefault="00653888">
      <w:pPr>
        <w:pStyle w:val="TOC2"/>
        <w:tabs>
          <w:tab w:val="left" w:pos="880"/>
          <w:tab w:val="right" w:leader="dot" w:pos="9061"/>
        </w:tabs>
        <w:rPr>
          <w:rFonts w:eastAsiaTheme="minorEastAsia" w:cstheme="minorBidi"/>
          <w:noProof/>
          <w:sz w:val="22"/>
          <w:szCs w:val="22"/>
        </w:rPr>
      </w:pPr>
      <w:hyperlink w:anchor="_Toc53920806" w:history="1">
        <w:r w:rsidR="00206E69" w:rsidRPr="009E7ABA">
          <w:rPr>
            <w:rStyle w:val="Hyperlink"/>
            <w:noProof/>
          </w:rPr>
          <w:t>1.2.</w:t>
        </w:r>
        <w:r w:rsidR="00206E69">
          <w:rPr>
            <w:rFonts w:eastAsiaTheme="minorEastAsia" w:cstheme="minorBidi"/>
            <w:noProof/>
            <w:sz w:val="22"/>
            <w:szCs w:val="22"/>
          </w:rPr>
          <w:tab/>
        </w:r>
        <w:r w:rsidR="00206E69" w:rsidRPr="009E7ABA">
          <w:rPr>
            <w:rStyle w:val="Hyperlink"/>
            <w:noProof/>
          </w:rPr>
          <w:t>Conceptos básicos</w:t>
        </w:r>
        <w:r w:rsidR="00206E69">
          <w:rPr>
            <w:noProof/>
            <w:webHidden/>
          </w:rPr>
          <w:tab/>
        </w:r>
        <w:r w:rsidR="00206E69">
          <w:rPr>
            <w:noProof/>
            <w:webHidden/>
          </w:rPr>
          <w:fldChar w:fldCharType="begin"/>
        </w:r>
        <w:r w:rsidR="00206E69">
          <w:rPr>
            <w:noProof/>
            <w:webHidden/>
          </w:rPr>
          <w:instrText xml:space="preserve"> PAGEREF _Toc53920806 \h </w:instrText>
        </w:r>
        <w:r w:rsidR="00206E69">
          <w:rPr>
            <w:noProof/>
            <w:webHidden/>
          </w:rPr>
        </w:r>
        <w:r w:rsidR="00206E69">
          <w:rPr>
            <w:noProof/>
            <w:webHidden/>
          </w:rPr>
          <w:fldChar w:fldCharType="separate"/>
        </w:r>
        <w:r w:rsidR="00206E69">
          <w:rPr>
            <w:noProof/>
            <w:webHidden/>
          </w:rPr>
          <w:t>7</w:t>
        </w:r>
        <w:r w:rsidR="00206E69">
          <w:rPr>
            <w:noProof/>
            <w:webHidden/>
          </w:rPr>
          <w:fldChar w:fldCharType="end"/>
        </w:r>
      </w:hyperlink>
    </w:p>
    <w:p w14:paraId="2B7EE9C2" w14:textId="741B3889" w:rsidR="00206E69" w:rsidRDefault="00653888">
      <w:pPr>
        <w:pStyle w:val="TOC2"/>
        <w:tabs>
          <w:tab w:val="left" w:pos="880"/>
          <w:tab w:val="right" w:leader="dot" w:pos="9061"/>
        </w:tabs>
        <w:rPr>
          <w:rFonts w:eastAsiaTheme="minorEastAsia" w:cstheme="minorBidi"/>
          <w:noProof/>
          <w:sz w:val="22"/>
          <w:szCs w:val="22"/>
        </w:rPr>
      </w:pPr>
      <w:hyperlink w:anchor="_Toc53920807" w:history="1">
        <w:r w:rsidR="00206E69" w:rsidRPr="009E7ABA">
          <w:rPr>
            <w:rStyle w:val="Hyperlink"/>
            <w:noProof/>
          </w:rPr>
          <w:t>1.3.</w:t>
        </w:r>
        <w:r w:rsidR="00206E69">
          <w:rPr>
            <w:rFonts w:eastAsiaTheme="minorEastAsia" w:cstheme="minorBidi"/>
            <w:noProof/>
            <w:sz w:val="22"/>
            <w:szCs w:val="22"/>
          </w:rPr>
          <w:tab/>
        </w:r>
        <w:r w:rsidR="00206E69" w:rsidRPr="009E7ABA">
          <w:rPr>
            <w:rStyle w:val="Hyperlink"/>
            <w:noProof/>
          </w:rPr>
          <w:t>Estructura del trabajo</w:t>
        </w:r>
        <w:r w:rsidR="00206E69">
          <w:rPr>
            <w:noProof/>
            <w:webHidden/>
          </w:rPr>
          <w:tab/>
        </w:r>
        <w:r w:rsidR="00206E69">
          <w:rPr>
            <w:noProof/>
            <w:webHidden/>
          </w:rPr>
          <w:fldChar w:fldCharType="begin"/>
        </w:r>
        <w:r w:rsidR="00206E69">
          <w:rPr>
            <w:noProof/>
            <w:webHidden/>
          </w:rPr>
          <w:instrText xml:space="preserve"> PAGEREF _Toc53920807 \h </w:instrText>
        </w:r>
        <w:r w:rsidR="00206E69">
          <w:rPr>
            <w:noProof/>
            <w:webHidden/>
          </w:rPr>
        </w:r>
        <w:r w:rsidR="00206E69">
          <w:rPr>
            <w:noProof/>
            <w:webHidden/>
          </w:rPr>
          <w:fldChar w:fldCharType="separate"/>
        </w:r>
        <w:r w:rsidR="00206E69">
          <w:rPr>
            <w:noProof/>
            <w:webHidden/>
          </w:rPr>
          <w:t>7</w:t>
        </w:r>
        <w:r w:rsidR="00206E69">
          <w:rPr>
            <w:noProof/>
            <w:webHidden/>
          </w:rPr>
          <w:fldChar w:fldCharType="end"/>
        </w:r>
      </w:hyperlink>
    </w:p>
    <w:p w14:paraId="3EDA7A9D" w14:textId="56244F80" w:rsidR="00206E69" w:rsidRDefault="00653888">
      <w:pPr>
        <w:pStyle w:val="TOC2"/>
        <w:tabs>
          <w:tab w:val="left" w:pos="880"/>
          <w:tab w:val="right" w:leader="dot" w:pos="9061"/>
        </w:tabs>
        <w:rPr>
          <w:rFonts w:eastAsiaTheme="minorEastAsia" w:cstheme="minorBidi"/>
          <w:noProof/>
          <w:sz w:val="22"/>
          <w:szCs w:val="22"/>
        </w:rPr>
      </w:pPr>
      <w:hyperlink w:anchor="_Toc53920808" w:history="1">
        <w:r w:rsidR="00206E69" w:rsidRPr="009E7ABA">
          <w:rPr>
            <w:rStyle w:val="Hyperlink"/>
            <w:noProof/>
          </w:rPr>
          <w:t>1.4.</w:t>
        </w:r>
        <w:r w:rsidR="00206E69">
          <w:rPr>
            <w:rFonts w:eastAsiaTheme="minorEastAsia" w:cstheme="minorBidi"/>
            <w:noProof/>
            <w:sz w:val="22"/>
            <w:szCs w:val="22"/>
          </w:rPr>
          <w:tab/>
        </w:r>
        <w:r w:rsidR="00206E69" w:rsidRPr="009E7ABA">
          <w:rPr>
            <w:rStyle w:val="Hyperlink"/>
            <w:noProof/>
          </w:rPr>
          <w:t>“Título 2” del menú de estilos</w:t>
        </w:r>
        <w:r w:rsidR="00206E69">
          <w:rPr>
            <w:noProof/>
            <w:webHidden/>
          </w:rPr>
          <w:tab/>
        </w:r>
        <w:r w:rsidR="00206E69">
          <w:rPr>
            <w:noProof/>
            <w:webHidden/>
          </w:rPr>
          <w:fldChar w:fldCharType="begin"/>
        </w:r>
        <w:r w:rsidR="00206E69">
          <w:rPr>
            <w:noProof/>
            <w:webHidden/>
          </w:rPr>
          <w:instrText xml:space="preserve"> PAGEREF _Toc53920808 \h </w:instrText>
        </w:r>
        <w:r w:rsidR="00206E69">
          <w:rPr>
            <w:noProof/>
            <w:webHidden/>
          </w:rPr>
        </w:r>
        <w:r w:rsidR="00206E69">
          <w:rPr>
            <w:noProof/>
            <w:webHidden/>
          </w:rPr>
          <w:fldChar w:fldCharType="separate"/>
        </w:r>
        <w:r w:rsidR="00206E69">
          <w:rPr>
            <w:noProof/>
            <w:webHidden/>
          </w:rPr>
          <w:t>7</w:t>
        </w:r>
        <w:r w:rsidR="00206E69">
          <w:rPr>
            <w:noProof/>
            <w:webHidden/>
          </w:rPr>
          <w:fldChar w:fldCharType="end"/>
        </w:r>
      </w:hyperlink>
    </w:p>
    <w:p w14:paraId="5E9EA948" w14:textId="2F3759A9" w:rsidR="00206E69" w:rsidRDefault="00653888">
      <w:pPr>
        <w:pStyle w:val="TOC3"/>
        <w:tabs>
          <w:tab w:val="left" w:pos="1320"/>
          <w:tab w:val="right" w:leader="dot" w:pos="9061"/>
        </w:tabs>
        <w:rPr>
          <w:rFonts w:eastAsiaTheme="minorEastAsia" w:cstheme="minorBidi"/>
          <w:noProof/>
          <w:sz w:val="22"/>
          <w:szCs w:val="22"/>
        </w:rPr>
      </w:pPr>
      <w:hyperlink w:anchor="_Toc53920809" w:history="1">
        <w:r w:rsidR="00206E69" w:rsidRPr="009E7ABA">
          <w:rPr>
            <w:rStyle w:val="Hyperlink"/>
            <w:noProof/>
          </w:rPr>
          <w:t>1.4.1.</w:t>
        </w:r>
        <w:r w:rsidR="00206E69">
          <w:rPr>
            <w:rFonts w:eastAsiaTheme="minorEastAsia" w:cstheme="minorBidi"/>
            <w:noProof/>
            <w:sz w:val="22"/>
            <w:szCs w:val="22"/>
          </w:rPr>
          <w:tab/>
        </w:r>
        <w:r w:rsidR="00206E69" w:rsidRPr="009E7ABA">
          <w:rPr>
            <w:rStyle w:val="Hyperlink"/>
            <w:noProof/>
          </w:rPr>
          <w:t>“Título 3” del menú de estilos</w:t>
        </w:r>
        <w:r w:rsidR="00206E69">
          <w:rPr>
            <w:noProof/>
            <w:webHidden/>
          </w:rPr>
          <w:tab/>
        </w:r>
        <w:r w:rsidR="00206E69">
          <w:rPr>
            <w:noProof/>
            <w:webHidden/>
          </w:rPr>
          <w:fldChar w:fldCharType="begin"/>
        </w:r>
        <w:r w:rsidR="00206E69">
          <w:rPr>
            <w:noProof/>
            <w:webHidden/>
          </w:rPr>
          <w:instrText xml:space="preserve"> PAGEREF _Toc53920809 \h </w:instrText>
        </w:r>
        <w:r w:rsidR="00206E69">
          <w:rPr>
            <w:noProof/>
            <w:webHidden/>
          </w:rPr>
        </w:r>
        <w:r w:rsidR="00206E69">
          <w:rPr>
            <w:noProof/>
            <w:webHidden/>
          </w:rPr>
          <w:fldChar w:fldCharType="separate"/>
        </w:r>
        <w:r w:rsidR="00206E69">
          <w:rPr>
            <w:noProof/>
            <w:webHidden/>
          </w:rPr>
          <w:t>7</w:t>
        </w:r>
        <w:r w:rsidR="00206E69">
          <w:rPr>
            <w:noProof/>
            <w:webHidden/>
          </w:rPr>
          <w:fldChar w:fldCharType="end"/>
        </w:r>
      </w:hyperlink>
    </w:p>
    <w:p w14:paraId="07D11D9B" w14:textId="17FCB1B9" w:rsidR="00206E69" w:rsidRDefault="00653888">
      <w:pPr>
        <w:pStyle w:val="TOC3"/>
        <w:tabs>
          <w:tab w:val="left" w:pos="1320"/>
          <w:tab w:val="right" w:leader="dot" w:pos="9061"/>
        </w:tabs>
        <w:rPr>
          <w:rFonts w:eastAsiaTheme="minorEastAsia" w:cstheme="minorBidi"/>
          <w:noProof/>
          <w:sz w:val="22"/>
          <w:szCs w:val="22"/>
        </w:rPr>
      </w:pPr>
      <w:hyperlink w:anchor="_Toc53920810" w:history="1">
        <w:r w:rsidR="00206E69" w:rsidRPr="009E7ABA">
          <w:rPr>
            <w:rStyle w:val="Hyperlink"/>
            <w:noProof/>
          </w:rPr>
          <w:t>1.4.2.</w:t>
        </w:r>
        <w:r w:rsidR="00206E69">
          <w:rPr>
            <w:rFonts w:eastAsiaTheme="minorEastAsia" w:cstheme="minorBidi"/>
            <w:noProof/>
            <w:sz w:val="22"/>
            <w:szCs w:val="22"/>
          </w:rPr>
          <w:tab/>
        </w:r>
        <w:r w:rsidR="00206E69" w:rsidRPr="009E7ABA">
          <w:rPr>
            <w:rStyle w:val="Hyperlink"/>
            <w:noProof/>
          </w:rPr>
          <w:t>“Título 3” del menú de estilos</w:t>
        </w:r>
        <w:r w:rsidR="00206E69">
          <w:rPr>
            <w:noProof/>
            <w:webHidden/>
          </w:rPr>
          <w:tab/>
        </w:r>
        <w:r w:rsidR="00206E69">
          <w:rPr>
            <w:noProof/>
            <w:webHidden/>
          </w:rPr>
          <w:fldChar w:fldCharType="begin"/>
        </w:r>
        <w:r w:rsidR="00206E69">
          <w:rPr>
            <w:noProof/>
            <w:webHidden/>
          </w:rPr>
          <w:instrText xml:space="preserve"> PAGEREF _Toc53920810 \h </w:instrText>
        </w:r>
        <w:r w:rsidR="00206E69">
          <w:rPr>
            <w:noProof/>
            <w:webHidden/>
          </w:rPr>
        </w:r>
        <w:r w:rsidR="00206E69">
          <w:rPr>
            <w:noProof/>
            <w:webHidden/>
          </w:rPr>
          <w:fldChar w:fldCharType="separate"/>
        </w:r>
        <w:r w:rsidR="00206E69">
          <w:rPr>
            <w:noProof/>
            <w:webHidden/>
          </w:rPr>
          <w:t>7</w:t>
        </w:r>
        <w:r w:rsidR="00206E69">
          <w:rPr>
            <w:noProof/>
            <w:webHidden/>
          </w:rPr>
          <w:fldChar w:fldCharType="end"/>
        </w:r>
      </w:hyperlink>
    </w:p>
    <w:p w14:paraId="7C696CBE" w14:textId="78015511" w:rsidR="00206E69" w:rsidRDefault="00653888">
      <w:pPr>
        <w:pStyle w:val="TOC1"/>
        <w:tabs>
          <w:tab w:val="left" w:pos="440"/>
          <w:tab w:val="right" w:leader="dot" w:pos="9061"/>
        </w:tabs>
        <w:rPr>
          <w:rFonts w:eastAsiaTheme="minorEastAsia" w:cstheme="minorBidi"/>
          <w:noProof/>
          <w:sz w:val="22"/>
          <w:szCs w:val="22"/>
        </w:rPr>
      </w:pPr>
      <w:hyperlink w:anchor="_Toc53920811" w:history="1">
        <w:r w:rsidR="00206E69" w:rsidRPr="009E7ABA">
          <w:rPr>
            <w:rStyle w:val="Hyperlink"/>
            <w:noProof/>
          </w:rPr>
          <w:t>2.</w:t>
        </w:r>
        <w:r w:rsidR="00206E69">
          <w:rPr>
            <w:rFonts w:eastAsiaTheme="minorEastAsia" w:cstheme="minorBidi"/>
            <w:noProof/>
            <w:sz w:val="22"/>
            <w:szCs w:val="22"/>
          </w:rPr>
          <w:tab/>
        </w:r>
        <w:r w:rsidR="00206E69" w:rsidRPr="009E7ABA">
          <w:rPr>
            <w:rStyle w:val="Hyperlink"/>
            <w:noProof/>
          </w:rPr>
          <w:t>Contexto y estado del arte</w:t>
        </w:r>
        <w:r w:rsidR="00206E69">
          <w:rPr>
            <w:noProof/>
            <w:webHidden/>
          </w:rPr>
          <w:tab/>
        </w:r>
        <w:r w:rsidR="00206E69">
          <w:rPr>
            <w:noProof/>
            <w:webHidden/>
          </w:rPr>
          <w:fldChar w:fldCharType="begin"/>
        </w:r>
        <w:r w:rsidR="00206E69">
          <w:rPr>
            <w:noProof/>
            <w:webHidden/>
          </w:rPr>
          <w:instrText xml:space="preserve"> PAGEREF _Toc53920811 \h </w:instrText>
        </w:r>
        <w:r w:rsidR="00206E69">
          <w:rPr>
            <w:noProof/>
            <w:webHidden/>
          </w:rPr>
        </w:r>
        <w:r w:rsidR="00206E69">
          <w:rPr>
            <w:noProof/>
            <w:webHidden/>
          </w:rPr>
          <w:fldChar w:fldCharType="separate"/>
        </w:r>
        <w:r w:rsidR="00206E69">
          <w:rPr>
            <w:noProof/>
            <w:webHidden/>
          </w:rPr>
          <w:t>9</w:t>
        </w:r>
        <w:r w:rsidR="00206E69">
          <w:rPr>
            <w:noProof/>
            <w:webHidden/>
          </w:rPr>
          <w:fldChar w:fldCharType="end"/>
        </w:r>
      </w:hyperlink>
    </w:p>
    <w:p w14:paraId="737DA005" w14:textId="32029FEB" w:rsidR="00206E69" w:rsidRDefault="00653888">
      <w:pPr>
        <w:pStyle w:val="TOC1"/>
        <w:tabs>
          <w:tab w:val="left" w:pos="440"/>
          <w:tab w:val="right" w:leader="dot" w:pos="9061"/>
        </w:tabs>
        <w:rPr>
          <w:rFonts w:eastAsiaTheme="minorEastAsia" w:cstheme="minorBidi"/>
          <w:noProof/>
          <w:sz w:val="22"/>
          <w:szCs w:val="22"/>
        </w:rPr>
      </w:pPr>
      <w:hyperlink w:anchor="_Toc53920812" w:history="1">
        <w:r w:rsidR="00206E69" w:rsidRPr="009E7ABA">
          <w:rPr>
            <w:rStyle w:val="Hyperlink"/>
            <w:noProof/>
          </w:rPr>
          <w:t>3.</w:t>
        </w:r>
        <w:r w:rsidR="00206E69">
          <w:rPr>
            <w:rFonts w:eastAsiaTheme="minorEastAsia" w:cstheme="minorBidi"/>
            <w:noProof/>
            <w:sz w:val="22"/>
            <w:szCs w:val="22"/>
          </w:rPr>
          <w:tab/>
        </w:r>
        <w:r w:rsidR="00206E69" w:rsidRPr="009E7ABA">
          <w:rPr>
            <w:rStyle w:val="Hyperlink"/>
            <w:noProof/>
          </w:rPr>
          <w:t>Aplicaciones del estudio que se lleva a cabo</w:t>
        </w:r>
        <w:r w:rsidR="00206E69">
          <w:rPr>
            <w:noProof/>
            <w:webHidden/>
          </w:rPr>
          <w:tab/>
        </w:r>
        <w:r w:rsidR="00206E69">
          <w:rPr>
            <w:noProof/>
            <w:webHidden/>
          </w:rPr>
          <w:fldChar w:fldCharType="begin"/>
        </w:r>
        <w:r w:rsidR="00206E69">
          <w:rPr>
            <w:noProof/>
            <w:webHidden/>
          </w:rPr>
          <w:instrText xml:space="preserve"> PAGEREF _Toc53920812 \h </w:instrText>
        </w:r>
        <w:r w:rsidR="00206E69">
          <w:rPr>
            <w:noProof/>
            <w:webHidden/>
          </w:rPr>
        </w:r>
        <w:r w:rsidR="00206E69">
          <w:rPr>
            <w:noProof/>
            <w:webHidden/>
          </w:rPr>
          <w:fldChar w:fldCharType="separate"/>
        </w:r>
        <w:r w:rsidR="00206E69">
          <w:rPr>
            <w:noProof/>
            <w:webHidden/>
          </w:rPr>
          <w:t>10</w:t>
        </w:r>
        <w:r w:rsidR="00206E69">
          <w:rPr>
            <w:noProof/>
            <w:webHidden/>
          </w:rPr>
          <w:fldChar w:fldCharType="end"/>
        </w:r>
      </w:hyperlink>
    </w:p>
    <w:p w14:paraId="3570C858" w14:textId="5A52CEF7" w:rsidR="00206E69" w:rsidRDefault="00653888">
      <w:pPr>
        <w:pStyle w:val="TOC1"/>
        <w:tabs>
          <w:tab w:val="left" w:pos="440"/>
          <w:tab w:val="right" w:leader="dot" w:pos="9061"/>
        </w:tabs>
        <w:rPr>
          <w:rFonts w:eastAsiaTheme="minorEastAsia" w:cstheme="minorBidi"/>
          <w:noProof/>
          <w:sz w:val="22"/>
          <w:szCs w:val="22"/>
        </w:rPr>
      </w:pPr>
      <w:hyperlink w:anchor="_Toc53920813" w:history="1">
        <w:r w:rsidR="00206E69" w:rsidRPr="009E7ABA">
          <w:rPr>
            <w:rStyle w:val="Hyperlink"/>
            <w:noProof/>
          </w:rPr>
          <w:t>4.</w:t>
        </w:r>
        <w:r w:rsidR="00206E69">
          <w:rPr>
            <w:rFonts w:eastAsiaTheme="minorEastAsia" w:cstheme="minorBidi"/>
            <w:noProof/>
            <w:sz w:val="22"/>
            <w:szCs w:val="22"/>
          </w:rPr>
          <w:tab/>
        </w:r>
        <w:r w:rsidR="00206E69" w:rsidRPr="009E7ABA">
          <w:rPr>
            <w:rStyle w:val="Hyperlink"/>
            <w:noProof/>
          </w:rPr>
          <w:t>Objetivos</w:t>
        </w:r>
        <w:r w:rsidR="00206E69">
          <w:rPr>
            <w:noProof/>
            <w:webHidden/>
          </w:rPr>
          <w:tab/>
        </w:r>
        <w:r w:rsidR="00206E69">
          <w:rPr>
            <w:noProof/>
            <w:webHidden/>
          </w:rPr>
          <w:fldChar w:fldCharType="begin"/>
        </w:r>
        <w:r w:rsidR="00206E69">
          <w:rPr>
            <w:noProof/>
            <w:webHidden/>
          </w:rPr>
          <w:instrText xml:space="preserve"> PAGEREF _Toc53920813 \h </w:instrText>
        </w:r>
        <w:r w:rsidR="00206E69">
          <w:rPr>
            <w:noProof/>
            <w:webHidden/>
          </w:rPr>
        </w:r>
        <w:r w:rsidR="00206E69">
          <w:rPr>
            <w:noProof/>
            <w:webHidden/>
          </w:rPr>
          <w:fldChar w:fldCharType="separate"/>
        </w:r>
        <w:r w:rsidR="00206E69">
          <w:rPr>
            <w:noProof/>
            <w:webHidden/>
          </w:rPr>
          <w:t>11</w:t>
        </w:r>
        <w:r w:rsidR="00206E69">
          <w:rPr>
            <w:noProof/>
            <w:webHidden/>
          </w:rPr>
          <w:fldChar w:fldCharType="end"/>
        </w:r>
      </w:hyperlink>
    </w:p>
    <w:p w14:paraId="42C29A6E" w14:textId="4D3B82BF" w:rsidR="00206E69" w:rsidRDefault="00653888">
      <w:pPr>
        <w:pStyle w:val="TOC1"/>
        <w:tabs>
          <w:tab w:val="left" w:pos="440"/>
          <w:tab w:val="right" w:leader="dot" w:pos="9061"/>
        </w:tabs>
        <w:rPr>
          <w:rFonts w:eastAsiaTheme="minorEastAsia" w:cstheme="minorBidi"/>
          <w:noProof/>
          <w:sz w:val="22"/>
          <w:szCs w:val="22"/>
        </w:rPr>
      </w:pPr>
      <w:hyperlink w:anchor="_Toc53920814" w:history="1">
        <w:r w:rsidR="00206E69" w:rsidRPr="009E7ABA">
          <w:rPr>
            <w:rStyle w:val="Hyperlink"/>
            <w:noProof/>
          </w:rPr>
          <w:t>5.</w:t>
        </w:r>
        <w:r w:rsidR="00206E69">
          <w:rPr>
            <w:rFonts w:eastAsiaTheme="minorEastAsia" w:cstheme="minorBidi"/>
            <w:noProof/>
            <w:sz w:val="22"/>
            <w:szCs w:val="22"/>
          </w:rPr>
          <w:tab/>
        </w:r>
        <w:r w:rsidR="00206E69" w:rsidRPr="009E7ABA">
          <w:rPr>
            <w:rStyle w:val="Hyperlink"/>
            <w:noProof/>
          </w:rPr>
          <w:t>Descripción de la contribución</w:t>
        </w:r>
        <w:r w:rsidR="00206E69">
          <w:rPr>
            <w:noProof/>
            <w:webHidden/>
          </w:rPr>
          <w:tab/>
        </w:r>
        <w:r w:rsidR="00206E69">
          <w:rPr>
            <w:noProof/>
            <w:webHidden/>
          </w:rPr>
          <w:fldChar w:fldCharType="begin"/>
        </w:r>
        <w:r w:rsidR="00206E69">
          <w:rPr>
            <w:noProof/>
            <w:webHidden/>
          </w:rPr>
          <w:instrText xml:space="preserve"> PAGEREF _Toc53920814 \h </w:instrText>
        </w:r>
        <w:r w:rsidR="00206E69">
          <w:rPr>
            <w:noProof/>
            <w:webHidden/>
          </w:rPr>
        </w:r>
        <w:r w:rsidR="00206E69">
          <w:rPr>
            <w:noProof/>
            <w:webHidden/>
          </w:rPr>
          <w:fldChar w:fldCharType="separate"/>
        </w:r>
        <w:r w:rsidR="00206E69">
          <w:rPr>
            <w:noProof/>
            <w:webHidden/>
          </w:rPr>
          <w:t>12</w:t>
        </w:r>
        <w:r w:rsidR="00206E69">
          <w:rPr>
            <w:noProof/>
            <w:webHidden/>
          </w:rPr>
          <w:fldChar w:fldCharType="end"/>
        </w:r>
      </w:hyperlink>
    </w:p>
    <w:p w14:paraId="3EAB4C39" w14:textId="3F34A176" w:rsidR="00206E69" w:rsidRDefault="00653888">
      <w:pPr>
        <w:pStyle w:val="TOC1"/>
        <w:tabs>
          <w:tab w:val="left" w:pos="440"/>
          <w:tab w:val="right" w:leader="dot" w:pos="9061"/>
        </w:tabs>
        <w:rPr>
          <w:rFonts w:eastAsiaTheme="minorEastAsia" w:cstheme="minorBidi"/>
          <w:noProof/>
          <w:sz w:val="22"/>
          <w:szCs w:val="22"/>
        </w:rPr>
      </w:pPr>
      <w:hyperlink w:anchor="_Toc53920815" w:history="1">
        <w:r w:rsidR="00206E69" w:rsidRPr="009E7ABA">
          <w:rPr>
            <w:rStyle w:val="Hyperlink"/>
            <w:noProof/>
          </w:rPr>
          <w:t>6.</w:t>
        </w:r>
        <w:r w:rsidR="00206E69">
          <w:rPr>
            <w:rFonts w:eastAsiaTheme="minorEastAsia" w:cstheme="minorBidi"/>
            <w:noProof/>
            <w:sz w:val="22"/>
            <w:szCs w:val="22"/>
          </w:rPr>
          <w:tab/>
        </w:r>
        <w:r w:rsidR="00206E69" w:rsidRPr="009E7ABA">
          <w:rPr>
            <w:rStyle w:val="Hyperlink"/>
            <w:noProof/>
          </w:rPr>
          <w:t>Conclusiones y trabajo futuro</w:t>
        </w:r>
        <w:r w:rsidR="00206E69">
          <w:rPr>
            <w:noProof/>
            <w:webHidden/>
          </w:rPr>
          <w:tab/>
        </w:r>
        <w:r w:rsidR="00206E69">
          <w:rPr>
            <w:noProof/>
            <w:webHidden/>
          </w:rPr>
          <w:fldChar w:fldCharType="begin"/>
        </w:r>
        <w:r w:rsidR="00206E69">
          <w:rPr>
            <w:noProof/>
            <w:webHidden/>
          </w:rPr>
          <w:instrText xml:space="preserve"> PAGEREF _Toc53920815 \h </w:instrText>
        </w:r>
        <w:r w:rsidR="00206E69">
          <w:rPr>
            <w:noProof/>
            <w:webHidden/>
          </w:rPr>
        </w:r>
        <w:r w:rsidR="00206E69">
          <w:rPr>
            <w:noProof/>
            <w:webHidden/>
          </w:rPr>
          <w:fldChar w:fldCharType="separate"/>
        </w:r>
        <w:r w:rsidR="00206E69">
          <w:rPr>
            <w:noProof/>
            <w:webHidden/>
          </w:rPr>
          <w:t>13</w:t>
        </w:r>
        <w:r w:rsidR="00206E69">
          <w:rPr>
            <w:noProof/>
            <w:webHidden/>
          </w:rPr>
          <w:fldChar w:fldCharType="end"/>
        </w:r>
      </w:hyperlink>
    </w:p>
    <w:p w14:paraId="4C97ED84" w14:textId="36DA7877" w:rsidR="00206E69" w:rsidRDefault="00653888">
      <w:pPr>
        <w:pStyle w:val="TOC2"/>
        <w:tabs>
          <w:tab w:val="left" w:pos="880"/>
          <w:tab w:val="right" w:leader="dot" w:pos="9061"/>
        </w:tabs>
        <w:rPr>
          <w:rFonts w:eastAsiaTheme="minorEastAsia" w:cstheme="minorBidi"/>
          <w:noProof/>
          <w:sz w:val="22"/>
          <w:szCs w:val="22"/>
        </w:rPr>
      </w:pPr>
      <w:hyperlink w:anchor="_Toc53920816" w:history="1">
        <w:r w:rsidR="00206E69" w:rsidRPr="009E7ABA">
          <w:rPr>
            <w:rStyle w:val="Hyperlink"/>
            <w:noProof/>
          </w:rPr>
          <w:t>6.1.</w:t>
        </w:r>
        <w:r w:rsidR="00206E69">
          <w:rPr>
            <w:rFonts w:eastAsiaTheme="minorEastAsia" w:cstheme="minorBidi"/>
            <w:noProof/>
            <w:sz w:val="22"/>
            <w:szCs w:val="22"/>
          </w:rPr>
          <w:tab/>
        </w:r>
        <w:r w:rsidR="00206E69" w:rsidRPr="009E7ABA">
          <w:rPr>
            <w:rStyle w:val="Hyperlink"/>
            <w:noProof/>
          </w:rPr>
          <w:t>Conclusiones</w:t>
        </w:r>
        <w:r w:rsidR="00206E69">
          <w:rPr>
            <w:noProof/>
            <w:webHidden/>
          </w:rPr>
          <w:tab/>
        </w:r>
        <w:r w:rsidR="00206E69">
          <w:rPr>
            <w:noProof/>
            <w:webHidden/>
          </w:rPr>
          <w:fldChar w:fldCharType="begin"/>
        </w:r>
        <w:r w:rsidR="00206E69">
          <w:rPr>
            <w:noProof/>
            <w:webHidden/>
          </w:rPr>
          <w:instrText xml:space="preserve"> PAGEREF _Toc53920816 \h </w:instrText>
        </w:r>
        <w:r w:rsidR="00206E69">
          <w:rPr>
            <w:noProof/>
            <w:webHidden/>
          </w:rPr>
        </w:r>
        <w:r w:rsidR="00206E69">
          <w:rPr>
            <w:noProof/>
            <w:webHidden/>
          </w:rPr>
          <w:fldChar w:fldCharType="separate"/>
        </w:r>
        <w:r w:rsidR="00206E69">
          <w:rPr>
            <w:noProof/>
            <w:webHidden/>
          </w:rPr>
          <w:t>13</w:t>
        </w:r>
        <w:r w:rsidR="00206E69">
          <w:rPr>
            <w:noProof/>
            <w:webHidden/>
          </w:rPr>
          <w:fldChar w:fldCharType="end"/>
        </w:r>
      </w:hyperlink>
    </w:p>
    <w:p w14:paraId="7B7FAD60" w14:textId="66210CEF" w:rsidR="00206E69" w:rsidRDefault="00653888">
      <w:pPr>
        <w:pStyle w:val="TOC2"/>
        <w:tabs>
          <w:tab w:val="left" w:pos="880"/>
          <w:tab w:val="right" w:leader="dot" w:pos="9061"/>
        </w:tabs>
        <w:rPr>
          <w:rFonts w:eastAsiaTheme="minorEastAsia" w:cstheme="minorBidi"/>
          <w:noProof/>
          <w:sz w:val="22"/>
          <w:szCs w:val="22"/>
        </w:rPr>
      </w:pPr>
      <w:hyperlink w:anchor="_Toc53920817" w:history="1">
        <w:r w:rsidR="00206E69" w:rsidRPr="009E7ABA">
          <w:rPr>
            <w:rStyle w:val="Hyperlink"/>
            <w:noProof/>
          </w:rPr>
          <w:t>6.2.</w:t>
        </w:r>
        <w:r w:rsidR="00206E69">
          <w:rPr>
            <w:rFonts w:eastAsiaTheme="minorEastAsia" w:cstheme="minorBidi"/>
            <w:noProof/>
            <w:sz w:val="22"/>
            <w:szCs w:val="22"/>
          </w:rPr>
          <w:tab/>
        </w:r>
        <w:r w:rsidR="00206E69" w:rsidRPr="009E7ABA">
          <w:rPr>
            <w:rStyle w:val="Hyperlink"/>
            <w:noProof/>
          </w:rPr>
          <w:t>Líneas de trabajo futuro</w:t>
        </w:r>
        <w:r w:rsidR="00206E69">
          <w:rPr>
            <w:noProof/>
            <w:webHidden/>
          </w:rPr>
          <w:tab/>
        </w:r>
        <w:r w:rsidR="00206E69">
          <w:rPr>
            <w:noProof/>
            <w:webHidden/>
          </w:rPr>
          <w:fldChar w:fldCharType="begin"/>
        </w:r>
        <w:r w:rsidR="00206E69">
          <w:rPr>
            <w:noProof/>
            <w:webHidden/>
          </w:rPr>
          <w:instrText xml:space="preserve"> PAGEREF _Toc53920817 \h </w:instrText>
        </w:r>
        <w:r w:rsidR="00206E69">
          <w:rPr>
            <w:noProof/>
            <w:webHidden/>
          </w:rPr>
        </w:r>
        <w:r w:rsidR="00206E69">
          <w:rPr>
            <w:noProof/>
            <w:webHidden/>
          </w:rPr>
          <w:fldChar w:fldCharType="separate"/>
        </w:r>
        <w:r w:rsidR="00206E69">
          <w:rPr>
            <w:noProof/>
            <w:webHidden/>
          </w:rPr>
          <w:t>13</w:t>
        </w:r>
        <w:r w:rsidR="00206E69">
          <w:rPr>
            <w:noProof/>
            <w:webHidden/>
          </w:rPr>
          <w:fldChar w:fldCharType="end"/>
        </w:r>
      </w:hyperlink>
    </w:p>
    <w:p w14:paraId="6C2B4691" w14:textId="494D0554" w:rsidR="00206E69" w:rsidRDefault="00653888">
      <w:pPr>
        <w:pStyle w:val="TOC1"/>
        <w:tabs>
          <w:tab w:val="right" w:leader="dot" w:pos="9061"/>
        </w:tabs>
        <w:rPr>
          <w:rFonts w:eastAsiaTheme="minorEastAsia" w:cstheme="minorBidi"/>
          <w:noProof/>
          <w:sz w:val="22"/>
          <w:szCs w:val="22"/>
        </w:rPr>
      </w:pPr>
      <w:hyperlink w:anchor="_Toc53920818" w:history="1">
        <w:r w:rsidR="00206E69" w:rsidRPr="009E7ABA">
          <w:rPr>
            <w:rStyle w:val="Hyperlink"/>
            <w:noProof/>
          </w:rPr>
          <w:t>Referencias bibliográficas</w:t>
        </w:r>
        <w:r w:rsidR="00206E69">
          <w:rPr>
            <w:noProof/>
            <w:webHidden/>
          </w:rPr>
          <w:tab/>
        </w:r>
        <w:r w:rsidR="00206E69">
          <w:rPr>
            <w:noProof/>
            <w:webHidden/>
          </w:rPr>
          <w:fldChar w:fldCharType="begin"/>
        </w:r>
        <w:r w:rsidR="00206E69">
          <w:rPr>
            <w:noProof/>
            <w:webHidden/>
          </w:rPr>
          <w:instrText xml:space="preserve"> PAGEREF _Toc53920818 \h </w:instrText>
        </w:r>
        <w:r w:rsidR="00206E69">
          <w:rPr>
            <w:noProof/>
            <w:webHidden/>
          </w:rPr>
        </w:r>
        <w:r w:rsidR="00206E69">
          <w:rPr>
            <w:noProof/>
            <w:webHidden/>
          </w:rPr>
          <w:fldChar w:fldCharType="separate"/>
        </w:r>
        <w:r w:rsidR="00206E69">
          <w:rPr>
            <w:noProof/>
            <w:webHidden/>
          </w:rPr>
          <w:t>14</w:t>
        </w:r>
        <w:r w:rsidR="00206E69">
          <w:rPr>
            <w:noProof/>
            <w:webHidden/>
          </w:rPr>
          <w:fldChar w:fldCharType="end"/>
        </w:r>
      </w:hyperlink>
    </w:p>
    <w:p w14:paraId="533F0AE8" w14:textId="62609BFE" w:rsidR="00206E69" w:rsidRDefault="00653888">
      <w:pPr>
        <w:pStyle w:val="TOC1"/>
        <w:tabs>
          <w:tab w:val="right" w:leader="dot" w:pos="9061"/>
        </w:tabs>
        <w:rPr>
          <w:rFonts w:eastAsiaTheme="minorEastAsia" w:cstheme="minorBidi"/>
          <w:noProof/>
          <w:sz w:val="22"/>
          <w:szCs w:val="22"/>
        </w:rPr>
      </w:pPr>
      <w:hyperlink w:anchor="_Toc53920819" w:history="1">
        <w:r w:rsidR="00206E69" w:rsidRPr="009E7ABA">
          <w:rPr>
            <w:rStyle w:val="Hyperlink"/>
            <w:noProof/>
          </w:rPr>
          <w:t>Anexo I. Artículo</w:t>
        </w:r>
        <w:r w:rsidR="00206E69">
          <w:rPr>
            <w:noProof/>
            <w:webHidden/>
          </w:rPr>
          <w:tab/>
        </w:r>
        <w:r w:rsidR="00206E69">
          <w:rPr>
            <w:noProof/>
            <w:webHidden/>
          </w:rPr>
          <w:fldChar w:fldCharType="begin"/>
        </w:r>
        <w:r w:rsidR="00206E69">
          <w:rPr>
            <w:noProof/>
            <w:webHidden/>
          </w:rPr>
          <w:instrText xml:space="preserve"> PAGEREF _Toc53920819 \h </w:instrText>
        </w:r>
        <w:r w:rsidR="00206E69">
          <w:rPr>
            <w:noProof/>
            <w:webHidden/>
          </w:rPr>
        </w:r>
        <w:r w:rsidR="00206E69">
          <w:rPr>
            <w:noProof/>
            <w:webHidden/>
          </w:rPr>
          <w:fldChar w:fldCharType="separate"/>
        </w:r>
        <w:r w:rsidR="00206E69">
          <w:rPr>
            <w:noProof/>
            <w:webHidden/>
          </w:rPr>
          <w:t>15</w:t>
        </w:r>
        <w:r w:rsidR="00206E69">
          <w:rPr>
            <w:noProof/>
            <w:webHidden/>
          </w:rPr>
          <w:fldChar w:fldCharType="end"/>
        </w:r>
      </w:hyperlink>
    </w:p>
    <w:p w14:paraId="5177810C" w14:textId="34924537" w:rsidR="005D549B" w:rsidRPr="00727AE8" w:rsidRDefault="00423E85" w:rsidP="006403BD">
      <w:pPr>
        <w:pStyle w:val="Ttulondices"/>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p>
    <w:p w14:paraId="084B2634" w14:textId="0CA24178" w:rsidR="00206E69" w:rsidRDefault="00C10A65">
      <w:pPr>
        <w:pStyle w:val="TOC1"/>
        <w:tabs>
          <w:tab w:val="right" w:leader="dot" w:pos="9061"/>
        </w:tabs>
        <w:rPr>
          <w:rFonts w:eastAsiaTheme="minorEastAsia" w:cstheme="minorBidi"/>
          <w:noProof/>
          <w:sz w:val="22"/>
          <w:szCs w:val="22"/>
        </w:rPr>
      </w:pPr>
      <w:r w:rsidRPr="00B34BF5">
        <w:rPr>
          <w:rFonts w:cs="Arial"/>
          <w:highlight w:val="yellow"/>
        </w:rPr>
        <w:fldChar w:fldCharType="begin"/>
      </w:r>
      <w:r w:rsidRPr="00B34BF5">
        <w:rPr>
          <w:rFonts w:cs="Arial"/>
          <w:highlight w:val="yellow"/>
        </w:rPr>
        <w:instrText xml:space="preserve"> TOC \f \h \z \t "Título 9;1;Figuras;1" </w:instrText>
      </w:r>
      <w:r w:rsidRPr="00B34BF5">
        <w:rPr>
          <w:rFonts w:cs="Arial"/>
          <w:highlight w:val="yellow"/>
        </w:rPr>
        <w:fldChar w:fldCharType="separate"/>
      </w:r>
      <w:hyperlink w:anchor="_Toc53920771" w:history="1">
        <w:r w:rsidR="00206E69" w:rsidRPr="008B2E9C">
          <w:rPr>
            <w:rStyle w:val="Hyperlink"/>
            <w:noProof/>
          </w:rPr>
          <w:t>Figura 1. “Figuras” del menú de estilos. (Elaboración propia)</w:t>
        </w:r>
        <w:r w:rsidR="00206E69">
          <w:rPr>
            <w:noProof/>
            <w:webHidden/>
          </w:rPr>
          <w:tab/>
        </w:r>
        <w:r w:rsidR="00206E69">
          <w:rPr>
            <w:noProof/>
            <w:webHidden/>
          </w:rPr>
          <w:fldChar w:fldCharType="begin"/>
        </w:r>
        <w:r w:rsidR="00206E69">
          <w:rPr>
            <w:noProof/>
            <w:webHidden/>
          </w:rPr>
          <w:instrText xml:space="preserve"> PAGEREF _Toc53920771 \h </w:instrText>
        </w:r>
        <w:r w:rsidR="00206E69">
          <w:rPr>
            <w:noProof/>
            <w:webHidden/>
          </w:rPr>
        </w:r>
        <w:r w:rsidR="00206E69">
          <w:rPr>
            <w:noProof/>
            <w:webHidden/>
          </w:rPr>
          <w:fldChar w:fldCharType="separate"/>
        </w:r>
        <w:r w:rsidR="00206E69">
          <w:rPr>
            <w:noProof/>
            <w:webHidden/>
          </w:rPr>
          <w:t>8</w:t>
        </w:r>
        <w:r w:rsidR="00206E69">
          <w:rPr>
            <w:noProof/>
            <w:webHidden/>
          </w:rPr>
          <w:fldChar w:fldCharType="end"/>
        </w:r>
      </w:hyperlink>
    </w:p>
    <w:p w14:paraId="0BBA519A" w14:textId="46054CD1" w:rsidR="005D549B" w:rsidRDefault="00C10A65" w:rsidP="006403BD">
      <w:r w:rsidRPr="00B34BF5">
        <w:rPr>
          <w:highlight w:val="yellow"/>
        </w:rP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6AA7A2D8" w14:textId="6CC4C9F0" w:rsidR="00A976F0" w:rsidRPr="003F24BC" w:rsidRDefault="005D549B" w:rsidP="006403BD">
      <w:pPr>
        <w:pStyle w:val="Ttulondices"/>
      </w:pPr>
      <w:r w:rsidRPr="00727AE8">
        <w:br w:type="page"/>
      </w:r>
      <w:r w:rsidR="003F24BC">
        <w:lastRenderedPageBreak/>
        <w:t>Í</w:t>
      </w:r>
      <w:r w:rsidR="00194057" w:rsidRPr="003F24BC">
        <w:t>ndice de tablas</w:t>
      </w:r>
    </w:p>
    <w:p w14:paraId="066C2878" w14:textId="1CD3A4FF" w:rsidR="00206E69" w:rsidRDefault="00C10A65">
      <w:pPr>
        <w:pStyle w:val="TableofFigures"/>
        <w:tabs>
          <w:tab w:val="right" w:leader="dot" w:pos="9061"/>
        </w:tabs>
        <w:rPr>
          <w:rFonts w:eastAsiaTheme="minorEastAsia" w:cstheme="minorBidi"/>
          <w:noProof/>
          <w:sz w:val="22"/>
          <w:szCs w:val="22"/>
        </w:rPr>
      </w:pPr>
      <w:r w:rsidRPr="00B56FB6">
        <w:fldChar w:fldCharType="begin"/>
      </w:r>
      <w:r w:rsidRPr="00B56FB6">
        <w:instrText xml:space="preserve"> TOC \h \z \t "Título de TDC;Tablas" \c </w:instrText>
      </w:r>
      <w:r w:rsidRPr="00B56FB6">
        <w:fldChar w:fldCharType="separate"/>
      </w:r>
      <w:hyperlink w:anchor="_Toc53920765" w:history="1">
        <w:r w:rsidR="00206E69" w:rsidRPr="00D16D47">
          <w:rPr>
            <w:rStyle w:val="Hyperlink"/>
            <w:noProof/>
          </w:rPr>
          <w:t>Tabla 1. “Tablas” del menú de estilos</w:t>
        </w:r>
        <w:r w:rsidR="00206E69">
          <w:rPr>
            <w:noProof/>
            <w:webHidden/>
          </w:rPr>
          <w:tab/>
        </w:r>
        <w:r w:rsidR="00206E69">
          <w:rPr>
            <w:noProof/>
            <w:webHidden/>
          </w:rPr>
          <w:fldChar w:fldCharType="begin"/>
        </w:r>
        <w:r w:rsidR="00206E69">
          <w:rPr>
            <w:noProof/>
            <w:webHidden/>
          </w:rPr>
          <w:instrText xml:space="preserve"> PAGEREF _Toc53920765 \h </w:instrText>
        </w:r>
        <w:r w:rsidR="00206E69">
          <w:rPr>
            <w:noProof/>
            <w:webHidden/>
          </w:rPr>
        </w:r>
        <w:r w:rsidR="00206E69">
          <w:rPr>
            <w:noProof/>
            <w:webHidden/>
          </w:rPr>
          <w:fldChar w:fldCharType="separate"/>
        </w:r>
        <w:r w:rsidR="00206E69">
          <w:rPr>
            <w:noProof/>
            <w:webHidden/>
          </w:rPr>
          <w:t>8</w:t>
        </w:r>
        <w:r w:rsidR="00206E69">
          <w:rPr>
            <w:noProof/>
            <w:webHidden/>
          </w:rPr>
          <w:fldChar w:fldCharType="end"/>
        </w:r>
      </w:hyperlink>
    </w:p>
    <w:p w14:paraId="111F1A94" w14:textId="7E59295B" w:rsidR="005D549B" w:rsidRPr="00727AE8" w:rsidRDefault="00C10A65" w:rsidP="006403BD">
      <w:pPr>
        <w:pStyle w:val="TOCHeading"/>
      </w:pPr>
      <w:r w:rsidRPr="00B56FB6">
        <w:fldChar w:fldCharType="end"/>
      </w:r>
    </w:p>
    <w:p w14:paraId="714B5BC8" w14:textId="77777777" w:rsidR="005D549B" w:rsidRPr="00727AE8" w:rsidRDefault="005D549B" w:rsidP="006403BD"/>
    <w:p w14:paraId="730CF473" w14:textId="45BCCBC6" w:rsidR="00C84740" w:rsidRPr="000D09A0" w:rsidRDefault="00A976F0" w:rsidP="000D09A0">
      <w:pPr>
        <w:pStyle w:val="Heading1"/>
      </w:pPr>
      <w:r w:rsidRPr="00727AE8">
        <w:br w:type="page"/>
      </w:r>
      <w:bookmarkStart w:id="1" w:name="_Toc53920804"/>
      <w:r w:rsidR="00E25F33">
        <w:rPr>
          <w:caps w:val="0"/>
        </w:rPr>
        <w:lastRenderedPageBreak/>
        <w:t>Introducción</w:t>
      </w:r>
      <w:r w:rsidR="00194057">
        <w:rPr>
          <w:caps w:val="0"/>
        </w:rPr>
        <w:t xml:space="preserve"> </w:t>
      </w:r>
      <w:r w:rsidR="00CA0801" w:rsidRPr="00CA0801">
        <w:rPr>
          <w:caps w:val="0"/>
        </w:rPr>
        <w:t>y conceptos básicos</w:t>
      </w:r>
      <w:bookmarkEnd w:id="1"/>
    </w:p>
    <w:p w14:paraId="1D94E200" w14:textId="5386B38C" w:rsidR="00E25F33" w:rsidRDefault="006E7034" w:rsidP="00747BF6">
      <w:pPr>
        <w:rPr>
          <w:caps/>
        </w:rPr>
      </w:pPr>
      <w:r>
        <w:t>d</w:t>
      </w:r>
      <w:r w:rsidR="00206E69" w:rsidRPr="00727AE8">
        <w:t>Texto Normal del menú de estilos.</w:t>
      </w:r>
      <w:bookmarkStart w:id="2" w:name="_Toc53920805"/>
      <w:bookmarkStart w:id="3" w:name="_Toc437515558"/>
      <w:bookmarkStart w:id="4" w:name="_Toc14106980"/>
      <w:r w:rsidR="00E25F33">
        <w:t>Justificación</w:t>
      </w:r>
      <w:bookmarkEnd w:id="2"/>
    </w:p>
    <w:p w14:paraId="4A14EA93" w14:textId="4AA9F255" w:rsidR="00E25F33" w:rsidRDefault="00206E69" w:rsidP="00206E69">
      <w:pPr>
        <w:pStyle w:val="Heading2"/>
      </w:pPr>
      <w:r>
        <w:rPr>
          <w:caps w:val="0"/>
        </w:rPr>
        <w:t xml:space="preserve"> </w:t>
      </w:r>
      <w:bookmarkStart w:id="5" w:name="_Toc53920806"/>
      <w:r>
        <w:rPr>
          <w:caps w:val="0"/>
        </w:rPr>
        <w:t>C</w:t>
      </w:r>
      <w:r w:rsidRPr="00206E69">
        <w:rPr>
          <w:caps w:val="0"/>
        </w:rPr>
        <w:t>onceptos básicos</w:t>
      </w:r>
      <w:bookmarkEnd w:id="5"/>
    </w:p>
    <w:p w14:paraId="236FB838" w14:textId="22FF7E84" w:rsidR="00E25F33" w:rsidRDefault="00E25F33" w:rsidP="00E25F33">
      <w:pPr>
        <w:pStyle w:val="Heading2"/>
      </w:pPr>
      <w:bookmarkStart w:id="6" w:name="_Toc38273598"/>
      <w:bookmarkStart w:id="7" w:name="_Toc53920807"/>
      <w:r>
        <w:rPr>
          <w:caps w:val="0"/>
        </w:rPr>
        <w:t>Estructura del trabajo</w:t>
      </w:r>
      <w:bookmarkEnd w:id="6"/>
      <w:bookmarkEnd w:id="7"/>
    </w:p>
    <w:p w14:paraId="161E5174" w14:textId="2C644417" w:rsidR="00C84740" w:rsidRPr="000D09A0" w:rsidRDefault="00FA7727" w:rsidP="000D09A0">
      <w:pPr>
        <w:pStyle w:val="Heading2"/>
      </w:pPr>
      <w:bookmarkStart w:id="8" w:name="_Toc53920808"/>
      <w:r w:rsidRPr="000D09A0">
        <w:rPr>
          <w:caps w:val="0"/>
        </w:rPr>
        <w:t>“T</w:t>
      </w:r>
      <w:r w:rsidR="00194057" w:rsidRPr="000D09A0">
        <w:rPr>
          <w:caps w:val="0"/>
        </w:rPr>
        <w:t>ítulo 2” del menú de estilos</w:t>
      </w:r>
      <w:bookmarkEnd w:id="3"/>
      <w:bookmarkEnd w:id="4"/>
      <w:bookmarkEnd w:id="8"/>
    </w:p>
    <w:p w14:paraId="5D7ED292" w14:textId="4A644F64" w:rsidR="00E25F33" w:rsidRDefault="005D549B" w:rsidP="00747BF6">
      <w:r w:rsidRPr="00727AE8">
        <w:t xml:space="preserve">Texto Normal del menú de </w:t>
      </w:r>
    </w:p>
    <w:p w14:paraId="13BF345C" w14:textId="77777777" w:rsidR="00E25F33" w:rsidRDefault="00E25F33">
      <w:pPr>
        <w:spacing w:before="0" w:after="0" w:line="240" w:lineRule="auto"/>
        <w:jc w:val="left"/>
      </w:pPr>
      <w:r>
        <w:br w:type="page"/>
      </w:r>
    </w:p>
    <w:p w14:paraId="36B9C338" w14:textId="790018AA" w:rsidR="00A976F0" w:rsidRPr="00727AE8" w:rsidRDefault="008E30AB" w:rsidP="006403BD">
      <w:r w:rsidRPr="00727AE8">
        <w:lastRenderedPageBreak/>
        <w:t>A continuación, se indica con un ejemplo cómo deben introducirse los títulos y las fuentes en Tablas y Figura. Nota que no se introducen del mismo modo en ambos tipos de recursos.</w:t>
      </w:r>
    </w:p>
    <w:p w14:paraId="0F82F98A" w14:textId="77777777" w:rsidR="008E30AB" w:rsidRPr="00727AE8" w:rsidRDefault="008E30AB" w:rsidP="006403BD"/>
    <w:p w14:paraId="2EABCD78" w14:textId="18049681" w:rsidR="0017435A" w:rsidRPr="00727AE8" w:rsidRDefault="0017435A" w:rsidP="006403BD">
      <w:pPr>
        <w:pStyle w:val="TOCHeading"/>
      </w:pPr>
      <w:bookmarkStart w:id="9" w:name="_Toc437521370"/>
      <w:bookmarkStart w:id="10" w:name="_Toc53920765"/>
      <w:r w:rsidRPr="00727AE8">
        <w:t xml:space="preserve">Tabla </w:t>
      </w:r>
      <w:r w:rsidR="00E76BE8" w:rsidRPr="00727AE8">
        <w:fldChar w:fldCharType="begin"/>
      </w:r>
      <w:r w:rsidR="00E76BE8" w:rsidRPr="00727AE8">
        <w:instrText xml:space="preserve"> SEQ Tabla \* ARABIC </w:instrText>
      </w:r>
      <w:r w:rsidR="00E76BE8" w:rsidRPr="00727AE8">
        <w:fldChar w:fldCharType="separate"/>
      </w:r>
      <w:r w:rsidR="00D34BAD">
        <w:t>1</w:t>
      </w:r>
      <w:r w:rsidR="00E76BE8" w:rsidRPr="00727AE8">
        <w:fldChar w:fldCharType="end"/>
      </w:r>
      <w:r w:rsidRPr="00727AE8">
        <w:t xml:space="preserve">. </w:t>
      </w:r>
      <w:r w:rsidR="00FE43BC" w:rsidRPr="00727AE8">
        <w:t>“</w:t>
      </w:r>
      <w:r w:rsidR="00EC4EA9" w:rsidRPr="00727AE8">
        <w:t>Tablas</w:t>
      </w:r>
      <w:r w:rsidR="00FE43BC" w:rsidRPr="00727AE8">
        <w:t>”</w:t>
      </w:r>
      <w:r w:rsidR="00DC17B0" w:rsidRPr="00727AE8">
        <w:t xml:space="preserve"> del menú de estilos</w:t>
      </w:r>
      <w:bookmarkEnd w:id="9"/>
      <w:bookmarkEnd w:id="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2274"/>
        <w:gridCol w:w="2260"/>
        <w:gridCol w:w="2263"/>
      </w:tblGrid>
      <w:tr w:rsidR="00977178" w:rsidRPr="00727AE8" w14:paraId="3D5E1095" w14:textId="77777777" w:rsidTr="00DC17B0">
        <w:trPr>
          <w:trHeight w:val="397"/>
          <w:jc w:val="center"/>
        </w:trPr>
        <w:tc>
          <w:tcPr>
            <w:tcW w:w="2302" w:type="dxa"/>
            <w:tcBorders>
              <w:top w:val="nil"/>
              <w:left w:val="nil"/>
              <w:bottom w:val="single" w:sz="4" w:space="0" w:color="auto"/>
              <w:right w:val="nil"/>
            </w:tcBorders>
            <w:shd w:val="clear" w:color="auto" w:fill="auto"/>
            <w:vAlign w:val="center"/>
          </w:tcPr>
          <w:p w14:paraId="0FF64020" w14:textId="77777777" w:rsidR="00BD4B50" w:rsidRPr="00727AE8" w:rsidRDefault="00BD4B50" w:rsidP="006403BD"/>
        </w:tc>
        <w:tc>
          <w:tcPr>
            <w:tcW w:w="2302" w:type="dxa"/>
            <w:tcBorders>
              <w:top w:val="nil"/>
              <w:left w:val="nil"/>
              <w:bottom w:val="single" w:sz="4" w:space="0" w:color="auto"/>
              <w:right w:val="nil"/>
            </w:tcBorders>
            <w:shd w:val="clear" w:color="auto" w:fill="auto"/>
            <w:vAlign w:val="center"/>
          </w:tcPr>
          <w:p w14:paraId="7506C2B2" w14:textId="77777777" w:rsidR="00BD4B50" w:rsidRPr="00727AE8" w:rsidRDefault="00BD4B50" w:rsidP="006403BD"/>
        </w:tc>
        <w:tc>
          <w:tcPr>
            <w:tcW w:w="2303" w:type="dxa"/>
            <w:tcBorders>
              <w:left w:val="nil"/>
              <w:bottom w:val="single" w:sz="4" w:space="0" w:color="auto"/>
              <w:right w:val="nil"/>
            </w:tcBorders>
            <w:shd w:val="clear" w:color="auto" w:fill="auto"/>
            <w:vAlign w:val="center"/>
          </w:tcPr>
          <w:p w14:paraId="1F6813E9" w14:textId="77777777" w:rsidR="00BD4B50" w:rsidRPr="00727AE8" w:rsidRDefault="00BD4B50" w:rsidP="006403BD">
            <w:r w:rsidRPr="00727AE8">
              <w:t>ESPAÑA</w:t>
            </w:r>
          </w:p>
        </w:tc>
        <w:tc>
          <w:tcPr>
            <w:tcW w:w="2303" w:type="dxa"/>
            <w:tcBorders>
              <w:left w:val="nil"/>
              <w:bottom w:val="single" w:sz="4" w:space="0" w:color="auto"/>
              <w:right w:val="nil"/>
            </w:tcBorders>
            <w:shd w:val="clear" w:color="auto" w:fill="auto"/>
            <w:vAlign w:val="center"/>
          </w:tcPr>
          <w:p w14:paraId="76D0A530" w14:textId="77777777" w:rsidR="00BD4B50" w:rsidRPr="00727AE8" w:rsidRDefault="00BD4B50" w:rsidP="006403BD">
            <w:r w:rsidRPr="00727AE8">
              <w:t>ARAGÓN</w:t>
            </w:r>
          </w:p>
        </w:tc>
      </w:tr>
      <w:tr w:rsidR="00977178" w:rsidRPr="00727AE8" w14:paraId="51C156B3" w14:textId="77777777" w:rsidTr="00DC17B0">
        <w:trPr>
          <w:trHeight w:val="397"/>
          <w:jc w:val="center"/>
        </w:trPr>
        <w:tc>
          <w:tcPr>
            <w:tcW w:w="2302" w:type="dxa"/>
            <w:vMerge w:val="restart"/>
            <w:tcBorders>
              <w:left w:val="nil"/>
              <w:right w:val="nil"/>
            </w:tcBorders>
            <w:shd w:val="clear" w:color="auto" w:fill="auto"/>
            <w:vAlign w:val="center"/>
          </w:tcPr>
          <w:p w14:paraId="5CAEFE91" w14:textId="77777777" w:rsidR="00BD4B50" w:rsidRPr="00727AE8" w:rsidRDefault="0017435A" w:rsidP="006403BD">
            <w:r w:rsidRPr="00727AE8">
              <w:t>Alumnado con Necesidades Específicas de Apoyo Educativo</w:t>
            </w:r>
          </w:p>
        </w:tc>
        <w:tc>
          <w:tcPr>
            <w:tcW w:w="2302" w:type="dxa"/>
            <w:tcBorders>
              <w:left w:val="nil"/>
              <w:right w:val="nil"/>
            </w:tcBorders>
            <w:shd w:val="clear" w:color="auto" w:fill="auto"/>
            <w:vAlign w:val="center"/>
          </w:tcPr>
          <w:p w14:paraId="4068E3BB" w14:textId="77777777" w:rsidR="00BD4B50" w:rsidRPr="00727AE8" w:rsidRDefault="0017435A" w:rsidP="006403BD">
            <w:r w:rsidRPr="00727AE8">
              <w:t>Alumnado con Necesidades Educativas Especiales</w:t>
            </w:r>
          </w:p>
        </w:tc>
        <w:tc>
          <w:tcPr>
            <w:tcW w:w="2303" w:type="dxa"/>
            <w:tcBorders>
              <w:left w:val="nil"/>
              <w:right w:val="nil"/>
            </w:tcBorders>
            <w:shd w:val="clear" w:color="auto" w:fill="auto"/>
            <w:vAlign w:val="center"/>
          </w:tcPr>
          <w:p w14:paraId="12F55BB9" w14:textId="77777777" w:rsidR="00BD4B50" w:rsidRPr="00727AE8" w:rsidRDefault="0017435A" w:rsidP="006403BD">
            <w:r w:rsidRPr="00727AE8">
              <w:t>141.426</w:t>
            </w:r>
          </w:p>
        </w:tc>
        <w:tc>
          <w:tcPr>
            <w:tcW w:w="2303" w:type="dxa"/>
            <w:tcBorders>
              <w:left w:val="nil"/>
              <w:right w:val="nil"/>
            </w:tcBorders>
            <w:shd w:val="clear" w:color="auto" w:fill="auto"/>
            <w:vAlign w:val="center"/>
          </w:tcPr>
          <w:p w14:paraId="69CC7310" w14:textId="77777777" w:rsidR="00BD4B50" w:rsidRPr="00727AE8" w:rsidRDefault="0017435A" w:rsidP="006403BD">
            <w:r w:rsidRPr="00727AE8">
              <w:t>3.642</w:t>
            </w:r>
          </w:p>
          <w:p w14:paraId="6367291E" w14:textId="77777777" w:rsidR="0017435A" w:rsidRPr="00727AE8" w:rsidRDefault="0017435A" w:rsidP="006403BD"/>
          <w:p w14:paraId="07A14ADB" w14:textId="77777777" w:rsidR="0017435A" w:rsidRPr="00727AE8" w:rsidRDefault="0017435A" w:rsidP="006403BD">
            <w:r w:rsidRPr="00727AE8">
              <w:t>(2,58 %)</w:t>
            </w:r>
          </w:p>
        </w:tc>
      </w:tr>
      <w:tr w:rsidR="00977178" w:rsidRPr="00727AE8" w14:paraId="28361C06" w14:textId="77777777" w:rsidTr="00DC17B0">
        <w:trPr>
          <w:trHeight w:val="397"/>
          <w:jc w:val="center"/>
        </w:trPr>
        <w:tc>
          <w:tcPr>
            <w:tcW w:w="2302" w:type="dxa"/>
            <w:vMerge/>
            <w:tcBorders>
              <w:left w:val="nil"/>
              <w:right w:val="nil"/>
            </w:tcBorders>
            <w:shd w:val="clear" w:color="auto" w:fill="auto"/>
            <w:vAlign w:val="center"/>
          </w:tcPr>
          <w:p w14:paraId="0127F223" w14:textId="77777777" w:rsidR="0017435A" w:rsidRPr="00727AE8" w:rsidRDefault="0017435A" w:rsidP="006403BD"/>
        </w:tc>
        <w:tc>
          <w:tcPr>
            <w:tcW w:w="2302" w:type="dxa"/>
            <w:tcBorders>
              <w:left w:val="nil"/>
              <w:right w:val="nil"/>
            </w:tcBorders>
            <w:shd w:val="clear" w:color="auto" w:fill="auto"/>
            <w:vAlign w:val="center"/>
          </w:tcPr>
          <w:p w14:paraId="7480EBC6" w14:textId="77777777" w:rsidR="0017435A" w:rsidRPr="00727AE8" w:rsidRDefault="0017435A" w:rsidP="006403BD">
            <w:r w:rsidRPr="00727AE8">
              <w:t>Alumnado con Altas Capacidades Intelectuales</w:t>
            </w:r>
          </w:p>
        </w:tc>
        <w:tc>
          <w:tcPr>
            <w:tcW w:w="2303" w:type="dxa"/>
            <w:tcBorders>
              <w:left w:val="nil"/>
              <w:right w:val="nil"/>
            </w:tcBorders>
            <w:shd w:val="clear" w:color="auto" w:fill="auto"/>
            <w:vAlign w:val="center"/>
          </w:tcPr>
          <w:p w14:paraId="10E1FA94" w14:textId="77777777" w:rsidR="0017435A" w:rsidRPr="00727AE8" w:rsidRDefault="0017435A" w:rsidP="006403BD">
            <w:r w:rsidRPr="00727AE8">
              <w:t>6.834</w:t>
            </w:r>
          </w:p>
          <w:p w14:paraId="4856B125" w14:textId="77777777" w:rsidR="0017435A" w:rsidRPr="00727AE8" w:rsidRDefault="0017435A" w:rsidP="006403BD"/>
          <w:p w14:paraId="40D6A6D1" w14:textId="77777777" w:rsidR="0017435A" w:rsidRPr="00727AE8" w:rsidRDefault="0017435A" w:rsidP="006403BD">
            <w:r w:rsidRPr="00727AE8">
              <w:t>(4,83 %)</w:t>
            </w:r>
          </w:p>
        </w:tc>
        <w:tc>
          <w:tcPr>
            <w:tcW w:w="2303" w:type="dxa"/>
            <w:tcBorders>
              <w:left w:val="nil"/>
              <w:right w:val="nil"/>
            </w:tcBorders>
            <w:shd w:val="clear" w:color="auto" w:fill="auto"/>
            <w:vAlign w:val="center"/>
          </w:tcPr>
          <w:p w14:paraId="05CA799E" w14:textId="77777777" w:rsidR="0017435A" w:rsidRPr="00727AE8" w:rsidRDefault="0017435A" w:rsidP="006403BD">
            <w:r w:rsidRPr="00727AE8">
              <w:t>97</w:t>
            </w:r>
          </w:p>
          <w:p w14:paraId="43A86622" w14:textId="77777777" w:rsidR="0017435A" w:rsidRPr="00727AE8" w:rsidRDefault="0017435A" w:rsidP="006403BD"/>
          <w:p w14:paraId="2E6307FC" w14:textId="77777777" w:rsidR="0017435A" w:rsidRPr="00727AE8" w:rsidRDefault="0017435A" w:rsidP="006403BD">
            <w:r w:rsidRPr="00727AE8">
              <w:t>(1,42 %)</w:t>
            </w:r>
          </w:p>
        </w:tc>
      </w:tr>
    </w:tbl>
    <w:p w14:paraId="3EDDE4FA" w14:textId="296946C1" w:rsidR="00793FDB" w:rsidRPr="00727AE8" w:rsidRDefault="0017435A" w:rsidP="00750978">
      <w:pPr>
        <w:jc w:val="center"/>
      </w:pPr>
      <w:r w:rsidRPr="00727AE8">
        <w:t>Adaptación de MECD, 2013</w:t>
      </w:r>
    </w:p>
    <w:p w14:paraId="7F004CA2" w14:textId="77777777" w:rsidR="00FE43BC" w:rsidRPr="00727AE8" w:rsidRDefault="00FE43BC" w:rsidP="006403BD"/>
    <w:p w14:paraId="4E6C7900" w14:textId="77777777" w:rsidR="008C16EB" w:rsidRPr="006403BD" w:rsidRDefault="008C16EB" w:rsidP="008C16EB">
      <w:r w:rsidRPr="006403BD">
        <w:t>Texto Normal del menú de estilos.</w:t>
      </w:r>
    </w:p>
    <w:p w14:paraId="3D3FE31D" w14:textId="1DAE82B7" w:rsidR="00C84740" w:rsidRPr="007E0007" w:rsidRDefault="005D549B" w:rsidP="007E0007">
      <w:r w:rsidRPr="007E0007">
        <w:t>Texto Normal del menú de estilos.</w:t>
      </w:r>
    </w:p>
    <w:p w14:paraId="2BF62DEC" w14:textId="77777777" w:rsidR="00FE43BC" w:rsidRPr="00727AE8" w:rsidRDefault="0067645E" w:rsidP="006403BD">
      <w:bookmarkStart w:id="11" w:name="_Toc437521679"/>
      <w:bookmarkStart w:id="12" w:name="_Toc437521785"/>
      <w:bookmarkStart w:id="13" w:name="_Toc437521999"/>
      <w:bookmarkStart w:id="14" w:name="_Toc437522281"/>
      <w:bookmarkStart w:id="15" w:name="_Toc437522345"/>
      <w:bookmarkStart w:id="16" w:name="_Toc437522446"/>
      <w:bookmarkStart w:id="17" w:name="_Toc437522615"/>
      <w:bookmarkStart w:id="18" w:name="_Toc437522807"/>
      <w:bookmarkStart w:id="19" w:name="_Toc437523342"/>
      <w:r w:rsidRPr="00727AE8">
        <w:rPr>
          <w:noProof/>
          <w:lang w:val="en-GB" w:eastAsia="en-GB"/>
        </w:rPr>
        <w:drawing>
          <wp:anchor distT="0" distB="0" distL="114300" distR="114300" simplePos="0" relativeHeight="251657728" behindDoc="0" locked="0" layoutInCell="1" allowOverlap="0" wp14:anchorId="0D2F62E2" wp14:editId="6DF13E3B">
            <wp:simplePos x="0" y="0"/>
            <wp:positionH relativeFrom="page">
              <wp:align>center</wp:align>
            </wp:positionH>
            <wp:positionV relativeFrom="paragraph">
              <wp:posOffset>276225</wp:posOffset>
            </wp:positionV>
            <wp:extent cx="4946015" cy="2227580"/>
            <wp:effectExtent l="0" t="0" r="6985" b="1270"/>
            <wp:wrapTopAndBottom/>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6015" cy="22275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1"/>
      <w:bookmarkEnd w:id="12"/>
      <w:bookmarkEnd w:id="13"/>
      <w:bookmarkEnd w:id="14"/>
      <w:bookmarkEnd w:id="15"/>
      <w:bookmarkEnd w:id="16"/>
      <w:bookmarkEnd w:id="17"/>
      <w:bookmarkEnd w:id="18"/>
      <w:bookmarkEnd w:id="19"/>
    </w:p>
    <w:p w14:paraId="1E4C6E1C" w14:textId="77777777" w:rsidR="00FE43BC" w:rsidRPr="00727AE8" w:rsidRDefault="00FE43BC" w:rsidP="006403BD">
      <w:pPr>
        <w:pStyle w:val="TOCHeading"/>
      </w:pPr>
    </w:p>
    <w:p w14:paraId="7528E490" w14:textId="65A05F05" w:rsidR="00FE43BC" w:rsidRPr="00727AE8" w:rsidRDefault="00FE43BC" w:rsidP="006403BD">
      <w:pPr>
        <w:pStyle w:val="Figuras"/>
      </w:pPr>
      <w:bookmarkStart w:id="20" w:name="_Toc437521786"/>
      <w:bookmarkStart w:id="21" w:name="_Toc437522000"/>
      <w:bookmarkStart w:id="22" w:name="_Toc437522282"/>
      <w:bookmarkStart w:id="23" w:name="_Toc437522301"/>
      <w:bookmarkStart w:id="24" w:name="_Toc53920771"/>
      <w:r w:rsidRPr="00727AE8">
        <w:t xml:space="preserve">Figura </w:t>
      </w:r>
      <w:r w:rsidR="00280CC8">
        <w:fldChar w:fldCharType="begin"/>
      </w:r>
      <w:r w:rsidR="00280CC8">
        <w:instrText xml:space="preserve"> SEQ Figura \* ARABIC </w:instrText>
      </w:r>
      <w:r w:rsidR="00280CC8">
        <w:fldChar w:fldCharType="separate"/>
      </w:r>
      <w:r w:rsidR="00D34BAD">
        <w:rPr>
          <w:noProof/>
        </w:rPr>
        <w:t>1</w:t>
      </w:r>
      <w:r w:rsidR="00280CC8">
        <w:rPr>
          <w:noProof/>
        </w:rPr>
        <w:fldChar w:fldCharType="end"/>
      </w:r>
      <w:r w:rsidRPr="00727AE8">
        <w:t xml:space="preserve">. </w:t>
      </w:r>
      <w:r w:rsidR="00EC4EA9" w:rsidRPr="00727AE8">
        <w:t>“Figuras” del menú de estilos</w:t>
      </w:r>
      <w:r w:rsidRPr="00727AE8">
        <w:t>. (</w:t>
      </w:r>
      <w:r w:rsidR="00EC4EA9" w:rsidRPr="00727AE8">
        <w:t>Elaboración propia</w:t>
      </w:r>
      <w:r w:rsidRPr="00727AE8">
        <w:t>)</w:t>
      </w:r>
      <w:bookmarkEnd w:id="20"/>
      <w:bookmarkEnd w:id="21"/>
      <w:bookmarkEnd w:id="22"/>
      <w:bookmarkEnd w:id="23"/>
      <w:bookmarkEnd w:id="24"/>
    </w:p>
    <w:p w14:paraId="0F74AF77" w14:textId="40049F37" w:rsidR="00DA0FCE" w:rsidRDefault="00E25F33" w:rsidP="000D09A0">
      <w:pPr>
        <w:pStyle w:val="Heading1"/>
        <w:rPr>
          <w:caps w:val="0"/>
        </w:rPr>
      </w:pPr>
      <w:bookmarkStart w:id="25" w:name="_Toc53920811"/>
      <w:r>
        <w:rPr>
          <w:caps w:val="0"/>
        </w:rPr>
        <w:lastRenderedPageBreak/>
        <w:t>Contexto y estado del arte</w:t>
      </w:r>
      <w:bookmarkEnd w:id="25"/>
    </w:p>
    <w:p w14:paraId="0C5CE636" w14:textId="466281A8" w:rsidR="00715511" w:rsidRDefault="00715511" w:rsidP="00715511">
      <w:r>
        <w:t>Introducción a los derivados</w:t>
      </w:r>
    </w:p>
    <w:p w14:paraId="4C14EFA2" w14:textId="1655C7B7" w:rsidR="00715511" w:rsidRDefault="00715511" w:rsidP="00715511">
      <w:r>
        <w:t>Introdución al cálculo estocástico.</w:t>
      </w:r>
    </w:p>
    <w:p w14:paraId="73DB7AB0" w14:textId="18D68B09" w:rsidR="00715511" w:rsidRPr="00715511" w:rsidRDefault="00715511" w:rsidP="00715511">
      <w:r>
        <w:t>Introducción a valoración de derivados.</w:t>
      </w:r>
    </w:p>
    <w:p w14:paraId="2132660D" w14:textId="46E3F137" w:rsidR="003279EC" w:rsidRDefault="003279EC" w:rsidP="00CA0801">
      <w:pPr>
        <w:autoSpaceDE w:val="0"/>
        <w:autoSpaceDN w:val="0"/>
        <w:adjustRightInd w:val="0"/>
        <w:spacing w:after="0"/>
        <w:rPr>
          <w:rFonts w:asciiTheme="majorHAnsi" w:hAnsiTheme="majorHAnsi"/>
        </w:rPr>
      </w:pPr>
      <w:bookmarkStart w:id="26" w:name="_Toc38273607"/>
      <w:r>
        <w:rPr>
          <w:rFonts w:asciiTheme="majorHAnsi" w:hAnsiTheme="majorHAnsi"/>
        </w:rPr>
        <w:t>euler maruyama:</w:t>
      </w:r>
    </w:p>
    <w:p w14:paraId="31A99AB5" w14:textId="5DDCC919" w:rsidR="008E4084" w:rsidRDefault="00653888" w:rsidP="00CA0801">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e>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oMath>
      </m:oMathPara>
    </w:p>
    <w:p w14:paraId="2192C968" w14:textId="77777777" w:rsidR="008E4084" w:rsidRDefault="008E4084" w:rsidP="00CA0801">
      <w:pPr>
        <w:autoSpaceDE w:val="0"/>
        <w:autoSpaceDN w:val="0"/>
        <w:adjustRightInd w:val="0"/>
        <w:spacing w:after="0"/>
        <w:rPr>
          <w:rFonts w:asciiTheme="majorHAnsi" w:hAnsiTheme="majorHAnsi"/>
        </w:rPr>
      </w:pPr>
    </w:p>
    <w:p w14:paraId="10DAD67F" w14:textId="77777777" w:rsidR="003279EC" w:rsidRPr="003279EC" w:rsidRDefault="003279EC" w:rsidP="00CA0801">
      <w:pPr>
        <w:autoSpaceDE w:val="0"/>
        <w:autoSpaceDN w:val="0"/>
        <w:adjustRightInd w:val="0"/>
        <w:spacing w:after="0"/>
        <w:rPr>
          <w:rFonts w:asciiTheme="majorHAnsi" w:hAnsiTheme="majorHAnsi"/>
        </w:rPr>
      </w:pPr>
    </w:p>
    <w:bookmarkEnd w:id="26"/>
    <w:p w14:paraId="3EDB5245" w14:textId="25ABED49" w:rsidR="00206E69" w:rsidRDefault="00206E69">
      <w:pPr>
        <w:spacing w:before="0" w:after="0" w:line="240" w:lineRule="auto"/>
        <w:jc w:val="left"/>
        <w:rPr>
          <w:rFonts w:asciiTheme="majorHAnsi" w:hAnsiTheme="majorHAnsi"/>
          <w:bCs/>
          <w:caps/>
          <w:color w:val="0098CD"/>
          <w:kern w:val="32"/>
          <w:sz w:val="36"/>
          <w:szCs w:val="32"/>
        </w:rPr>
      </w:pPr>
      <w:r>
        <w:br w:type="page"/>
      </w:r>
    </w:p>
    <w:p w14:paraId="4C2BBA65" w14:textId="19040B98" w:rsidR="008D77EF" w:rsidRDefault="00CA0801" w:rsidP="00CA0801">
      <w:pPr>
        <w:pStyle w:val="Heading1"/>
        <w:rPr>
          <w:caps w:val="0"/>
        </w:rPr>
      </w:pPr>
      <w:bookmarkStart w:id="27" w:name="_Toc53920812"/>
      <w:r>
        <w:lastRenderedPageBreak/>
        <w:t>A</w:t>
      </w:r>
      <w:r w:rsidRPr="00CA0801">
        <w:rPr>
          <w:caps w:val="0"/>
        </w:rPr>
        <w:t>plicaciones del estudio que se lleva a cabo</w:t>
      </w:r>
      <w:bookmarkEnd w:id="27"/>
    </w:p>
    <w:p w14:paraId="4B3D91AC" w14:textId="543B7E53" w:rsidR="00905A8D" w:rsidRDefault="00905A8D" w:rsidP="00905A8D">
      <w:r>
        <w:t>Valoración de derivados. Venta de productos. P&amp;L.</w:t>
      </w:r>
    </w:p>
    <w:p w14:paraId="096A2307" w14:textId="70F31477" w:rsidR="00905A8D" w:rsidRDefault="00905A8D" w:rsidP="00905A8D">
      <w:r>
        <w:t>Griegas: Gestión de riesgos de mercado. Límites mesas trading. Regulación FRTB.</w:t>
      </w:r>
    </w:p>
    <w:p w14:paraId="386501E8" w14:textId="1DAFE23A" w:rsidR="00905A8D" w:rsidRPr="00905A8D" w:rsidRDefault="00905A8D" w:rsidP="00905A8D">
      <w:r>
        <w:t>Calculo del VaR por SHAD.</w:t>
      </w:r>
    </w:p>
    <w:p w14:paraId="1272429D" w14:textId="0F7A205A" w:rsidR="00E25F33" w:rsidRDefault="00E25F33">
      <w:pPr>
        <w:spacing w:before="0" w:after="0" w:line="240" w:lineRule="auto"/>
        <w:jc w:val="left"/>
      </w:pPr>
      <w:r>
        <w:br w:type="page"/>
      </w:r>
    </w:p>
    <w:p w14:paraId="1178F58B" w14:textId="2E73921F" w:rsidR="008D77EF" w:rsidRDefault="00CA0801" w:rsidP="008D77EF">
      <w:pPr>
        <w:pStyle w:val="Heading1"/>
      </w:pPr>
      <w:bookmarkStart w:id="28" w:name="_Toc53920813"/>
      <w:r>
        <w:rPr>
          <w:caps w:val="0"/>
        </w:rPr>
        <w:lastRenderedPageBreak/>
        <w:t>Objetivos</w:t>
      </w:r>
      <w:bookmarkEnd w:id="28"/>
    </w:p>
    <w:p w14:paraId="33154570" w14:textId="3ED2CE0B" w:rsidR="006612FE" w:rsidRDefault="006612FE" w:rsidP="007A0D5B">
      <w:r>
        <w:t>Desarrollar en Python el código de un método Montecarlo</w:t>
      </w:r>
    </w:p>
    <w:p w14:paraId="0C39CA7B" w14:textId="586B1B8E" w:rsidR="006612FE" w:rsidRDefault="006612FE" w:rsidP="007A0D5B">
      <w:r>
        <w:t>Calibrar los parámetros del módelo</w:t>
      </w:r>
    </w:p>
    <w:p w14:paraId="200D0A81" w14:textId="4EDE8FDE" w:rsidR="006612FE" w:rsidRDefault="006612FE" w:rsidP="007A0D5B">
      <w:r>
        <w:t>Cálculo de griegas</w:t>
      </w:r>
    </w:p>
    <w:p w14:paraId="2A9EF069" w14:textId="5986DB31" w:rsidR="00E25F33" w:rsidRDefault="00E25F33" w:rsidP="007A0D5B">
      <w:r>
        <w:br w:type="page"/>
      </w:r>
    </w:p>
    <w:p w14:paraId="47A11ACE" w14:textId="1355B2AD" w:rsidR="00CA0801" w:rsidRDefault="00CA0801" w:rsidP="00E25F33">
      <w:pPr>
        <w:pStyle w:val="Heading1"/>
      </w:pPr>
      <w:bookmarkStart w:id="29" w:name="_Toc7090160"/>
      <w:bookmarkStart w:id="30" w:name="_Toc38273611"/>
      <w:r>
        <w:lastRenderedPageBreak/>
        <w:t xml:space="preserve"> </w:t>
      </w:r>
      <w:bookmarkStart w:id="31" w:name="_Toc53920814"/>
      <w:r>
        <w:rPr>
          <w:caps w:val="0"/>
        </w:rPr>
        <w:t>Descripción de la contribución</w:t>
      </w:r>
      <w:bookmarkEnd w:id="31"/>
    </w:p>
    <w:p w14:paraId="0D6F41EA" w14:textId="0AA7DFA2" w:rsidR="003C433C" w:rsidRDefault="003C433C" w:rsidP="006E7034">
      <w:r>
        <w:t>En esta sección se propone un modelo de evolución de un índice bursátil más complejo que la evolución lognormal expuesta en el capítulo 3</w:t>
      </w:r>
      <w:r w:rsidR="00663770">
        <w:t>(</w:t>
      </w:r>
      <w:r w:rsidR="00663770" w:rsidRPr="00663770">
        <w:rPr>
          <w:color w:val="FF0000"/>
        </w:rPr>
        <w:t>REFERENCIAR BIEN</w:t>
      </w:r>
      <w:r w:rsidR="00663770">
        <w:t>)</w:t>
      </w:r>
      <w:r>
        <w:t>.</w:t>
      </w:r>
    </w:p>
    <w:p w14:paraId="367796D3" w14:textId="070BE684" w:rsidR="003C433C" w:rsidRDefault="003C433C" w:rsidP="006E7034">
      <w:r>
        <w:t>Concretamente, además de modelar el índice, también se modelan los dividendos de manera estocástica.</w:t>
      </w:r>
    </w:p>
    <w:p w14:paraId="6E97163D" w14:textId="3F95463E" w:rsidR="003C433C" w:rsidRDefault="003C433C" w:rsidP="003C433C">
      <w:pPr>
        <w:pStyle w:val="Heading2"/>
        <w:rPr>
          <w:caps w:val="0"/>
        </w:rPr>
      </w:pPr>
      <w:r>
        <w:t xml:space="preserve"> </w:t>
      </w:r>
      <w:bookmarkStart w:id="32" w:name="_Ref73470305"/>
      <w:r>
        <w:rPr>
          <w:caps w:val="0"/>
        </w:rPr>
        <w:t>Modelización de las variables</w:t>
      </w:r>
      <w:bookmarkEnd w:id="32"/>
    </w:p>
    <w:p w14:paraId="339A3FFB" w14:textId="33A4FD2B" w:rsidR="003C433C" w:rsidRDefault="00C83154" w:rsidP="003C433C">
      <w:r>
        <w:t>El modelo propuesto es el siguiente</w:t>
      </w:r>
    </w:p>
    <w:p w14:paraId="69438AD1" w14:textId="77777777" w:rsidR="00C83154" w:rsidRPr="003279EC" w:rsidRDefault="00C83154" w:rsidP="00C83154">
      <w:pPr>
        <w:autoSpaceDE w:val="0"/>
        <w:autoSpaceDN w:val="0"/>
        <w:adjustRightInd w:val="0"/>
        <w:spacing w:after="0"/>
        <w:rPr>
          <w:rFonts w:asciiTheme="majorHAnsi" w:hAnsiTheme="majorHAnsi"/>
        </w:rPr>
      </w:pPr>
      <m:oMathPara>
        <m:oMath>
          <m:d>
            <m:dPr>
              <m:begChr m:val="{"/>
              <m:endChr m:val=""/>
              <m:ctrlPr>
                <w:rPr>
                  <w:rFonts w:ascii="Cambria Math" w:hAnsi="Cambria Math" w:cs="Arial"/>
                  <w:i/>
                </w:rPr>
              </m:ctrlPr>
            </m:dPr>
            <m:e>
              <m:eqArr>
                <m:eqArrPr>
                  <m:ctrlPr>
                    <w:rPr>
                      <w:rFonts w:ascii="Cambria Math" w:hAnsi="Cambria Math" w:cs="Arial"/>
                      <w:i/>
                    </w:rPr>
                  </m:ctrlPr>
                </m:eqArr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dS</m:t>
                          </m:r>
                        </m:e>
                        <m:sub>
                          <m:r>
                            <w:rPr>
                              <w:rFonts w:ascii="Cambria Math" w:hAnsi="Cambria Math" w:cs="Arial"/>
                            </w:rPr>
                            <m:t>t</m:t>
                          </m:r>
                        </m:sub>
                      </m:sSub>
                    </m:num>
                    <m:den>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den>
                  </m:f>
                  <m:r>
                    <w:rPr>
                      <w:rFonts w:ascii="Cambria Math" w:hAnsi="Cambria Math" w:cs="Arial"/>
                    </w:rPr>
                    <m:t>=</m:t>
                  </m:r>
                  <m:d>
                    <m:dPr>
                      <m:ctrlPr>
                        <w:rPr>
                          <w:rFonts w:ascii="Cambria Math" w:hAnsi="Cambria Math" w:cs="Arial"/>
                          <w:i/>
                        </w:rPr>
                      </m:ctrlPr>
                    </m:dPr>
                    <m:e>
                      <m:r>
                        <w:rPr>
                          <w:rFonts w:ascii="Cambria Math" w:hAnsi="Cambria Math" w:cs="Arial"/>
                        </w:rPr>
                        <m:t>r-</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S</m:t>
                      </m:r>
                    </m:sup>
                  </m:s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 xml:space="preserve">          </m:t>
                  </m:r>
                </m:e>
                <m:e>
                  <m:r>
                    <w:rPr>
                      <w:rFonts w:ascii="Cambria Math" w:hAnsi="Cambria Math" w:cs="Arial"/>
                    </w:rPr>
                    <m:t>d</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e>
                <m:e>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1</m:t>
                      </m:r>
                    </m:sup>
                  </m:sSubSup>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r>
                    <w:rPr>
                      <w:rFonts w:ascii="Cambria Math" w:hAnsi="Cambria Math" w:cs="Arial"/>
                    </w:rPr>
                    <m:t xml:space="preserve">=ρ dt                             </m:t>
                  </m:r>
                </m:e>
              </m:eqArr>
            </m:e>
          </m:d>
        </m:oMath>
      </m:oMathPara>
    </w:p>
    <w:p w14:paraId="5B911E48" w14:textId="10F0DA34" w:rsidR="00C83154" w:rsidRDefault="00C83154" w:rsidP="003C433C">
      <w:r>
        <w:t>Donde:</w:t>
      </w:r>
    </w:p>
    <w:p w14:paraId="02EFB398" w14:textId="5C127FF3" w:rsidR="00C83154" w:rsidRDefault="00C83154" w:rsidP="00C83154">
      <w:pPr>
        <w:pStyle w:val="ListParagraph"/>
        <w:numPr>
          <w:ilvl w:val="0"/>
          <w:numId w:val="33"/>
        </w:numPr>
      </w:pP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t xml:space="preserve"> es el valor del índice EUROSTOXX 50 en el instante </w:t>
      </w:r>
      <m:oMath>
        <m:r>
          <w:rPr>
            <w:rFonts w:ascii="Cambria Math" w:hAnsi="Cambria Math" w:cs="Arial"/>
          </w:rPr>
          <m:t>t</m:t>
        </m:r>
      </m:oMath>
      <w:r>
        <w:t>.</w:t>
      </w:r>
    </w:p>
    <w:p w14:paraId="64F5E131" w14:textId="79116DD8" w:rsidR="00C83154" w:rsidRDefault="00C83154" w:rsidP="00C83154">
      <w:pPr>
        <w:pStyle w:val="ListParagraph"/>
        <w:numPr>
          <w:ilvl w:val="0"/>
          <w:numId w:val="33"/>
        </w:numPr>
      </w:pPr>
      <m:oMath>
        <m:r>
          <w:rPr>
            <w:rFonts w:ascii="Cambria Math" w:hAnsi="Cambria Math" w:cs="Arial"/>
          </w:rPr>
          <m:t>r</m:t>
        </m:r>
      </m:oMath>
      <w:r>
        <w:t xml:space="preserve"> es el tipo de interés libre de riesgo.</w:t>
      </w:r>
    </w:p>
    <w:p w14:paraId="608212A0" w14:textId="3562575F" w:rsidR="00C83154" w:rsidRDefault="00C83154" w:rsidP="00C83154">
      <w:pPr>
        <w:pStyle w:val="ListParagraph"/>
        <w:numPr>
          <w:ilvl w:val="0"/>
          <w:numId w:val="33"/>
        </w:numPr>
      </w:pP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es el ratio de dividendos pagados por el índice en el instante </w:t>
      </w:r>
      <m:oMath>
        <m:r>
          <w:rPr>
            <w:rFonts w:ascii="Cambria Math" w:hAnsi="Cambria Math" w:cs="Arial"/>
          </w:rPr>
          <m:t>t</m:t>
        </m:r>
      </m:oMath>
      <w:r>
        <w:t>.</w:t>
      </w:r>
    </w:p>
    <w:p w14:paraId="18BE98B4" w14:textId="378B137E" w:rsidR="00C83154" w:rsidRDefault="00C83154" w:rsidP="00C83154">
      <w:pPr>
        <w:pStyle w:val="ListParagraph"/>
        <w:numPr>
          <w:ilvl w:val="0"/>
          <w:numId w:val="33"/>
        </w:numPr>
      </w:pP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oMath>
      <w:r>
        <w:t xml:space="preserve"> y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t xml:space="preserve"> son dos movimientos Brownianos.</w:t>
      </w:r>
    </w:p>
    <w:p w14:paraId="1437B0EC" w14:textId="392AE8FF" w:rsidR="00C83154" w:rsidRDefault="00C83154" w:rsidP="00C83154">
      <w:pPr>
        <w:pStyle w:val="ListParagraph"/>
        <w:numPr>
          <w:ilvl w:val="0"/>
          <w:numId w:val="33"/>
        </w:numPr>
      </w:pPr>
      <m:oMath>
        <m:sSup>
          <m:sSupPr>
            <m:ctrlPr>
              <w:rPr>
                <w:rFonts w:ascii="Cambria Math" w:hAnsi="Cambria Math"/>
                <w:i/>
              </w:rPr>
            </m:ctrlPr>
          </m:sSupPr>
          <m:e>
            <m:r>
              <w:rPr>
                <w:rFonts w:ascii="Cambria Math" w:hAnsi="Cambria Math"/>
              </w:rPr>
              <m:t>σ</m:t>
            </m:r>
          </m:e>
          <m:sup>
            <m:r>
              <w:rPr>
                <w:rFonts w:ascii="Cambria Math" w:hAnsi="Cambria Math"/>
              </w:rPr>
              <m:t>S</m:t>
            </m:r>
          </m:sup>
        </m:sSup>
      </m:oMath>
      <w:r>
        <w:t xml:space="preserve"> es la volatilidad del índice.</w:t>
      </w:r>
    </w:p>
    <w:p w14:paraId="2D79EAA1" w14:textId="5C45C9A7" w:rsidR="00C83154" w:rsidRDefault="00C83154" w:rsidP="00C83154">
      <w:pPr>
        <w:pStyle w:val="ListParagraph"/>
        <w:numPr>
          <w:ilvl w:val="0"/>
          <w:numId w:val="33"/>
        </w:numPr>
      </w:pPr>
      <m:oMath>
        <m:sSup>
          <m:sSupPr>
            <m:ctrlPr>
              <w:rPr>
                <w:rFonts w:ascii="Cambria Math" w:hAnsi="Cambria Math"/>
                <w:i/>
              </w:rPr>
            </m:ctrlPr>
          </m:sSupPr>
          <m:e>
            <m:r>
              <w:rPr>
                <w:rFonts w:ascii="Cambria Math" w:hAnsi="Cambria Math"/>
              </w:rPr>
              <m:t>σ</m:t>
            </m:r>
          </m:e>
          <m:sup>
            <m:r>
              <w:rPr>
                <w:rFonts w:ascii="Cambria Math" w:hAnsi="Cambria Math"/>
              </w:rPr>
              <m:t>q</m:t>
            </m:r>
          </m:sup>
        </m:sSup>
      </m:oMath>
      <w:r>
        <w:t xml:space="preserve"> es la volatilidad del ratio de dividendos.</w:t>
      </w:r>
    </w:p>
    <w:p w14:paraId="5EBEE436" w14:textId="3620BAF9" w:rsidR="00C83154" w:rsidRDefault="00C83154" w:rsidP="00C83154">
      <w:pPr>
        <w:pStyle w:val="ListParagraph"/>
        <w:numPr>
          <w:ilvl w:val="0"/>
          <w:numId w:val="33"/>
        </w:numPr>
      </w:pPr>
      <m:oMath>
        <m:r>
          <w:rPr>
            <w:rFonts w:ascii="Cambria Math" w:hAnsi="Cambria Math"/>
          </w:rPr>
          <m:t>a</m:t>
        </m:r>
      </m:oMath>
      <w:r>
        <w:t xml:space="preserve"> es la velocidad de reversión a la media del ratio de dividendos.</w:t>
      </w:r>
    </w:p>
    <w:p w14:paraId="5C0E92C0" w14:textId="790F6BD3" w:rsidR="00C83154" w:rsidRDefault="00C83154" w:rsidP="00C83154">
      <w:pPr>
        <w:pStyle w:val="ListParagraph"/>
        <w:numPr>
          <w:ilvl w:val="0"/>
          <w:numId w:val="33"/>
        </w:numPr>
      </w:pPr>
      <m:oMath>
        <m:r>
          <w:rPr>
            <w:rFonts w:ascii="Cambria Math" w:hAnsi="Cambria Math"/>
          </w:rPr>
          <m:t>b</m:t>
        </m:r>
      </m:oMath>
      <w:r>
        <w:t xml:space="preserve"> es el valor medio de los dividendos.</w:t>
      </w:r>
    </w:p>
    <w:p w14:paraId="2E727C18" w14:textId="277B641C" w:rsidR="00C83154" w:rsidRDefault="00C83154" w:rsidP="00C83154">
      <w:pPr>
        <w:pStyle w:val="ListParagraph"/>
        <w:numPr>
          <w:ilvl w:val="0"/>
          <w:numId w:val="33"/>
        </w:numPr>
      </w:pPr>
      <m:oMath>
        <m:r>
          <w:rPr>
            <w:rFonts w:ascii="Cambria Math" w:hAnsi="Cambria Math"/>
          </w:rPr>
          <m:t>ρ</m:t>
        </m:r>
      </m:oMath>
      <w:r>
        <w:t xml:space="preserve"> es la correlación entre los movimientos Brownianos.</w:t>
      </w:r>
    </w:p>
    <w:p w14:paraId="596F8CDA" w14:textId="3373335D" w:rsidR="00C83154" w:rsidRDefault="00C83154" w:rsidP="00C83154">
      <w:r>
        <w:t>El modelo de evolución para el ratio de dividendos es conocido como Cox-Ingersoll-Ross. Es común en la industria financiera utilizar este modelo para</w:t>
      </w:r>
      <w:r w:rsidR="00460E56">
        <w:t xml:space="preserve"> los tipos de interés, en lugar de para el ratio de dividendos. El estudio de este TFM consiste en ver si podemos calibrar este modelo para replicar los precios que se cotizan en el mercado de una serie de derivados financieros, y así poder medir riesgos asociados a los dividendos que no se podían estudiar sin usar algún modelo para la evolución de estos.</w:t>
      </w:r>
    </w:p>
    <w:p w14:paraId="12C1E4CC" w14:textId="0D528A18" w:rsidR="00460E56" w:rsidRDefault="00460E56" w:rsidP="00C83154">
      <w:r>
        <w:t>Existen muchos modelos de evolución que se podrían utilizar para este tipo de procesos (</w:t>
      </w:r>
      <w:r>
        <w:rPr>
          <w:color w:val="FF0000"/>
        </w:rPr>
        <w:t>ver si puedo meter la tabla de modelos de tipo de interés del Brigo-Mercurio</w:t>
      </w:r>
      <w:r>
        <w:t>):</w:t>
      </w:r>
    </w:p>
    <w:p w14:paraId="32886C66" w14:textId="677EB6B9" w:rsidR="00460E56" w:rsidRDefault="00460E56" w:rsidP="00C83154">
      <w:r>
        <w:rPr>
          <w:noProof/>
          <w:lang w:val="en-GB" w:eastAsia="en-GB"/>
        </w:rPr>
        <w:lastRenderedPageBreak/>
        <w:drawing>
          <wp:inline distT="0" distB="0" distL="0" distR="0" wp14:anchorId="0334BEB0" wp14:editId="4FBA1395">
            <wp:extent cx="5543550" cy="59150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5915025"/>
                    </a:xfrm>
                    <a:prstGeom prst="rect">
                      <a:avLst/>
                    </a:prstGeom>
                    <a:ln w="6350">
                      <a:solidFill>
                        <a:schemeClr val="tx1"/>
                      </a:solidFill>
                    </a:ln>
                  </pic:spPr>
                </pic:pic>
              </a:graphicData>
            </a:graphic>
          </wp:inline>
        </w:drawing>
      </w:r>
    </w:p>
    <w:p w14:paraId="2A74259A" w14:textId="77777777" w:rsidR="00C83154" w:rsidRDefault="00C83154" w:rsidP="003C433C"/>
    <w:p w14:paraId="44D34D53" w14:textId="54026A07" w:rsidR="00C83154" w:rsidRDefault="00F4634C" w:rsidP="003C433C">
      <w:r>
        <w:t>La elección del modelo de Cox-Ingersoll-Ross para el ratio de dividendos en este trabajo se debe a que es el modelo más sencillo que por construcción, asegura que el valor del subyacente modelado siempre será positivo en unas determinadas condiciones que serán comprobadas.</w:t>
      </w:r>
      <w:r w:rsidR="00653888">
        <w:t xml:space="preserve"> (</w:t>
      </w:r>
      <w:r w:rsidR="00653888" w:rsidRPr="00653888">
        <w:rPr>
          <w:color w:val="FF0000"/>
        </w:rPr>
        <w:t>HABLAR DE OTROS MODELOS, SOBRE TODO HULL WHITE, QUE ERA MI PRIMERA OPCIÓN</w:t>
      </w:r>
      <w:r w:rsidR="00653888">
        <w:t>)</w:t>
      </w:r>
    </w:p>
    <w:p w14:paraId="184B07CC" w14:textId="7B790F30" w:rsidR="00F4634C" w:rsidRDefault="00F4634C" w:rsidP="003C433C">
      <w:r>
        <w:t xml:space="preserve">Si nos fijamos en la notación utilizada para los parámetros del modelo </w:t>
      </w:r>
      <m:oMath>
        <m:sSup>
          <m:sSupPr>
            <m:ctrlPr>
              <w:rPr>
                <w:rFonts w:ascii="Cambria Math" w:hAnsi="Cambria Math" w:cs="Arial"/>
                <w:i/>
              </w:rPr>
            </m:ctrlPr>
          </m:sSupPr>
          <m:e>
            <m:r>
              <w:rPr>
                <w:rFonts w:ascii="Cambria Math" w:hAnsi="Cambria Math" w:cs="Arial"/>
              </w:rPr>
              <m:t>σ</m:t>
            </m:r>
          </m:e>
          <m:sup>
            <m:r>
              <w:rPr>
                <w:rFonts w:ascii="Cambria Math" w:hAnsi="Cambria Math" w:cs="Arial"/>
              </w:rPr>
              <m:t>S</m:t>
            </m:r>
          </m:sup>
        </m:sSup>
      </m:oMath>
      <w:r>
        <w:t xml:space="preserve">,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oMath>
      <w:r>
        <w:t xml:space="preserve"> y </w:t>
      </w:r>
      <m:oMath>
        <m:r>
          <w:rPr>
            <w:rFonts w:ascii="Cambria Math" w:hAnsi="Cambria Math" w:cs="Arial"/>
          </w:rPr>
          <m:t>b</m:t>
        </m:r>
      </m:oMath>
      <w:r>
        <w:t xml:space="preserve">, no se incluye dependencia temporal. Esta notación ha sido elegida por simplicidad, pero a la hora de realizar la calibración, asumiremos que los parámetros tienen una dependencia temporal, de manera </w:t>
      </w:r>
      <w:r>
        <w:lastRenderedPageBreak/>
        <w:t>que será constantes en varios intervalos, determinados por el vencimiento de los productos que usaremos en la calibración. Estos intervalos tendrán una longitud de un año cada uno.</w:t>
      </w:r>
    </w:p>
    <w:p w14:paraId="0ECA9F8A" w14:textId="77777777" w:rsidR="00653888" w:rsidRDefault="00653888" w:rsidP="003C433C"/>
    <w:p w14:paraId="3AAF4D03" w14:textId="2EA1F71C" w:rsidR="00F4634C" w:rsidRDefault="00F4634C" w:rsidP="00F4634C">
      <w:pPr>
        <w:pStyle w:val="Heading2"/>
      </w:pPr>
      <w:r>
        <w:t xml:space="preserve"> </w:t>
      </w:r>
      <w:bookmarkStart w:id="33" w:name="_Ref73471075"/>
      <w:r>
        <w:rPr>
          <w:caps w:val="0"/>
        </w:rPr>
        <w:t>Derivados financieros</w:t>
      </w:r>
      <w:r w:rsidRPr="00F4634C">
        <w:rPr>
          <w:caps w:val="0"/>
        </w:rPr>
        <w:t xml:space="preserve"> usados en la calibración</w:t>
      </w:r>
      <w:bookmarkEnd w:id="33"/>
    </w:p>
    <w:p w14:paraId="722A506B" w14:textId="55B1D41C" w:rsidR="00F4634C" w:rsidRDefault="00653888" w:rsidP="003C433C">
      <w:r>
        <w:t>De todos los productos presentados en la sección (</w:t>
      </w:r>
      <w:r w:rsidRPr="00653888">
        <w:rPr>
          <w:color w:val="FF0000"/>
        </w:rPr>
        <w:t xml:space="preserve">NO </w:t>
      </w:r>
      <w:r>
        <w:rPr>
          <w:color w:val="FF0000"/>
        </w:rPr>
        <w:t>SE AÚ</w:t>
      </w:r>
      <w:r w:rsidRPr="00653888">
        <w:rPr>
          <w:color w:val="FF0000"/>
        </w:rPr>
        <w:t>N</w:t>
      </w:r>
      <w:r>
        <w:t>) usaremos tres de ellos para calibrar el modelo.</w:t>
      </w:r>
    </w:p>
    <w:p w14:paraId="57EA61AB" w14:textId="24C62195" w:rsidR="00653888" w:rsidRDefault="00653888" w:rsidP="003C433C">
      <w:r>
        <w:t>La motivación para usar estos tres productos es que aparte de ser los más simples, sus precios son públicos y gratuitos. Todos los precios utilizados en este trabajo se han obtenido de la web del mercado europeo de productos financieros Eurex. (</w:t>
      </w:r>
      <w:r w:rsidRPr="00653888">
        <w:rPr>
          <w:color w:val="FF0000"/>
        </w:rPr>
        <w:t>REFERENCIAR</w:t>
      </w:r>
      <w:r>
        <w:t>) (</w:t>
      </w:r>
      <w:r w:rsidRPr="00653888">
        <w:rPr>
          <w:color w:val="FF0000"/>
        </w:rPr>
        <w:t>PONGO LOS PRECIOS AQUÍ?</w:t>
      </w:r>
      <w:r>
        <w:t>)</w:t>
      </w:r>
    </w:p>
    <w:p w14:paraId="60031A7B" w14:textId="7508FCC7" w:rsidR="00653888" w:rsidRDefault="00653888" w:rsidP="00653888">
      <w:pPr>
        <w:pStyle w:val="Heading3"/>
      </w:pPr>
      <w:bookmarkStart w:id="34" w:name="_Ref73462543"/>
      <w:r>
        <w:t>Opciones sobre el EUROSTOXX 50</w:t>
      </w:r>
      <w:bookmarkEnd w:id="34"/>
    </w:p>
    <w:p w14:paraId="0DBBC338" w14:textId="158949D8" w:rsidR="00653888" w:rsidRDefault="00653888" w:rsidP="00653888">
      <w:r>
        <w:t xml:space="preserve">El subyacente sobre el que el pago de este producto es calculado es el EUROSTOXX 50, que en el modelo presentado en esta sección está representado por el valor de </w:t>
      </w:r>
      <m:oMath>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oMath>
      <w:r>
        <w:t>.</w:t>
      </w:r>
    </w:p>
    <w:p w14:paraId="4EE298E4" w14:textId="4ABE6F98" w:rsidR="00653888" w:rsidRDefault="00674452" w:rsidP="00653888">
      <w:r>
        <w:t xml:space="preserve">Utilizaremos las opciones call, aunque podríamos haber utilizado indistintamente las opciones put. </w:t>
      </w:r>
      <w:r w:rsidR="00653888">
        <w:t>Como vimos en la sección (</w:t>
      </w:r>
      <w:r w:rsidR="00653888" w:rsidRPr="00653888">
        <w:rPr>
          <w:color w:val="FF0000"/>
        </w:rPr>
        <w:t>NO SE AÚN</w:t>
      </w:r>
      <w:r w:rsidR="00653888">
        <w:t>)</w:t>
      </w:r>
      <w:r>
        <w:t xml:space="preserve">, el pago en el momento del vencimiento </w:t>
      </w:r>
      <m:oMath>
        <m:r>
          <w:rPr>
            <w:rFonts w:ascii="Cambria Math" w:hAnsi="Cambria Math"/>
          </w:rPr>
          <m:t>T</m:t>
        </m:r>
      </m:oMath>
      <w:r>
        <w:t xml:space="preserve"> de este producto sería</w:t>
      </w:r>
    </w:p>
    <w:p w14:paraId="2226EF7E" w14:textId="58471A73" w:rsidR="00674452" w:rsidRPr="00653888" w:rsidRDefault="00CF4682" w:rsidP="00653888">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S</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 0)</m:t>
              </m:r>
            </m:e>
          </m:func>
        </m:oMath>
      </m:oMathPara>
    </w:p>
    <w:p w14:paraId="038DB004" w14:textId="7C56665D" w:rsidR="00674452" w:rsidRDefault="00674452" w:rsidP="003C433C">
      <w:r>
        <w:t>En la web donde se obtienen los precios, podemos ver que existen precios para diferentes strikes K. (</w:t>
      </w:r>
      <w:r>
        <w:rPr>
          <w:color w:val="FF0000"/>
        </w:rPr>
        <w:t>IGUAL PUEDO HABLAR SOBRE MODELOS MÁS AVANZADOS, DE VOLATILIDAD LOCAL EN LA QUE SE USA LA SUPERFICIE DE PRECIOS A DIFERENTES K Y T</w:t>
      </w:r>
      <w:r>
        <w:t xml:space="preserve">). En este trabajo hemos utilizado los precios para el strike K que es igual al precio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del EUROSTOXX 50 en el momento </w:t>
      </w:r>
      <m:oMath>
        <m:r>
          <w:rPr>
            <w:rFonts w:ascii="Cambria Math" w:hAnsi="Cambria Math"/>
          </w:rPr>
          <m:t>t</m:t>
        </m:r>
      </m:oMath>
      <w:r>
        <w:t xml:space="preserve"> en el que estamos valorando los productos. Este momento </w:t>
      </w:r>
      <m:oMath>
        <m:r>
          <w:rPr>
            <w:rFonts w:ascii="Cambria Math" w:hAnsi="Cambria Math"/>
          </w:rPr>
          <m:t>t</m:t>
        </m:r>
      </m:oMath>
      <w:r>
        <w:t xml:space="preserve"> elegido</w:t>
      </w:r>
      <w:r>
        <w:rPr>
          <w:rStyle w:val="FootnoteReference"/>
        </w:rPr>
        <w:footnoteReference w:id="1"/>
      </w:r>
      <w:r>
        <w:t xml:space="preserve"> se trata del cierre de mercado del día 01/04/2020. Concretamente, este valor</w:t>
      </w:r>
      <w:r w:rsidR="004B32D7">
        <w:t xml:space="preserve"> (en EUR)</w:t>
      </w:r>
      <w:r>
        <w:t xml:space="preserve"> se trata de </w:t>
      </w:r>
    </w:p>
    <w:p w14:paraId="17121E66" w14:textId="6EBC0461" w:rsidR="00674452" w:rsidRPr="004B32D7" w:rsidRDefault="00674452" w:rsidP="003C433C">
      <m:oMathPara>
        <m:oMath>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r>
            <w:rPr>
              <w:rFonts w:ascii="Cambria Math" w:hAnsi="Cambria Math"/>
            </w:rPr>
            <m:t>2680.3</m:t>
          </m:r>
        </m:oMath>
      </m:oMathPara>
    </w:p>
    <w:p w14:paraId="15225719" w14:textId="0796B5FF" w:rsidR="004B32D7" w:rsidRDefault="004B32D7" w:rsidP="003C433C">
      <w:r>
        <w:lastRenderedPageBreak/>
        <w:t xml:space="preserve">Si nos fijamos en la web de Eurex, no se venden opciones con este strike en concreto. </w:t>
      </w:r>
      <w:r w:rsidR="00452186">
        <w:t xml:space="preserve">Los strikes más cercanos a este son </w:t>
      </w:r>
      <m:oMath>
        <m:r>
          <w:rPr>
            <w:rFonts w:ascii="Cambria Math" w:hAnsi="Cambria Math"/>
          </w:rPr>
          <m:t>26</m:t>
        </m:r>
        <m:r>
          <w:rPr>
            <w:rFonts w:ascii="Cambria Math" w:hAnsi="Cambria Math"/>
          </w:rPr>
          <m:t>75</m:t>
        </m:r>
      </m:oMath>
      <w:r w:rsidR="00452186">
        <w:t xml:space="preserve"> y </w:t>
      </w:r>
      <m:oMath>
        <m:r>
          <w:rPr>
            <w:rFonts w:ascii="Cambria Math" w:hAnsi="Cambria Math"/>
          </w:rPr>
          <m:t>2700</m:t>
        </m:r>
      </m:oMath>
      <w:r w:rsidR="00452186">
        <w:t>, luego para obtener los precios que buscamos, interpolaremos linealmente el precio entre estos dos strikes.</w:t>
      </w:r>
    </w:p>
    <w:p w14:paraId="15BD120C" w14:textId="59941609" w:rsidR="00674452" w:rsidRDefault="004B32D7" w:rsidP="003C433C">
      <w:r>
        <w:t>Los vencimientos de las cuatro opciones que utilizamos son:</w:t>
      </w:r>
    </w:p>
    <w:tbl>
      <w:tblPr>
        <w:tblStyle w:val="TableGrid"/>
        <w:tblW w:w="0" w:type="auto"/>
        <w:tblLook w:val="04A0" w:firstRow="1" w:lastRow="0" w:firstColumn="1" w:lastColumn="0" w:noHBand="0" w:noVBand="1"/>
      </w:tblPr>
      <w:tblGrid>
        <w:gridCol w:w="4530"/>
        <w:gridCol w:w="4531"/>
      </w:tblGrid>
      <w:tr w:rsidR="004B32D7" w14:paraId="27691716" w14:textId="77777777" w:rsidTr="004B32D7">
        <w:tc>
          <w:tcPr>
            <w:tcW w:w="4530" w:type="dxa"/>
          </w:tcPr>
          <w:p w14:paraId="6FF1A5C4" w14:textId="0B0A8782" w:rsidR="004B32D7" w:rsidRDefault="004B32D7" w:rsidP="003C433C">
            <w:r>
              <w:t>T1</w:t>
            </w:r>
          </w:p>
        </w:tc>
        <w:tc>
          <w:tcPr>
            <w:tcW w:w="4531" w:type="dxa"/>
          </w:tcPr>
          <w:p w14:paraId="24713E20" w14:textId="5CC54E08" w:rsidR="004B32D7" w:rsidRDefault="004B32D7" w:rsidP="003C433C">
            <w:r>
              <w:t>18/12/2020</w:t>
            </w:r>
          </w:p>
        </w:tc>
      </w:tr>
      <w:tr w:rsidR="004B32D7" w14:paraId="2B2FD5C6" w14:textId="77777777" w:rsidTr="004B32D7">
        <w:tc>
          <w:tcPr>
            <w:tcW w:w="4530" w:type="dxa"/>
          </w:tcPr>
          <w:p w14:paraId="05A76915" w14:textId="66C3BE40" w:rsidR="004B32D7" w:rsidRDefault="004B32D7" w:rsidP="003C433C">
            <w:r>
              <w:t>T2</w:t>
            </w:r>
          </w:p>
        </w:tc>
        <w:tc>
          <w:tcPr>
            <w:tcW w:w="4531" w:type="dxa"/>
          </w:tcPr>
          <w:p w14:paraId="0277060D" w14:textId="3FE4B92C" w:rsidR="004B32D7" w:rsidRDefault="004B32D7" w:rsidP="003C433C">
            <w:r>
              <w:t>17/12/2021</w:t>
            </w:r>
          </w:p>
        </w:tc>
      </w:tr>
      <w:tr w:rsidR="004B32D7" w14:paraId="1EA24527" w14:textId="77777777" w:rsidTr="004B32D7">
        <w:tc>
          <w:tcPr>
            <w:tcW w:w="4530" w:type="dxa"/>
          </w:tcPr>
          <w:p w14:paraId="6528D77C" w14:textId="6AA340C4" w:rsidR="004B32D7" w:rsidRDefault="004B32D7" w:rsidP="003C433C">
            <w:r>
              <w:t>T3</w:t>
            </w:r>
          </w:p>
        </w:tc>
        <w:tc>
          <w:tcPr>
            <w:tcW w:w="4531" w:type="dxa"/>
          </w:tcPr>
          <w:p w14:paraId="6ADF969F" w14:textId="59B9D722" w:rsidR="004B32D7" w:rsidRDefault="004B32D7" w:rsidP="003C433C">
            <w:r>
              <w:t>16/12/2022</w:t>
            </w:r>
          </w:p>
        </w:tc>
      </w:tr>
      <w:tr w:rsidR="004B32D7" w14:paraId="4470E364" w14:textId="77777777" w:rsidTr="004B32D7">
        <w:tc>
          <w:tcPr>
            <w:tcW w:w="4530" w:type="dxa"/>
          </w:tcPr>
          <w:p w14:paraId="48D4FD64" w14:textId="081611D2" w:rsidR="004B32D7" w:rsidRDefault="004B32D7" w:rsidP="003C433C">
            <w:r>
              <w:t>T4</w:t>
            </w:r>
          </w:p>
        </w:tc>
        <w:tc>
          <w:tcPr>
            <w:tcW w:w="4531" w:type="dxa"/>
          </w:tcPr>
          <w:p w14:paraId="2E09AE4F" w14:textId="45B5107D" w:rsidR="004B32D7" w:rsidRDefault="004B32D7" w:rsidP="003C433C">
            <w:r>
              <w:t>15/12/2023</w:t>
            </w:r>
          </w:p>
        </w:tc>
      </w:tr>
    </w:tbl>
    <w:p w14:paraId="6065BEE8" w14:textId="0013FDFE" w:rsidR="004B32D7" w:rsidRDefault="004B32D7" w:rsidP="003C433C"/>
    <w:p w14:paraId="1A03A482" w14:textId="27CA5944" w:rsidR="004B32D7" w:rsidRDefault="004B32D7" w:rsidP="003C433C">
      <w:r>
        <w:t>Comúnmente, en los mercados organizados, los vencimientos de los productos que se comercian coinciden con el tercer viernes no festivo del mes en cuestión.</w:t>
      </w:r>
    </w:p>
    <w:p w14:paraId="40CBDBE4" w14:textId="2F8CFFBC" w:rsidR="00674452" w:rsidRDefault="004B32D7" w:rsidP="003C433C">
      <w:r>
        <w:t>Finalmente, los precios de mercado (en EUR) de estas opciones call son:</w:t>
      </w:r>
    </w:p>
    <w:p w14:paraId="7D5C122A" w14:textId="3C28542B" w:rsidR="004B32D7" w:rsidRPr="004B32D7" w:rsidRDefault="004B32D7" w:rsidP="003C433C">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S</m:t>
              </m:r>
            </m:sup>
          </m:sSubSup>
          <m:r>
            <w:rPr>
              <w:rFonts w:ascii="Cambria Math" w:hAnsi="Cambria Math"/>
            </w:rPr>
            <m:t>=239.0016</m:t>
          </m:r>
        </m:oMath>
      </m:oMathPara>
    </w:p>
    <w:p w14:paraId="2880E72A" w14:textId="546A3E61" w:rsidR="004B32D7" w:rsidRDefault="004B32D7"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S</m:t>
              </m:r>
            </m:sup>
          </m:sSubSup>
          <m:r>
            <w:rPr>
              <w:rFonts w:ascii="Cambria Math" w:hAnsi="Cambria Math"/>
            </w:rPr>
            <m:t>=292.9</m:t>
          </m:r>
          <m:r>
            <w:rPr>
              <w:rFonts w:ascii="Cambria Math" w:hAnsi="Cambria Math"/>
            </w:rPr>
            <m:t>000</m:t>
          </m:r>
        </m:oMath>
      </m:oMathPara>
    </w:p>
    <w:p w14:paraId="74336D7C" w14:textId="118ACA7E" w:rsidR="004B32D7" w:rsidRDefault="004B32D7"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S</m:t>
              </m:r>
            </m:sup>
          </m:sSubSup>
          <m:r>
            <w:rPr>
              <w:rFonts w:ascii="Cambria Math" w:hAnsi="Cambria Math"/>
            </w:rPr>
            <m:t>=312.5604</m:t>
          </m:r>
        </m:oMath>
      </m:oMathPara>
    </w:p>
    <w:p w14:paraId="73FC35AA" w14:textId="1BD320E1" w:rsidR="004B32D7" w:rsidRDefault="004B32D7" w:rsidP="004B32D7">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S</m:t>
              </m:r>
            </m:sup>
          </m:sSubSup>
          <m:r>
            <w:rPr>
              <w:rFonts w:ascii="Cambria Math" w:hAnsi="Cambria Math"/>
            </w:rPr>
            <m:t>=336.7692</m:t>
          </m:r>
        </m:oMath>
      </m:oMathPara>
    </w:p>
    <w:p w14:paraId="557AD4AB" w14:textId="14F43972" w:rsidR="004B32D7" w:rsidRDefault="00452186" w:rsidP="003C433C">
      <w:r>
        <w:t>Estos precios son los que introduciremos como input en el algoritmo de optimización. Según la fórmula de valoración de riesgo neutro presentada en la sección (</w:t>
      </w:r>
      <w:r w:rsidRPr="00452186">
        <w:rPr>
          <w:color w:val="FF0000"/>
        </w:rPr>
        <w:t>AUN NO SE</w:t>
      </w:r>
      <w:r>
        <w:t xml:space="preserve">), esto precios </w:t>
      </w:r>
      <w:r w:rsidR="00C57BB0">
        <w:t>pueden</w:t>
      </w:r>
      <w:r>
        <w:t xml:space="preserve"> de ser calculados a través de nuestro modelo teórico propuesto como:</w:t>
      </w:r>
    </w:p>
    <w:p w14:paraId="2363795E" w14:textId="1511E664" w:rsidR="00452186" w:rsidRDefault="00452186" w:rsidP="003C433C">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S</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S</m:t>
                  </m:r>
                </m:sup>
              </m:sSubSup>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-K, 0)</m:t>
                  </m:r>
                </m:e>
              </m:func>
              <m:r>
                <m:rPr>
                  <m:scr m:val="script"/>
                </m:rPr>
                <w:rPr>
                  <w:rFonts w:ascii="Cambria Math" w:hAnsi="Cambria Math"/>
                </w:rPr>
                <m:t>|F(</m:t>
              </m:r>
              <m:r>
                <w:rPr>
                  <w:rFonts w:ascii="Cambria Math" w:hAnsi="Cambria Math"/>
                </w:rPr>
                <m:t>t)</m:t>
              </m:r>
            </m:e>
          </m:d>
        </m:oMath>
      </m:oMathPara>
    </w:p>
    <w:p w14:paraId="67BFA31A" w14:textId="7659F873" w:rsidR="00674452" w:rsidRDefault="00452186" w:rsidP="003C433C">
      <w:r>
        <w:t>En la sección 5.algo veremos cómo calcular este precio teórico con un método Montecarlo.</w:t>
      </w:r>
    </w:p>
    <w:p w14:paraId="1302D0A3" w14:textId="77777777" w:rsidR="0031458A" w:rsidRDefault="0031458A" w:rsidP="003C433C"/>
    <w:p w14:paraId="2E81E16F" w14:textId="675B66FC" w:rsidR="0031458A" w:rsidRDefault="0031458A" w:rsidP="0031458A">
      <w:pPr>
        <w:pStyle w:val="Heading3"/>
      </w:pPr>
      <w:bookmarkStart w:id="35" w:name="_Ref73471554"/>
      <w:r>
        <w:lastRenderedPageBreak/>
        <w:t>Futuros sobre el índice de dividendos del EUROSTOXX 50.</w:t>
      </w:r>
      <w:bookmarkEnd w:id="35"/>
    </w:p>
    <w:p w14:paraId="6E0AC704" w14:textId="43308FF8" w:rsidR="0031458A" w:rsidRDefault="00A3796D" w:rsidP="003C433C">
      <w:r>
        <w:t xml:space="preserve">Trabajar con derivados sobre los dividendos del EUROSTOXX 50 no es tan sencillo como trabajar con el índice en sí mismo. En este caso, los productos que encontramos en el mercado no tiene como subyacente la variable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directamente.</w:t>
      </w:r>
    </w:p>
    <w:p w14:paraId="7D9473EF" w14:textId="40E1881E" w:rsidR="00A3796D" w:rsidRDefault="00A3796D" w:rsidP="003C433C">
      <w:r>
        <w:t xml:space="preserve">Esta variable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la hemos definido como ratio de dividendos pagados en un instante </w:t>
      </w:r>
      <m:oMath>
        <m:r>
          <w:rPr>
            <w:rFonts w:ascii="Cambria Math" w:hAnsi="Cambria Math"/>
          </w:rPr>
          <m:t>t</m:t>
        </m:r>
      </m:oMath>
      <w:r>
        <w:t>, lo que quiere decir que la cantidad de dividendos pagados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oMath>
      <w:r>
        <w:t xml:space="preserve">) en dicho instante (en EUR) es </w:t>
      </w:r>
    </w:p>
    <w:p w14:paraId="390FE626" w14:textId="1C088E57" w:rsidR="00A3796D" w:rsidRDefault="00A3796D" w:rsidP="003C433C">
      <m:oMathPara>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m:oMathPara>
    </w:p>
    <w:p w14:paraId="5D68862A" w14:textId="7BCD9D64" w:rsidR="00A3796D" w:rsidRDefault="00E02C94" w:rsidP="003C433C">
      <w:r>
        <w:t>En nuestro caso, como veremos en la sección (</w:t>
      </w:r>
      <w:r w:rsidRPr="00E02C94">
        <w:rPr>
          <w:color w:val="FF0000"/>
        </w:rPr>
        <w:t>SEC. EULER MARUYAMA</w:t>
      </w:r>
      <w:r>
        <w:t xml:space="preserve">), discretizaremos el tiempo en nuestro problema en intervalos de un día. Por tanto, </w:t>
      </w:r>
      <m:oMath>
        <m:sSub>
          <m:sSubPr>
            <m:ctrlPr>
              <w:rPr>
                <w:rFonts w:ascii="Cambria Math" w:hAnsi="Cambria Math" w:cs="Arial"/>
                <w:i/>
              </w:rPr>
            </m:ctrlPr>
          </m:sSubPr>
          <m:e>
            <m:r>
              <w:rPr>
                <w:rFonts w:ascii="Cambria Math" w:hAnsi="Cambria Math" w:cs="Arial"/>
              </w:rPr>
              <m:t>δ</m:t>
            </m:r>
          </m:e>
          <m:sub>
            <m:r>
              <w:rPr>
                <w:rFonts w:ascii="Cambria Math" w:hAnsi="Cambria Math" w:cs="Arial"/>
              </w:rPr>
              <m:t>t</m:t>
            </m:r>
          </m:sub>
        </m:sSub>
        <m:r>
          <w:rPr>
            <w:rFonts w:ascii="Cambria Math" w:hAnsi="Cambria Math" w:cs="Arial"/>
          </w:rPr>
          <m:t>∙</m:t>
        </m:r>
        <m:r>
          <m:rPr>
            <m:sty m:val="p"/>
          </m:rPr>
          <w:rPr>
            <w:rFonts w:ascii="Cambria Math" w:hAnsi="Cambria Math" w:cs="Arial"/>
          </w:rPr>
          <m:t>Δ</m:t>
        </m:r>
        <m:r>
          <w:rPr>
            <w:rFonts w:ascii="Cambria Math" w:hAnsi="Cambria Math" w:cs="Arial"/>
          </w:rPr>
          <m:t>t</m:t>
        </m:r>
      </m:oMath>
      <w:r>
        <w:t xml:space="preserve"> representa los dividendos pagados en un cierto día </w:t>
      </w:r>
      <m:oMath>
        <m:r>
          <w:rPr>
            <w:rFonts w:ascii="Cambria Math" w:hAnsi="Cambria Math"/>
          </w:rPr>
          <m:t>t</m:t>
        </m:r>
      </m:oMath>
      <w:r w:rsidR="001D4659">
        <w:t xml:space="preserve">, con </w:t>
      </w:r>
      <m:oMath>
        <m:r>
          <m:rPr>
            <m:sty m:val="p"/>
          </m:rPr>
          <w:rPr>
            <w:rFonts w:ascii="Cambria Math" w:hAnsi="Cambria Math" w:cs="Arial"/>
          </w:rPr>
          <m:t>Δ</m:t>
        </m:r>
        <m:r>
          <w:rPr>
            <w:rFonts w:ascii="Cambria Math" w:hAnsi="Cambria Math" w:cs="Arial"/>
          </w:rPr>
          <m:t>t</m:t>
        </m:r>
      </m:oMath>
      <w:r w:rsidR="001D4659">
        <w:t xml:space="preserve"> siendo el la duración de un día en años.</w:t>
      </w:r>
    </w:p>
    <w:p w14:paraId="6979AC23" w14:textId="337EC00C" w:rsidR="001D4659" w:rsidRDefault="001D4659" w:rsidP="003C433C">
      <w:r>
        <w:t xml:space="preserve">El índice de dividendos sobre el que se construyen los derivados es EUROSTOXX 50 DVP, que incluye no solo los dividendos pagados en un día, sino los dividendos totales acumulados a lo largo de un año. Es decir, este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se calcula como</w:t>
      </w:r>
    </w:p>
    <w:p w14:paraId="5AA10A2B" w14:textId="0245F437" w:rsidR="001D4659" w:rsidRDefault="001D4659" w:rsidP="003C433C">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oMath>
      </m:oMathPara>
    </w:p>
    <w:p w14:paraId="4C0D40E0" w14:textId="12620703" w:rsidR="001D4659" w:rsidRDefault="00C57BB0" w:rsidP="003C433C">
      <w:r>
        <w:t>Donde:</w:t>
      </w:r>
    </w:p>
    <w:p w14:paraId="55B3CB1D" w14:textId="486A19DB" w:rsidR="00C57BB0" w:rsidRDefault="00C57BB0" w:rsidP="00C57BB0">
      <w:pPr>
        <w:pStyle w:val="ListParagraph"/>
        <w:numPr>
          <w:ilvl w:val="0"/>
          <w:numId w:val="34"/>
        </w:numPr>
      </w:pP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es el día de comienzo del año en el que se calcula el índice.</w:t>
      </w:r>
    </w:p>
    <w:p w14:paraId="571F680A" w14:textId="4BA65DD2" w:rsidR="00C57BB0" w:rsidRDefault="00C57BB0" w:rsidP="00C57BB0">
      <w:pPr>
        <w:pStyle w:val="ListParagraph"/>
        <w:numPr>
          <w:ilvl w:val="0"/>
          <w:numId w:val="34"/>
        </w:numPr>
      </w:pPr>
      <m:oMath>
        <m:sSub>
          <m:sSubPr>
            <m:ctrlPr>
              <w:rPr>
                <w:rFonts w:ascii="Cambria Math" w:hAnsi="Cambria Math" w:cs="Arial"/>
                <w:i/>
              </w:rPr>
            </m:ctrlPr>
          </m:sSubPr>
          <m:e>
            <m:r>
              <w:rPr>
                <w:rFonts w:ascii="Cambria Math" w:hAnsi="Cambria Math" w:cs="Arial"/>
              </w:rPr>
              <m:t>t</m:t>
            </m:r>
          </m:e>
          <m:sub>
            <m:r>
              <w:rPr>
                <w:rFonts w:ascii="Cambria Math" w:hAnsi="Cambria Math" w:cs="Arial"/>
              </w:rPr>
              <m:t>n</m:t>
            </m:r>
          </m:sub>
        </m:sSub>
      </m:oMath>
      <w:r>
        <w:t xml:space="preserve"> coincide con el instante </w:t>
      </w:r>
      <m:oMath>
        <m:r>
          <w:rPr>
            <w:rFonts w:ascii="Cambria Math" w:hAnsi="Cambria Math"/>
          </w:rPr>
          <m:t>t</m:t>
        </m:r>
      </m:oMath>
      <w:r>
        <w:t xml:space="preserve"> en el que se está calculando el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w:t>
      </w:r>
    </w:p>
    <w:p w14:paraId="66791A6B" w14:textId="35056A00" w:rsidR="00C57BB0" w:rsidRDefault="00C57BB0" w:rsidP="00C57BB0">
      <w:r>
        <w:t>Al igual que en el caso de las opciones sobre el EUROSTOXX 50, tomaremos los precios de los futuros sobre el índice EUROSTOXX 50 DVP en los vencimientos</w:t>
      </w:r>
    </w:p>
    <w:tbl>
      <w:tblPr>
        <w:tblStyle w:val="TableGrid"/>
        <w:tblW w:w="0" w:type="auto"/>
        <w:tblLook w:val="04A0" w:firstRow="1" w:lastRow="0" w:firstColumn="1" w:lastColumn="0" w:noHBand="0" w:noVBand="1"/>
      </w:tblPr>
      <w:tblGrid>
        <w:gridCol w:w="4530"/>
        <w:gridCol w:w="4531"/>
      </w:tblGrid>
      <w:tr w:rsidR="00C57BB0" w14:paraId="0D688FC5" w14:textId="77777777" w:rsidTr="00CF4682">
        <w:tc>
          <w:tcPr>
            <w:tcW w:w="4530" w:type="dxa"/>
          </w:tcPr>
          <w:p w14:paraId="19F25187" w14:textId="77777777" w:rsidR="00C57BB0" w:rsidRDefault="00C57BB0" w:rsidP="00CF4682">
            <w:r>
              <w:t>T1</w:t>
            </w:r>
          </w:p>
        </w:tc>
        <w:tc>
          <w:tcPr>
            <w:tcW w:w="4531" w:type="dxa"/>
          </w:tcPr>
          <w:p w14:paraId="002E5B13" w14:textId="77777777" w:rsidR="00C57BB0" w:rsidRDefault="00C57BB0" w:rsidP="00CF4682">
            <w:r>
              <w:t>18/12/2020</w:t>
            </w:r>
          </w:p>
        </w:tc>
      </w:tr>
      <w:tr w:rsidR="00C57BB0" w14:paraId="7281AC5C" w14:textId="77777777" w:rsidTr="00CF4682">
        <w:tc>
          <w:tcPr>
            <w:tcW w:w="4530" w:type="dxa"/>
          </w:tcPr>
          <w:p w14:paraId="7F601DF4" w14:textId="77777777" w:rsidR="00C57BB0" w:rsidRDefault="00C57BB0" w:rsidP="00CF4682">
            <w:r>
              <w:t>T2</w:t>
            </w:r>
          </w:p>
        </w:tc>
        <w:tc>
          <w:tcPr>
            <w:tcW w:w="4531" w:type="dxa"/>
          </w:tcPr>
          <w:p w14:paraId="256A1A5A" w14:textId="77777777" w:rsidR="00C57BB0" w:rsidRDefault="00C57BB0" w:rsidP="00CF4682">
            <w:r>
              <w:t>17/12/2021</w:t>
            </w:r>
          </w:p>
        </w:tc>
      </w:tr>
      <w:tr w:rsidR="00C57BB0" w14:paraId="543C21DA" w14:textId="77777777" w:rsidTr="00CF4682">
        <w:tc>
          <w:tcPr>
            <w:tcW w:w="4530" w:type="dxa"/>
          </w:tcPr>
          <w:p w14:paraId="73BE3211" w14:textId="77777777" w:rsidR="00C57BB0" w:rsidRDefault="00C57BB0" w:rsidP="00CF4682">
            <w:r>
              <w:t>T3</w:t>
            </w:r>
          </w:p>
        </w:tc>
        <w:tc>
          <w:tcPr>
            <w:tcW w:w="4531" w:type="dxa"/>
          </w:tcPr>
          <w:p w14:paraId="62939EB3" w14:textId="77777777" w:rsidR="00C57BB0" w:rsidRDefault="00C57BB0" w:rsidP="00CF4682">
            <w:r>
              <w:t>16/12/2022</w:t>
            </w:r>
          </w:p>
        </w:tc>
      </w:tr>
      <w:tr w:rsidR="00C57BB0" w14:paraId="72AFB27D" w14:textId="77777777" w:rsidTr="00CF4682">
        <w:tc>
          <w:tcPr>
            <w:tcW w:w="4530" w:type="dxa"/>
          </w:tcPr>
          <w:p w14:paraId="21EB8675" w14:textId="77777777" w:rsidR="00C57BB0" w:rsidRDefault="00C57BB0" w:rsidP="00CF4682">
            <w:r>
              <w:t>T4</w:t>
            </w:r>
          </w:p>
        </w:tc>
        <w:tc>
          <w:tcPr>
            <w:tcW w:w="4531" w:type="dxa"/>
          </w:tcPr>
          <w:p w14:paraId="6391FD4F" w14:textId="77777777" w:rsidR="00C57BB0" w:rsidRDefault="00C57BB0" w:rsidP="00CF4682">
            <w:r>
              <w:t>15/12/2023</w:t>
            </w:r>
          </w:p>
        </w:tc>
      </w:tr>
    </w:tbl>
    <w:p w14:paraId="12943EB1" w14:textId="77777777" w:rsidR="00C57BB0" w:rsidRDefault="00C57BB0" w:rsidP="003C433C"/>
    <w:p w14:paraId="26F2DA9D" w14:textId="5B6CE44B" w:rsidR="00E02C94" w:rsidRDefault="00C57BB0" w:rsidP="003C433C">
      <w:r>
        <w:t>Los precios de mercado de los futuros (en EUR) para estos cuatro vencimientos son:</w:t>
      </w:r>
    </w:p>
    <w:p w14:paraId="37B40135" w14:textId="266BB04F" w:rsidR="00C57BB0" w:rsidRPr="004B32D7" w:rsidRDefault="00C57BB0"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FutD</m:t>
              </m:r>
            </m:sup>
          </m:sSubSup>
          <m:r>
            <w:rPr>
              <w:rFonts w:ascii="Cambria Math" w:hAnsi="Cambria Math"/>
            </w:rPr>
            <m:t>=53.1</m:t>
          </m:r>
        </m:oMath>
      </m:oMathPara>
    </w:p>
    <w:p w14:paraId="0F9F1FC7" w14:textId="15B1CC2D" w:rsidR="00C57BB0" w:rsidRDefault="00C57BB0"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FutD</m:t>
              </m:r>
            </m:sup>
          </m:sSubSup>
          <m:r>
            <w:rPr>
              <w:rFonts w:ascii="Cambria Math" w:hAnsi="Cambria Math"/>
            </w:rPr>
            <m:t>=49.8</m:t>
          </m:r>
        </m:oMath>
      </m:oMathPara>
    </w:p>
    <w:p w14:paraId="6692E0BE" w14:textId="7E034DDA" w:rsidR="00C57BB0" w:rsidRDefault="00C57BB0"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FutD</m:t>
              </m:r>
            </m:sup>
          </m:sSubSup>
          <m:r>
            <w:rPr>
              <w:rFonts w:ascii="Cambria Math" w:hAnsi="Cambria Math"/>
            </w:rPr>
            <m:t>=63.6</m:t>
          </m:r>
        </m:oMath>
      </m:oMathPara>
    </w:p>
    <w:p w14:paraId="2BC4D5DB" w14:textId="12561409" w:rsidR="00C57BB0" w:rsidRDefault="00C57BB0" w:rsidP="00C57BB0">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FutD</m:t>
              </m:r>
            </m:sup>
          </m:sSubSup>
          <m:r>
            <w:rPr>
              <w:rFonts w:ascii="Cambria Math" w:hAnsi="Cambria Math"/>
            </w:rPr>
            <m:t>=67.4</m:t>
          </m:r>
        </m:oMath>
      </m:oMathPara>
    </w:p>
    <w:p w14:paraId="7B7EEF47" w14:textId="77777777" w:rsidR="00C57BB0" w:rsidRDefault="00C57BB0" w:rsidP="003C433C"/>
    <w:p w14:paraId="28E29860" w14:textId="4830C385" w:rsidR="00C57BB0" w:rsidRDefault="00C57BB0" w:rsidP="00C57BB0">
      <w:r>
        <w:t>Al igual que en el caso anterior, estos precios también los usaremos como input en el algoritmo de optimización. Según la teoría explicada en la sección (</w:t>
      </w:r>
      <w:r w:rsidRPr="00C57BB0">
        <w:rPr>
          <w:color w:val="FF0000"/>
        </w:rPr>
        <w:t>AÚN NO SE</w:t>
      </w:r>
      <w:r>
        <w:t>), esto precios pueden de ser calculados a través de nuestro modelo teórico propuesto como:</w:t>
      </w:r>
    </w:p>
    <w:p w14:paraId="05AB5683" w14:textId="54CCB1CC" w:rsidR="00E80A2A" w:rsidRPr="007860B6" w:rsidRDefault="00E80A2A" w:rsidP="00E80A2A">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S</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r>
                <m:rPr>
                  <m:scr m:val="script"/>
                </m:rPr>
                <w:rPr>
                  <w:rFonts w:ascii="Cambria Math" w:hAnsi="Cambria Math"/>
                </w:rPr>
                <m:t>|F(</m:t>
              </m:r>
              <m:r>
                <w:rPr>
                  <w:rFonts w:ascii="Cambria Math" w:hAnsi="Cambria Math"/>
                </w:rPr>
                <m:t>t)</m:t>
              </m:r>
            </m:e>
          </m:d>
        </m:oMath>
      </m:oMathPara>
    </w:p>
    <w:p w14:paraId="7FEC71E6" w14:textId="3528B2FC" w:rsidR="007860B6" w:rsidRDefault="007860B6" w:rsidP="00E80A2A">
      <w:r>
        <w:t xml:space="preserve">Hay que tener cuidado a la hora de simular el valor de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t xml:space="preserve"> cuando el vencimiento es mayor a un año, ya que no hay que acumular los valores de los dividendos pagados en el año anterior.</w:t>
      </w:r>
    </w:p>
    <w:p w14:paraId="0F49637E" w14:textId="44A8E6E5" w:rsidR="00E02C94" w:rsidRDefault="008F6C2A" w:rsidP="008F6C2A">
      <w:pPr>
        <w:pStyle w:val="Heading3"/>
      </w:pPr>
      <w:r>
        <w:t>Opciones sobre el índice de dividendos del EUROSTOXX 50</w:t>
      </w:r>
    </w:p>
    <w:p w14:paraId="28D1EC2E" w14:textId="77777777" w:rsidR="00CF4682" w:rsidRDefault="008F6C2A" w:rsidP="008F6C2A">
      <w:r>
        <w:t xml:space="preserve">Una vez ya sabemos calcular el índice EUROSTOXX 50 DVP, podemos seguir el mismo procedimiento que el indicado en la sección </w:t>
      </w:r>
      <w:r>
        <w:fldChar w:fldCharType="begin"/>
      </w:r>
      <w:r>
        <w:instrText xml:space="preserve"> REF _Ref73462543 \r \h </w:instrText>
      </w:r>
      <w:r>
        <w:fldChar w:fldCharType="separate"/>
      </w:r>
      <w:r>
        <w:t>5.2.1</w:t>
      </w:r>
      <w:r>
        <w:fldChar w:fldCharType="end"/>
      </w:r>
      <w:r>
        <w:t xml:space="preserve"> para valorar opciones call sobre este índice. En este caso, el pago a vencimiento de est</w:t>
      </w:r>
      <w:r w:rsidR="00CF4682">
        <w:t>e producto sería</w:t>
      </w:r>
    </w:p>
    <w:p w14:paraId="20CE6137" w14:textId="7619A26B" w:rsidR="00CF4682" w:rsidRPr="00653888" w:rsidRDefault="00CF4682" w:rsidP="00CF4682">
      <w:pPr>
        <w:jc w:val="cente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D</m:t>
              </m:r>
            </m:sup>
          </m:sSub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-K, 0)</m:t>
              </m:r>
            </m:e>
          </m:func>
        </m:oMath>
      </m:oMathPara>
    </w:p>
    <w:p w14:paraId="497C67DA" w14:textId="6FDF188F" w:rsidR="008F6C2A" w:rsidRDefault="00CF4682" w:rsidP="008F6C2A">
      <w:r>
        <w:t xml:space="preserve">A diferencia de las opciones sobre EUROSTOXX 50, en este caso no tomaremos el precio de las opciones con strike igual al valor del índice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Esto es debido a que como se trata de un derivado financiero nuevo, no es un producto líquido</w:t>
      </w:r>
      <w:r>
        <w:rPr>
          <w:rStyle w:val="FootnoteReference"/>
        </w:rPr>
        <w:footnoteReference w:id="2"/>
      </w:r>
      <w:r>
        <w:t xml:space="preserve">. Por ello, ahora tomaremos el strike para el que más transacciones se han realizado, que en este caso, se trata de </w:t>
      </w:r>
    </w:p>
    <w:p w14:paraId="33CD8E76" w14:textId="5D36C707" w:rsidR="00CF4682" w:rsidRPr="008F6C2A" w:rsidRDefault="00CF4682" w:rsidP="008F6C2A">
      <m:oMathPara>
        <m:oMath>
          <m:r>
            <w:rPr>
              <w:rFonts w:ascii="Cambria Math" w:hAnsi="Cambria Math"/>
            </w:rPr>
            <m:t>K=</m:t>
          </m:r>
          <m:r>
            <w:rPr>
              <w:rFonts w:ascii="Cambria Math" w:hAnsi="Cambria Math"/>
            </w:rPr>
            <m:t>65</m:t>
          </m:r>
        </m:oMath>
      </m:oMathPara>
    </w:p>
    <w:p w14:paraId="5B777A06" w14:textId="7BCDB118" w:rsidR="00B577AF" w:rsidRDefault="00B577AF" w:rsidP="00B577AF">
      <w:r>
        <w:t>Los vencimientos que usamos para estas opciones volverán a ser</w:t>
      </w:r>
    </w:p>
    <w:tbl>
      <w:tblPr>
        <w:tblStyle w:val="TableGrid"/>
        <w:tblW w:w="0" w:type="auto"/>
        <w:tblLook w:val="04A0" w:firstRow="1" w:lastRow="0" w:firstColumn="1" w:lastColumn="0" w:noHBand="0" w:noVBand="1"/>
      </w:tblPr>
      <w:tblGrid>
        <w:gridCol w:w="4530"/>
        <w:gridCol w:w="4531"/>
      </w:tblGrid>
      <w:tr w:rsidR="00B577AF" w14:paraId="00295DE5" w14:textId="77777777" w:rsidTr="00663770">
        <w:tc>
          <w:tcPr>
            <w:tcW w:w="4530" w:type="dxa"/>
          </w:tcPr>
          <w:p w14:paraId="11912D5F" w14:textId="77777777" w:rsidR="00B577AF" w:rsidRDefault="00B577AF" w:rsidP="00663770">
            <w:r>
              <w:lastRenderedPageBreak/>
              <w:t>T1</w:t>
            </w:r>
          </w:p>
        </w:tc>
        <w:tc>
          <w:tcPr>
            <w:tcW w:w="4531" w:type="dxa"/>
          </w:tcPr>
          <w:p w14:paraId="09864C4A" w14:textId="77777777" w:rsidR="00B577AF" w:rsidRDefault="00B577AF" w:rsidP="00663770">
            <w:r>
              <w:t>18/12/2020</w:t>
            </w:r>
          </w:p>
        </w:tc>
      </w:tr>
      <w:tr w:rsidR="00B577AF" w14:paraId="6818C2DE" w14:textId="77777777" w:rsidTr="00663770">
        <w:tc>
          <w:tcPr>
            <w:tcW w:w="4530" w:type="dxa"/>
          </w:tcPr>
          <w:p w14:paraId="4E03D7B5" w14:textId="77777777" w:rsidR="00B577AF" w:rsidRDefault="00B577AF" w:rsidP="00663770">
            <w:r>
              <w:t>T2</w:t>
            </w:r>
          </w:p>
        </w:tc>
        <w:tc>
          <w:tcPr>
            <w:tcW w:w="4531" w:type="dxa"/>
          </w:tcPr>
          <w:p w14:paraId="04771978" w14:textId="77777777" w:rsidR="00B577AF" w:rsidRDefault="00B577AF" w:rsidP="00663770">
            <w:r>
              <w:t>17/12/2021</w:t>
            </w:r>
          </w:p>
        </w:tc>
      </w:tr>
      <w:tr w:rsidR="00B577AF" w14:paraId="75E81CB4" w14:textId="77777777" w:rsidTr="00663770">
        <w:tc>
          <w:tcPr>
            <w:tcW w:w="4530" w:type="dxa"/>
          </w:tcPr>
          <w:p w14:paraId="18F8BA48" w14:textId="77777777" w:rsidR="00B577AF" w:rsidRDefault="00B577AF" w:rsidP="00663770">
            <w:r>
              <w:t>T3</w:t>
            </w:r>
          </w:p>
        </w:tc>
        <w:tc>
          <w:tcPr>
            <w:tcW w:w="4531" w:type="dxa"/>
          </w:tcPr>
          <w:p w14:paraId="190F2AC2" w14:textId="77777777" w:rsidR="00B577AF" w:rsidRDefault="00B577AF" w:rsidP="00663770">
            <w:r>
              <w:t>16/12/2022</w:t>
            </w:r>
          </w:p>
        </w:tc>
      </w:tr>
      <w:tr w:rsidR="00B577AF" w14:paraId="799DAB66" w14:textId="77777777" w:rsidTr="00663770">
        <w:tc>
          <w:tcPr>
            <w:tcW w:w="4530" w:type="dxa"/>
          </w:tcPr>
          <w:p w14:paraId="64A2297D" w14:textId="77777777" w:rsidR="00B577AF" w:rsidRDefault="00B577AF" w:rsidP="00663770">
            <w:r>
              <w:t>T4</w:t>
            </w:r>
          </w:p>
        </w:tc>
        <w:tc>
          <w:tcPr>
            <w:tcW w:w="4531" w:type="dxa"/>
          </w:tcPr>
          <w:p w14:paraId="3C1E833E" w14:textId="77777777" w:rsidR="00B577AF" w:rsidRDefault="00B577AF" w:rsidP="00663770">
            <w:r>
              <w:t>15/12/2023</w:t>
            </w:r>
          </w:p>
        </w:tc>
      </w:tr>
    </w:tbl>
    <w:p w14:paraId="0D7AA1FB" w14:textId="7AF06C1D" w:rsidR="00E02C94" w:rsidRDefault="00E02C94" w:rsidP="003C433C"/>
    <w:p w14:paraId="74708560" w14:textId="02F0DF1A" w:rsidR="00B577AF" w:rsidRDefault="00B577AF" w:rsidP="003C433C">
      <w:r>
        <w:t>Y los respectivos precios serán</w:t>
      </w:r>
    </w:p>
    <w:p w14:paraId="74A910A4" w14:textId="2203DF2A" w:rsidR="00B577AF" w:rsidRPr="004B32D7" w:rsidRDefault="00B577AF"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ub>
            <m:sup>
              <m:r>
                <w:rPr>
                  <w:rFonts w:ascii="Cambria Math" w:hAnsi="Cambria Math"/>
                </w:rPr>
                <m:t>D</m:t>
              </m:r>
            </m:sup>
          </m:sSubSup>
          <m:r>
            <w:rPr>
              <w:rFonts w:ascii="Cambria Math" w:hAnsi="Cambria Math"/>
            </w:rPr>
            <m:t>=5.60</m:t>
          </m:r>
        </m:oMath>
      </m:oMathPara>
    </w:p>
    <w:p w14:paraId="14F04C2E" w14:textId="7C183B03" w:rsidR="00B577AF" w:rsidRDefault="00B577AF"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ub>
            <m:sup>
              <m:r>
                <w:rPr>
                  <w:rFonts w:ascii="Cambria Math" w:hAnsi="Cambria Math"/>
                </w:rPr>
                <m:t>D</m:t>
              </m:r>
            </m:sup>
          </m:sSubSup>
          <m:r>
            <w:rPr>
              <w:rFonts w:ascii="Cambria Math" w:hAnsi="Cambria Math"/>
            </w:rPr>
            <m:t>=4.19</m:t>
          </m:r>
        </m:oMath>
      </m:oMathPara>
    </w:p>
    <w:p w14:paraId="61A74A10" w14:textId="69B6AFC3" w:rsidR="00B577AF" w:rsidRDefault="00B577AF"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sub>
            <m:sup>
              <m:r>
                <w:rPr>
                  <w:rFonts w:ascii="Cambria Math" w:hAnsi="Cambria Math"/>
                </w:rPr>
                <m:t>D</m:t>
              </m:r>
            </m:sup>
          </m:sSubSup>
          <m:r>
            <w:rPr>
              <w:rFonts w:ascii="Cambria Math" w:hAnsi="Cambria Math"/>
            </w:rPr>
            <m:t>=11.02</m:t>
          </m:r>
        </m:oMath>
      </m:oMathPara>
    </w:p>
    <w:p w14:paraId="69D14158" w14:textId="511EAE63" w:rsidR="00B577AF" w:rsidRDefault="00B577AF" w:rsidP="00B577AF">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,t</m:t>
              </m:r>
            </m:sub>
            <m:sup>
              <m:r>
                <w:rPr>
                  <w:rFonts w:ascii="Cambria Math" w:hAnsi="Cambria Math"/>
                </w:rPr>
                <m:t>D</m:t>
              </m:r>
            </m:sup>
          </m:sSubSup>
          <m:r>
            <w:rPr>
              <w:rFonts w:ascii="Cambria Math" w:hAnsi="Cambria Math"/>
            </w:rPr>
            <m:t>=16.13</m:t>
          </m:r>
        </m:oMath>
      </m:oMathPara>
    </w:p>
    <w:p w14:paraId="50485BA6" w14:textId="52C58262" w:rsidR="00B577AF" w:rsidRDefault="006A34E1" w:rsidP="003C433C">
      <w:r>
        <w:t>La fórmula de valoración de riesgo neutro nos vuelve a dar la misma estructura para calcular el precio con nuestro modelo teórico:</w:t>
      </w:r>
    </w:p>
    <w:p w14:paraId="00FEAF37" w14:textId="1128EA05" w:rsidR="006A34E1" w:rsidRDefault="006A34E1" w:rsidP="006A34E1">
      <m:oMathPara>
        <m:oMath>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up>
              <m:r>
                <w:rPr>
                  <w:rFonts w:ascii="Cambria Math" w:hAnsi="Cambria Math"/>
                </w:rPr>
                <m:t>D</m:t>
              </m:r>
            </m:sup>
          </m:sSubSup>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r>
                <m:rPr>
                  <m:scr m:val="script"/>
                </m:rPr>
                <w:rPr>
                  <w:rFonts w:ascii="Cambria Math" w:hAnsi="Cambria Math"/>
                </w:rPr>
                <m:t>|F(</m:t>
              </m:r>
              <m:r>
                <w:rPr>
                  <w:rFonts w:ascii="Cambria Math" w:hAnsi="Cambria Math"/>
                </w:rPr>
                <m:t>t)</m:t>
              </m:r>
            </m:e>
          </m:d>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p>
              </m:sSup>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-K, 0)</m:t>
                  </m:r>
                </m:e>
              </m:func>
              <m:r>
                <m:rPr>
                  <m:scr m:val="script"/>
                </m:rPr>
                <w:rPr>
                  <w:rFonts w:ascii="Cambria Math" w:hAnsi="Cambria Math"/>
                </w:rPr>
                <m:t>|F(</m:t>
              </m:r>
              <m:r>
                <w:rPr>
                  <w:rFonts w:ascii="Cambria Math" w:hAnsi="Cambria Math"/>
                </w:rPr>
                <m:t>t)</m:t>
              </m:r>
            </m:e>
          </m:d>
        </m:oMath>
      </m:oMathPara>
    </w:p>
    <w:p w14:paraId="7E27D3EC" w14:textId="77777777" w:rsidR="006A34E1" w:rsidRDefault="006A34E1" w:rsidP="003C433C"/>
    <w:p w14:paraId="34A4DF6B" w14:textId="12D38888" w:rsidR="00E02C94" w:rsidRDefault="006A34E1" w:rsidP="006A34E1">
      <w:pPr>
        <w:pStyle w:val="Heading2"/>
      </w:pPr>
      <w:r>
        <w:t xml:space="preserve"> </w:t>
      </w:r>
      <w:bookmarkStart w:id="37" w:name="_Ref73469513"/>
      <w:r w:rsidRPr="006A34E1">
        <w:rPr>
          <w:caps w:val="0"/>
        </w:rPr>
        <w:t>Valoración por método Montecarlo</w:t>
      </w:r>
      <w:bookmarkEnd w:id="37"/>
    </w:p>
    <w:p w14:paraId="341BDF6B" w14:textId="7FBB5405" w:rsidR="00E02C94" w:rsidRDefault="006A34E1" w:rsidP="003C433C">
      <w:r>
        <w:t>En esta sección vamos a ver como se utiliza un método Montecarlo para valorar derivados financieros.</w:t>
      </w:r>
    </w:p>
    <w:p w14:paraId="14E3BC4B" w14:textId="177260B8" w:rsidR="006A34E1" w:rsidRDefault="00375213" w:rsidP="003C433C">
      <w:r>
        <w:t>La esencia de este método consiste en aplicar la ley fuerte de los grandes números (</w:t>
      </w:r>
      <w:r w:rsidRPr="00375213">
        <w:rPr>
          <w:color w:val="FF0000"/>
        </w:rPr>
        <w:t>NO SE COMO CITARL</w:t>
      </w:r>
      <w:r>
        <w:rPr>
          <w:color w:val="FF0000"/>
        </w:rPr>
        <w:t>a</w:t>
      </w:r>
      <w:r w:rsidRPr="00375213">
        <w:rPr>
          <w:color w:val="FF0000"/>
        </w:rPr>
        <w:t xml:space="preserve"> DE MANERA ELEGANTE</w:t>
      </w:r>
      <w:r>
        <w:rPr>
          <w:color w:val="FF0000"/>
        </w:rPr>
        <w:t>, PONGO LA WIKIPEDIA DE MOMENTO</w:t>
      </w:r>
      <w:r>
        <w:t>):</w:t>
      </w:r>
    </w:p>
    <w:p w14:paraId="2C56D3A7" w14:textId="32A2163E" w:rsidR="00E02C94" w:rsidRDefault="00375213" w:rsidP="00375213">
      <w:pPr>
        <w:jc w:val="center"/>
      </w:pPr>
      <w:r>
        <w:rPr>
          <w:noProof/>
          <w:lang w:val="en-GB" w:eastAsia="en-GB"/>
        </w:rPr>
        <w:drawing>
          <wp:inline distT="0" distB="0" distL="0" distR="0" wp14:anchorId="0F3C164D" wp14:editId="12E21A77">
            <wp:extent cx="5760085" cy="1468755"/>
            <wp:effectExtent l="19050" t="19050" r="12065"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1468755"/>
                    </a:xfrm>
                    <a:prstGeom prst="rect">
                      <a:avLst/>
                    </a:prstGeom>
                    <a:ln w="6350">
                      <a:solidFill>
                        <a:schemeClr val="tx1"/>
                      </a:solidFill>
                    </a:ln>
                  </pic:spPr>
                </pic:pic>
              </a:graphicData>
            </a:graphic>
          </wp:inline>
        </w:drawing>
      </w:r>
    </w:p>
    <w:p w14:paraId="1A0287F6" w14:textId="08EA8DE1" w:rsidR="00E02C94" w:rsidRDefault="00375213" w:rsidP="003C433C">
      <w:r>
        <w:lastRenderedPageBreak/>
        <w:t>En nuestro caso, el valor de un derivado financiero se calcula a través de una esperanza matemática</w:t>
      </w:r>
    </w:p>
    <w:p w14:paraId="26904D19" w14:textId="3EE8E34E" w:rsidR="00375213" w:rsidRPr="00375213" w:rsidRDefault="00375213" w:rsidP="003C433C">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acc>
            <m:accPr>
              <m:chr m:val="̃"/>
              <m:ctrlPr>
                <w:rPr>
                  <w:rFonts w:ascii="Cambria Math" w:hAnsi="Cambria Math"/>
                  <w:i/>
                </w:rPr>
              </m:ctrlPr>
            </m:accPr>
            <m:e>
              <m:r>
                <m:rPr>
                  <m:scr m:val="double-struck"/>
                </m:rPr>
                <w:rPr>
                  <w:rFonts w:ascii="Cambria Math" w:hAnsi="Cambria Math"/>
                </w:rPr>
                <m:t>E</m:t>
              </m:r>
            </m:e>
          </m:acc>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-r(T-t)</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m:rPr>
                  <m:scr m:val="script"/>
                </m:rPr>
                <w:rPr>
                  <w:rFonts w:ascii="Cambria Math" w:hAnsi="Cambria Math"/>
                </w:rPr>
                <m:t>|F(</m:t>
              </m:r>
              <m:r>
                <w:rPr>
                  <w:rFonts w:ascii="Cambria Math" w:hAnsi="Cambria Math"/>
                </w:rPr>
                <m:t>t)</m:t>
              </m:r>
            </m:e>
          </m:d>
        </m:oMath>
      </m:oMathPara>
    </w:p>
    <w:p w14:paraId="47024301" w14:textId="66C5AAED" w:rsidR="00375213" w:rsidRDefault="00375213" w:rsidP="003C433C">
      <w:r>
        <w:t xml:space="preserve">Si tomamos </w:t>
      </w:r>
      <m:oMath>
        <m:sSup>
          <m:sSupPr>
            <m:ctrlPr>
              <w:rPr>
                <w:rFonts w:ascii="Cambria Math" w:hAnsi="Cambria Math"/>
                <w:i/>
              </w:rPr>
            </m:ctrlPr>
          </m:sSupPr>
          <m:e>
            <m:r>
              <w:rPr>
                <w:rFonts w:ascii="Cambria Math" w:hAnsi="Cambria Math"/>
              </w:rPr>
              <m:t>X=e</m:t>
            </m:r>
          </m:e>
          <m:sup>
            <m:r>
              <w:rPr>
                <w:rFonts w:ascii="Cambria Math" w:hAnsi="Cambria Math"/>
              </w:rPr>
              <m:t>-r(T-t)</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como variable aleatoria, podemos realizar </w:t>
      </w:r>
      <m:oMath>
        <m:r>
          <w:rPr>
            <w:rFonts w:ascii="Cambria Math" w:hAnsi="Cambria Math"/>
          </w:rPr>
          <m:t>n</m:t>
        </m:r>
      </m:oMath>
      <w:r>
        <w:t xml:space="preserve"> simulaciones con el método de Euler-Maruyama que explicaremos en la siguiente sección. De esta manera contendríamos una sucesión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de variables aleatorias independiente e idénticamente dist</w:t>
      </w:r>
      <w:r w:rsidR="004E2DCB">
        <w:t xml:space="preserve">ribuidas. Por la ley fuerte de los grandes números, si </w:t>
      </w:r>
      <m:oMath>
        <m:r>
          <w:rPr>
            <w:rFonts w:ascii="Cambria Math" w:hAnsi="Cambria Math"/>
          </w:rPr>
          <m:t>n</m:t>
        </m:r>
      </m:oMath>
      <w:r w:rsidR="004E2DCB">
        <w:t xml:space="preserve"> es un valor suficientemente grande (</w:t>
      </w:r>
      <w:r w:rsidR="004E2DCB" w:rsidRPr="004E2DCB">
        <w:rPr>
          <w:color w:val="FF0000"/>
        </w:rPr>
        <w:t>PODRÍA RELLENAR CON LA EXPLICACIÓN DE SUFICIENTEMENTE GRANDE</w:t>
      </w:r>
      <w:r w:rsidR="004E2DCB">
        <w:t>), el valor de la variable aleatoria</w:t>
      </w:r>
    </w:p>
    <w:p w14:paraId="46027169" w14:textId="6F9201B2" w:rsidR="004E2DCB" w:rsidRPr="003C433C" w:rsidRDefault="004E2DCB" w:rsidP="003C433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 xml:space="preserve"> </m:t>
              </m:r>
            </m:num>
            <m:den>
              <m:r>
                <w:rPr>
                  <w:rFonts w:ascii="Cambria Math" w:hAnsi="Cambria Math"/>
                </w:rPr>
                <m:t>n</m:t>
              </m:r>
            </m:den>
          </m:f>
        </m:oMath>
      </m:oMathPara>
    </w:p>
    <w:p w14:paraId="07932ED7" w14:textId="77C5D20B" w:rsidR="00375213" w:rsidRDefault="004E2DCB" w:rsidP="006E7034">
      <w:r>
        <w:t xml:space="preserve">es una buena aproximación de </w:t>
      </w:r>
      <m:oMath>
        <m:r>
          <m:rPr>
            <m:scr m:val="double-struck"/>
            <m:sty m:val="p"/>
          </m:rPr>
          <w:rPr>
            <w:rFonts w:ascii="Cambria Math" w:hAnsi="Cambria Math"/>
          </w:rPr>
          <m:t>E[</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r>
          <w:rPr>
            <w:rFonts w:ascii="Cambria Math" w:hAnsi="Cambria Math"/>
          </w:rPr>
          <m:t>=μ</m:t>
        </m:r>
      </m:oMath>
      <w:r>
        <w:t>.</w:t>
      </w:r>
    </w:p>
    <w:p w14:paraId="7B17DEA9" w14:textId="11F06BE1" w:rsidR="004E2DCB" w:rsidRDefault="004E2DCB" w:rsidP="006E7034">
      <w:r w:rsidRPr="004E2DCB">
        <w:rPr>
          <w:color w:val="FF0000"/>
        </w:rPr>
        <w:t>TODO</w:t>
      </w:r>
      <w:r>
        <w:rPr>
          <w:color w:val="FF0000"/>
        </w:rPr>
        <w:t>:</w:t>
      </w:r>
      <w:r>
        <w:t xml:space="preserve"> </w:t>
      </w:r>
      <w:r w:rsidRPr="004E2DCB">
        <w:rPr>
          <w:color w:val="FF0000"/>
        </w:rPr>
        <w:t xml:space="preserve">Cambiar esta explicación con el ley fuerte de los grandes números por el teorema central del límite de Lindeberg-Lévy para poder hablar de la varianza de </w:t>
      </w:r>
      <m:oMath>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X</m:t>
                </m:r>
              </m:e>
            </m:acc>
          </m:e>
          <m:sub>
            <m:r>
              <w:rPr>
                <w:rFonts w:ascii="Cambria Math" w:hAnsi="Cambria Math"/>
                <w:color w:val="FF0000"/>
              </w:rPr>
              <m:t>n</m:t>
            </m:r>
          </m:sub>
        </m:sSub>
      </m:oMath>
      <w:r w:rsidRPr="004E2DCB">
        <w:rPr>
          <w:color w:val="FF0000"/>
        </w:rPr>
        <w:t>.</w:t>
      </w:r>
    </w:p>
    <w:p w14:paraId="3478B284" w14:textId="0DB9955B" w:rsidR="00375213" w:rsidRDefault="004E2DCB" w:rsidP="004E2DCB">
      <w:pPr>
        <w:pStyle w:val="Heading2"/>
      </w:pPr>
      <w:r>
        <w:t xml:space="preserve"> </w:t>
      </w:r>
      <w:r w:rsidRPr="004E2DCB">
        <w:rPr>
          <w:caps w:val="0"/>
        </w:rPr>
        <w:t>Método de Euler-Maruyama</w:t>
      </w:r>
    </w:p>
    <w:p w14:paraId="15654593" w14:textId="79D59F84" w:rsidR="00375213" w:rsidRDefault="004E2DCB" w:rsidP="006E7034">
      <w:r>
        <w:t xml:space="preserve">Una vez </w:t>
      </w:r>
      <w:r w:rsidR="00F04807">
        <w:t xml:space="preserve">sabemos que podemos valorar los derivados financieros simulando el pago de los productos una cierta cantidad de veces </w:t>
      </w:r>
      <m:oMath>
        <m:r>
          <w:rPr>
            <w:rFonts w:ascii="Cambria Math" w:hAnsi="Cambria Math"/>
          </w:rPr>
          <m:t>n</m:t>
        </m:r>
      </m:oMath>
      <w:r w:rsidR="00F04807">
        <w:t>, debemos encontrar un método para realizar dicha simulación.</w:t>
      </w:r>
    </w:p>
    <w:p w14:paraId="79ACEB8E" w14:textId="76869A98" w:rsidR="00F04807" w:rsidRDefault="00F04807" w:rsidP="006E7034">
      <w:r>
        <w:t>El método más sencillo que se puede usar para obtener una aproximación numérica de la solución de una ecuación diferencia estocástica es el método de Euler-Maruyama (</w:t>
      </w:r>
      <w:r w:rsidRPr="00F04807">
        <w:rPr>
          <w:color w:val="FF0000"/>
        </w:rPr>
        <w:t>IGUAL. CITAR BIEN</w:t>
      </w:r>
      <w:r>
        <w:t>).</w:t>
      </w:r>
    </w:p>
    <w:p w14:paraId="055A5BF6" w14:textId="719B4E34" w:rsidR="00F04807" w:rsidRDefault="00F04807" w:rsidP="006E7034">
      <w:r>
        <w:t xml:space="preserve">La idea de este método es discretizar la parte no estocástica de la ecuación utilizando el método de Euler y discretizar la parte estocástica aproximando la variaciones pequeñas del movimiento Browniano con variables normales aleatorias con esperanza cero y varianza </w:t>
      </w:r>
      <m:oMath>
        <m:r>
          <m:rPr>
            <m:sty m:val="p"/>
          </m:rPr>
          <w:rPr>
            <w:rFonts w:ascii="Cambria Math" w:hAnsi="Cambria Math" w:cs="Arial"/>
          </w:rPr>
          <m:t>Δ</m:t>
        </m:r>
        <m:r>
          <w:rPr>
            <w:rFonts w:ascii="Cambria Math" w:hAnsi="Cambria Math" w:cs="Arial"/>
          </w:rPr>
          <m:t>t</m:t>
        </m:r>
      </m:oMath>
      <w:r>
        <w:t>.</w:t>
      </w:r>
    </w:p>
    <w:p w14:paraId="692AE726" w14:textId="0F764237" w:rsidR="00375213" w:rsidRDefault="00F04807" w:rsidP="006E7034">
      <w:r>
        <w:rPr>
          <w:noProof/>
          <w:lang w:val="en-GB" w:eastAsia="en-GB"/>
        </w:rPr>
        <w:lastRenderedPageBreak/>
        <w:drawing>
          <wp:inline distT="0" distB="0" distL="0" distR="0" wp14:anchorId="46D6E9A8" wp14:editId="6D93EB10">
            <wp:extent cx="5760085" cy="3355340"/>
            <wp:effectExtent l="19050" t="19050" r="1206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355340"/>
                    </a:xfrm>
                    <a:prstGeom prst="rect">
                      <a:avLst/>
                    </a:prstGeom>
                    <a:ln w="6350">
                      <a:solidFill>
                        <a:schemeClr val="tx1"/>
                      </a:solidFill>
                    </a:ln>
                  </pic:spPr>
                </pic:pic>
              </a:graphicData>
            </a:graphic>
          </wp:inline>
        </w:drawing>
      </w:r>
    </w:p>
    <w:p w14:paraId="6E141D0B" w14:textId="71F0D4F5" w:rsidR="00F04807" w:rsidRDefault="00F04807" w:rsidP="006E7034">
      <w:r>
        <w:t>Si aplicamos el método a nuestro sistema de ecuaciones diferenciales estocásticas, el esquema de discretización nos quedaría de la siguiente manera:</w:t>
      </w:r>
    </w:p>
    <w:p w14:paraId="711DCEFD" w14:textId="39FB644F" w:rsidR="004E2DCB" w:rsidRDefault="004E2DCB" w:rsidP="004E2DCB">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e>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oMath>
      </m:oMathPara>
    </w:p>
    <w:p w14:paraId="2404317C" w14:textId="4534D446" w:rsidR="007C175A" w:rsidRDefault="00F04807" w:rsidP="006E7034">
      <w:r>
        <w:t xml:space="preserve">Debemos tener cuidado con las variables normales que utilizaremos para calcular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oMath>
      <w:r w:rsidR="00EE121A">
        <w:t xml:space="preserve"> y </w:t>
      </w:r>
      <m:oMath>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oMath>
      <w:r w:rsidR="007C175A">
        <w:t>, ya que partíamos de movimiento Brownianos con correlación. En el algoritmo de Python que se presenta en este trabajo, se parten de dos variables normales independientes y después son correladas utilizando la factorización de Cholesky de la matriz de covarianzas de las variables. Este método es detallado en la próxima sección.</w:t>
      </w:r>
    </w:p>
    <w:p w14:paraId="62ED5077" w14:textId="168C14F8" w:rsidR="007C175A" w:rsidRDefault="00D07492" w:rsidP="006E7034">
      <w:r>
        <w:t xml:space="preserve">Si nos fijamos en las ecuaciones anteriores, en la primera de ellas hay un término de orden </w:t>
      </w:r>
      <m:oMath>
        <m:r>
          <w:rPr>
            <w:rFonts w:ascii="Cambria Math" w:hAnsi="Cambria Math"/>
          </w:rPr>
          <m:t>1</m:t>
        </m:r>
      </m:oMath>
      <w:r>
        <w:t xml:space="preserve"> multiplicando toda la parte derecha. Este término está relacionado con el comportamiento exponencial de la ecuación que vimos en el capítulo (</w:t>
      </w:r>
      <w:r w:rsidRPr="00D07492">
        <w:rPr>
          <w:color w:val="FF0000"/>
        </w:rPr>
        <w:t>AUN NO SE</w:t>
      </w:r>
      <w:r>
        <w:t xml:space="preserve">). Este comportamiento exponencial hace que el esquema de discretización propuesto presente una varianza elevada en el valor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Para evitar un alto error en el método Montecarlo, es conveniente trabajar con la variable aleatoria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xml:space="preserve"> en lugar 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1A332A">
        <w:t xml:space="preserve">. Una vez obtengamos el valor de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rsidR="001A332A">
        <w:t>, tomaremos su exponencial para hallar la variable deseada.</w:t>
      </w:r>
    </w:p>
    <w:p w14:paraId="26C9609C" w14:textId="48B62BE4" w:rsidR="001A332A" w:rsidRDefault="001A332A" w:rsidP="006E7034">
      <w:r>
        <w:t>Esta transformación de la ecuación diferencial estocástica se puede realizar mediante la regla de Itô explicada en la sección (</w:t>
      </w:r>
      <w:r w:rsidRPr="001A332A">
        <w:rPr>
          <w:color w:val="FF0000"/>
        </w:rPr>
        <w:t>AUN NO SÉ</w:t>
      </w:r>
      <w:r>
        <w:t>)</w:t>
      </w:r>
    </w:p>
    <w:p w14:paraId="0FBEB4AE" w14:textId="54EC7FB2" w:rsidR="001A332A" w:rsidRPr="001A332A" w:rsidRDefault="001A332A" w:rsidP="006E7034">
      <w:pPr>
        <w:rPr>
          <w:color w:val="FF0000"/>
        </w:rPr>
      </w:pPr>
      <w:r w:rsidRPr="001A332A">
        <w:rPr>
          <w:color w:val="FF0000"/>
        </w:rPr>
        <w:lastRenderedPageBreak/>
        <w:t>TODO: Escribir en Word los cálculos.</w:t>
      </w:r>
    </w:p>
    <w:p w14:paraId="3F7DB744" w14:textId="56B4B3A8" w:rsidR="001A332A" w:rsidRDefault="001A332A" w:rsidP="006E7034">
      <w:r>
        <w:t xml:space="preserve">La ecuación que obtenemos para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oMath>
      <w:r>
        <w:t xml:space="preserve"> es </w:t>
      </w:r>
    </w:p>
    <w:p w14:paraId="63BA95D0" w14:textId="18C80062" w:rsidR="001A332A" w:rsidRDefault="001A332A" w:rsidP="006E7034">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S</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S</m:t>
                  </m:r>
                </m:sup>
              </m:sSup>
            </m:e>
          </m:d>
          <m:r>
            <w:rPr>
              <w:rFonts w:ascii="Cambria Math" w:hAnsi="Cambria Math"/>
            </w:rPr>
            <m:t>dt+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d</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oMath>
      </m:oMathPara>
    </w:p>
    <w:p w14:paraId="1162AEF2" w14:textId="5585861D" w:rsidR="001A332A" w:rsidRDefault="001A332A" w:rsidP="006E7034">
      <w:r>
        <w:t xml:space="preserve">Como se puede observar, esta ecuación no tiene el problema del término de orden </w:t>
      </w:r>
      <m:oMath>
        <m:r>
          <w:rPr>
            <w:rFonts w:ascii="Cambria Math" w:hAnsi="Cambria Math"/>
          </w:rPr>
          <m:t>1</m:t>
        </m:r>
      </m:oMath>
      <w:r>
        <w:t xml:space="preserve"> de la variable subyacente en el lado derecho.</w:t>
      </w:r>
    </w:p>
    <w:p w14:paraId="1A4008CE" w14:textId="30867BB1" w:rsidR="00375213" w:rsidRDefault="001A332A" w:rsidP="006E7034">
      <w:r>
        <w:t>Finalmente, el esquema de discretización queda de la siguiente manera</w:t>
      </w:r>
    </w:p>
    <w:p w14:paraId="1122DE60" w14:textId="6132C698" w:rsidR="001A332A" w:rsidRDefault="001A332A" w:rsidP="001A332A">
      <w:pPr>
        <w:autoSpaceDE w:val="0"/>
        <w:autoSpaceDN w:val="0"/>
        <w:adjustRightInd w:val="0"/>
        <w:spacing w:after="0"/>
        <w:rPr>
          <w:rFonts w:asciiTheme="majorHAnsi" w:hAnsiTheme="majorHAnsi"/>
        </w:rPr>
      </w:pPr>
      <m:oMathPara>
        <m:oMath>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Δ ln</m:t>
                      </m:r>
                    </m:fName>
                    <m:e>
                      <m:sSub>
                        <m:sSubPr>
                          <m:ctrlPr>
                            <w:rPr>
                              <w:rFonts w:ascii="Cambria Math" w:hAnsi="Cambria Math"/>
                              <w:i/>
                            </w:rPr>
                          </m:ctrlPr>
                        </m:sSubPr>
                        <m:e>
                          <m:r>
                            <w:rPr>
                              <w:rFonts w:ascii="Cambria Math" w:hAnsi="Cambria Math"/>
                            </w:rPr>
                            <m:t>S</m:t>
                          </m:r>
                        </m:e>
                        <m:sub>
                          <m:r>
                            <w:rPr>
                              <w:rFonts w:ascii="Cambria Math" w:hAnsi="Cambria Math"/>
                            </w:rPr>
                            <m:t>i+1</m:t>
                          </m:r>
                        </m:sub>
                      </m:sSub>
                    </m:e>
                  </m:fun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S</m:t>
                          </m:r>
                        </m:sup>
                      </m:sSup>
                    </m:e>
                  </m:d>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σ</m:t>
                      </m:r>
                    </m:e>
                    <m:sup>
                      <m:r>
                        <w:rPr>
                          <w:rFonts w:ascii="Cambria Math" w:hAnsi="Cambria Math"/>
                        </w:rPr>
                        <m:t>S</m:t>
                      </m:r>
                    </m:sup>
                  </m:sSup>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m:t>
                      </m:r>
                    </m:sup>
                  </m:sSubSup>
                  <m:r>
                    <w:rPr>
                      <w:rFonts w:ascii="Cambria Math" w:hAnsi="Cambria Math"/>
                    </w:rPr>
                    <m:t xml:space="preserve"> </m:t>
                  </m:r>
                </m:e>
                <m:e>
                  <m:r>
                    <m:rPr>
                      <m:sty m:val="p"/>
                    </m:rP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=a</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i</m:t>
                          </m:r>
                        </m:sub>
                      </m:sSub>
                    </m:e>
                  </m:d>
                  <m:r>
                    <m:rPr>
                      <m:sty m:val="p"/>
                    </m:rPr>
                    <w:rPr>
                      <w:rFonts w:ascii="Cambria Math" w:hAnsi="Cambria Math"/>
                    </w:rPr>
                    <m:t>Δ</m:t>
                  </m:r>
                  <m:r>
                    <w:rPr>
                      <w:rFonts w:ascii="Cambria Math" w:hAnsi="Cambria Math"/>
                    </w:rPr>
                    <m:t>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rad>
                  <m:r>
                    <m:rPr>
                      <m:sty m:val="p"/>
                    </m:rPr>
                    <w:rPr>
                      <w:rFonts w:ascii="Cambria Math" w:hAnsi="Cambria Math" w:cs="Arial"/>
                    </w:rPr>
                    <m:t>Δ</m:t>
                  </m:r>
                  <m:sSubSup>
                    <m:sSubSupPr>
                      <m:ctrlPr>
                        <w:rPr>
                          <w:rFonts w:ascii="Cambria Math" w:hAnsi="Cambria Math" w:cs="Arial"/>
                          <w:i/>
                        </w:rPr>
                      </m:ctrlPr>
                    </m:sSubSupPr>
                    <m:e>
                      <m:r>
                        <w:rPr>
                          <w:rFonts w:ascii="Cambria Math" w:hAnsi="Cambria Math" w:cs="Arial"/>
                        </w:rPr>
                        <m:t>W</m:t>
                      </m:r>
                    </m:e>
                    <m:sub>
                      <m:r>
                        <w:rPr>
                          <w:rFonts w:ascii="Cambria Math" w:hAnsi="Cambria Math" w:cs="Arial"/>
                        </w:rPr>
                        <m:t>i</m:t>
                      </m:r>
                    </m:sub>
                    <m:sup>
                      <m:r>
                        <w:rPr>
                          <w:rFonts w:ascii="Cambria Math" w:hAnsi="Cambria Math" w:cs="Arial"/>
                        </w:rPr>
                        <m:t>2</m:t>
                      </m:r>
                    </m:sup>
                  </m:sSubSup>
                </m:e>
              </m:eqArr>
            </m:e>
          </m:d>
        </m:oMath>
      </m:oMathPara>
    </w:p>
    <w:p w14:paraId="70D40724" w14:textId="77777777" w:rsidR="001A332A" w:rsidRDefault="001A332A" w:rsidP="006E7034"/>
    <w:p w14:paraId="6FC7F3D3" w14:textId="472C9571" w:rsidR="00580628" w:rsidRDefault="00580628" w:rsidP="00580628">
      <w:pPr>
        <w:pStyle w:val="Heading2"/>
      </w:pPr>
      <w:r>
        <w:t xml:space="preserve"> </w:t>
      </w:r>
      <w:r w:rsidRPr="00580628">
        <w:rPr>
          <w:caps w:val="0"/>
        </w:rPr>
        <w:t>Correlación de variables normales utilizando la factorización de Choleski</w:t>
      </w:r>
    </w:p>
    <w:p w14:paraId="78CA4619" w14:textId="1BEF81D4" w:rsidR="00B148AD" w:rsidRDefault="00B148AD" w:rsidP="006E7034">
      <w:r>
        <w:t>En esta sección se explica el método para correlar variables aleatorias utilizando la factorización de Choleski de la matriz de covarianzas de las variables.</w:t>
      </w:r>
    </w:p>
    <w:p w14:paraId="0929996C" w14:textId="47B34122" w:rsidR="00B148AD" w:rsidRDefault="00B148AD" w:rsidP="006E7034">
      <w:r>
        <w:t xml:space="preserve">Tomemos una matriz cualquiera </w:t>
      </w:r>
      <m:oMath>
        <m:r>
          <m:rPr>
            <m:sty m:val="p"/>
          </m:rPr>
          <w:rPr>
            <w:rFonts w:ascii="Cambria Math" w:hAnsi="Cambria Math"/>
          </w:rPr>
          <m:t>Σ</m:t>
        </m:r>
      </m:oMath>
      <w:r>
        <w:t xml:space="preserve"> y supongamos que se puede descomponer en un producto de matrices de la forma </w:t>
      </w:r>
      <m:oMath>
        <m:r>
          <m:rPr>
            <m:sty m:val="p"/>
          </m:rPr>
          <w:rPr>
            <w:rFonts w:ascii="Cambria Math" w:hAnsi="Cambria Math"/>
          </w:rPr>
          <m:t>Σ</m:t>
        </m:r>
        <m:r>
          <m:rPr>
            <m:sty m:val="p"/>
          </m:rPr>
          <w:rPr>
            <w:rFonts w:ascii="Cambria Math" w:hAnsi="Cambria Math"/>
          </w:rPr>
          <m:t>=L</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T</m:t>
            </m:r>
          </m:sup>
        </m:sSup>
      </m:oMath>
      <w:r>
        <w:t xml:space="preserve">, donde </w:t>
      </w:r>
      <m:oMath>
        <m:sSup>
          <m:sSupPr>
            <m:ctrlPr>
              <w:rPr>
                <w:rFonts w:ascii="Cambria Math" w:hAnsi="Cambria Math"/>
              </w:rPr>
            </m:ctrlPr>
          </m:sSupPr>
          <m:e>
            <m:r>
              <m:rPr>
                <m:sty m:val="p"/>
              </m:rPr>
              <w:rPr>
                <w:rFonts w:ascii="Cambria Math" w:hAnsi="Cambria Math"/>
              </w:rPr>
              <m:t>L</m:t>
            </m:r>
          </m:e>
          <m:sup>
            <m:r>
              <m:rPr>
                <m:sty m:val="p"/>
              </m:rPr>
              <w:rPr>
                <w:rFonts w:ascii="Cambria Math" w:hAnsi="Cambria Math"/>
              </w:rPr>
              <m:t>T</m:t>
            </m:r>
          </m:sup>
        </m:sSup>
      </m:oMath>
      <w:r>
        <w:t xml:space="preserve"> indica la matriz transpuesta de </w:t>
      </w:r>
      <m:oMath>
        <m:r>
          <m:rPr>
            <m:sty m:val="p"/>
          </m:rPr>
          <w:rPr>
            <w:rFonts w:ascii="Cambria Math" w:hAnsi="Cambria Math"/>
          </w:rPr>
          <m:t>L</m:t>
        </m:r>
      </m:oMath>
      <w:r>
        <w:t xml:space="preserve">. Si partimos de un vector </w:t>
      </w:r>
      <m:oMath>
        <m:r>
          <m:rPr>
            <m:sty m:val="p"/>
          </m:rPr>
          <w:rPr>
            <w:rFonts w:ascii="Cambria Math" w:hAnsi="Cambria Math"/>
          </w:rPr>
          <m:t>X</m:t>
        </m:r>
      </m:oMath>
      <w:r>
        <w:t xml:space="preserve"> de variables normales independientes, podemos estudiar la matriz de covarianzas de la variable aleatoria </w:t>
      </w:r>
      <m:oMath>
        <m:r>
          <w:rPr>
            <w:rFonts w:ascii="Cambria Math" w:hAnsi="Cambria Math"/>
          </w:rPr>
          <m:t>Z=</m:t>
        </m:r>
        <m:r>
          <m:rPr>
            <m:sty m:val="p"/>
          </m:rPr>
          <w:rPr>
            <w:rFonts w:ascii="Cambria Math" w:hAnsi="Cambria Math"/>
          </w:rPr>
          <m:t>LX</m:t>
        </m:r>
      </m:oMath>
      <w:r>
        <w:t xml:space="preserve">. Por las propiedades de linealidad de las operaciones con variables normales, la variable </w:t>
      </w:r>
      <m:oMath>
        <m:r>
          <w:rPr>
            <w:rFonts w:ascii="Cambria Math" w:hAnsi="Cambria Math"/>
          </w:rPr>
          <m:t>Z</m:t>
        </m:r>
      </m:oMath>
      <w:r>
        <w:t xml:space="preserve"> seguirá siendo un vector de variables normales que ya no tienen por qué ser independientes.</w:t>
      </w:r>
    </w:p>
    <w:p w14:paraId="46D3D586" w14:textId="7E7BABC8" w:rsidR="00B148AD" w:rsidRDefault="00B148AD" w:rsidP="006E7034">
      <w:r>
        <w:t xml:space="preserve">Por definición, la matriz de covarianzas es la matriz </w:t>
      </w:r>
      <m:oMath>
        <m:r>
          <w:rPr>
            <w:rFonts w:ascii="Cambria Math" w:hAnsi="Cambria Math"/>
          </w:rPr>
          <m:t>C=</m:t>
        </m:r>
        <m:r>
          <m:rPr>
            <m:scr m:val="double-struck"/>
          </m:rPr>
          <w:rPr>
            <w:rFonts w:ascii="Cambria Math" w:hAnsi="Cambria Math"/>
          </w:rPr>
          <m:t>E</m:t>
        </m:r>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m:t>
        </m:r>
      </m:oMath>
      <w:r w:rsidR="00B12D61">
        <w:t>. Si operamos</w:t>
      </w:r>
    </w:p>
    <w:p w14:paraId="5AAA2001" w14:textId="4954D3EE" w:rsidR="00B12D61" w:rsidRPr="00B12D61" w:rsidRDefault="00B12D61" w:rsidP="006E7034">
      <m:oMathPara>
        <m:oMath>
          <m:r>
            <w:rPr>
              <w:rFonts w:ascii="Cambria Math" w:hAnsi="Cambria Math"/>
            </w:rPr>
            <m:t>C=</m:t>
          </m:r>
          <m:r>
            <m:rPr>
              <m:scr m:val="double-struck"/>
            </m:rPr>
            <w:rPr>
              <w:rFonts w:ascii="Cambria Math" w:hAnsi="Cambria Math"/>
            </w:rPr>
            <m:t>E</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T</m:t>
                  </m:r>
                </m:sup>
              </m:sSup>
            </m:e>
          </m:d>
          <m:r>
            <w:rPr>
              <w:rFonts w:ascii="Cambria Math" w:hAnsi="Cambria Math"/>
            </w:rPr>
            <m:t>=</m:t>
          </m:r>
          <m:r>
            <m:rPr>
              <m:scr m:val="double-struck"/>
            </m:rP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LX</m:t>
                  </m:r>
                </m:e>
              </m:d>
              <m:sSup>
                <m:sSupPr>
                  <m:ctrlPr>
                    <w:rPr>
                      <w:rFonts w:ascii="Cambria Math" w:hAnsi="Cambria Math"/>
                      <w:i/>
                    </w:rPr>
                  </m:ctrlPr>
                </m:sSupPr>
                <m:e>
                  <m:d>
                    <m:dPr>
                      <m:ctrlPr>
                        <w:rPr>
                          <w:rFonts w:ascii="Cambria Math" w:hAnsi="Cambria Math"/>
                          <w:i/>
                        </w:rPr>
                      </m:ctrlPr>
                    </m:dPr>
                    <m:e>
                      <m:r>
                        <w:rPr>
                          <w:rFonts w:ascii="Cambria Math" w:hAnsi="Cambria Math"/>
                        </w:rPr>
                        <m:t>LX</m:t>
                      </m:r>
                    </m:e>
                  </m:d>
                </m:e>
                <m:sup>
                  <m:r>
                    <w:rPr>
                      <w:rFonts w:ascii="Cambria Math" w:hAnsi="Cambria Math"/>
                    </w:rPr>
                    <m:t>T</m:t>
                  </m:r>
                </m:sup>
              </m:sSup>
            </m:e>
          </m:d>
          <m:r>
            <w:rPr>
              <w:rFonts w:ascii="Cambria Math" w:hAnsi="Cambria Math"/>
            </w:rPr>
            <m:t>=</m:t>
          </m:r>
          <m:r>
            <m:rPr>
              <m:scr m:val="double-struck"/>
            </m:rPr>
            <w:rPr>
              <w:rFonts w:ascii="Cambria Math" w:hAnsi="Cambria Math"/>
            </w:rPr>
            <m:t>E</m:t>
          </m:r>
          <m:d>
            <m:dPr>
              <m:ctrlPr>
                <w:rPr>
                  <w:rFonts w:ascii="Cambria Math" w:hAnsi="Cambria Math"/>
                  <w:i/>
                </w:rPr>
              </m:ctrlPr>
            </m:dPr>
            <m:e>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T</m:t>
                  </m:r>
                </m:sup>
              </m:sSup>
            </m:e>
          </m:d>
        </m:oMath>
      </m:oMathPara>
    </w:p>
    <w:p w14:paraId="4FF8D769" w14:textId="5600B661" w:rsidR="00B12D61" w:rsidRDefault="00B12D61" w:rsidP="006E7034">
      <w:r>
        <w:t>Como la esperanza es un operador lineal</w:t>
      </w:r>
    </w:p>
    <w:p w14:paraId="79D75C66" w14:textId="2C3A9796" w:rsidR="00B12D61" w:rsidRPr="00B12D61" w:rsidRDefault="00B12D61" w:rsidP="006E7034">
      <m:oMathPara>
        <m:oMath>
          <m:r>
            <m:rPr>
              <m:scr m:val="double-struck"/>
            </m:rPr>
            <w:rPr>
              <w:rFonts w:ascii="Cambria Math" w:hAnsi="Cambria Math"/>
            </w:rPr>
            <m:t>E</m:t>
          </m:r>
          <m:d>
            <m:dPr>
              <m:ctrlPr>
                <w:rPr>
                  <w:rFonts w:ascii="Cambria Math" w:hAnsi="Cambria Math"/>
                  <w:i/>
                </w:rPr>
              </m:ctrlPr>
            </m:dPr>
            <m:e>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T</m:t>
                  </m:r>
                </m:sup>
              </m:sSup>
            </m:e>
          </m:d>
          <m:r>
            <w:rPr>
              <w:rFonts w:ascii="Cambria Math" w:hAnsi="Cambria Math"/>
            </w:rPr>
            <m:t>=L</m:t>
          </m:r>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sSup>
            <m:sSupPr>
              <m:ctrlPr>
                <w:rPr>
                  <w:rFonts w:ascii="Cambria Math" w:hAnsi="Cambria Math"/>
                  <w:i/>
                </w:rPr>
              </m:ctrlPr>
            </m:sSupPr>
            <m:e>
              <m:r>
                <w:rPr>
                  <w:rFonts w:ascii="Cambria Math" w:hAnsi="Cambria Math"/>
                </w:rPr>
                <m:t>L</m:t>
              </m:r>
            </m:e>
            <m:sup>
              <m:r>
                <w:rPr>
                  <w:rFonts w:ascii="Cambria Math" w:hAnsi="Cambria Math"/>
                </w:rPr>
                <m:t>T</m:t>
              </m:r>
            </m:sup>
          </m:sSup>
        </m:oMath>
      </m:oMathPara>
    </w:p>
    <w:p w14:paraId="5ED60EE3" w14:textId="09ACA123" w:rsidR="00B12D61" w:rsidRDefault="00B12D61" w:rsidP="006E7034">
      <w:r>
        <w:t xml:space="preserve">Como </w:t>
      </w:r>
      <m:oMath>
        <m:r>
          <w:rPr>
            <w:rFonts w:ascii="Cambria Math" w:hAnsi="Cambria Math"/>
          </w:rPr>
          <m:t>X</m:t>
        </m:r>
      </m:oMath>
      <w:r>
        <w:t xml:space="preserve"> es un vector de variables normales independientes, su matriz de covarianzas es </w:t>
      </w:r>
      <m:oMath>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=I</m:t>
        </m:r>
      </m:oMath>
      <w:r>
        <w:t>, es decir, la identidad. Luego</w:t>
      </w:r>
    </w:p>
    <w:p w14:paraId="12BE4552" w14:textId="2C7F3586" w:rsidR="00B12D61" w:rsidRDefault="00B12D61" w:rsidP="006E7034">
      <m:oMathPara>
        <m:oMath>
          <m:r>
            <w:rPr>
              <w:rFonts w:ascii="Cambria Math" w:hAnsi="Cambria Math"/>
            </w:rPr>
            <m:t>C=L</m:t>
          </m:r>
          <m:r>
            <m:rPr>
              <m:scr m:val="double-struck"/>
            </m:rP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m:t>
          </m:r>
          <m:r>
            <m:rPr>
              <m:sty m:val="p"/>
            </m:rPr>
            <w:rPr>
              <w:rFonts w:ascii="Cambria Math" w:hAnsi="Cambria Math"/>
            </w:rPr>
            <m:t>Σ</m:t>
          </m:r>
        </m:oMath>
      </m:oMathPara>
    </w:p>
    <w:p w14:paraId="2735216F" w14:textId="08F65BC2" w:rsidR="00B12D61" w:rsidRDefault="00B12D61" w:rsidP="006E7034">
      <w:r>
        <w:lastRenderedPageBreak/>
        <w:t xml:space="preserve">Como se ha demostrado, si queremos obtenemos variables normales con una cierta matriz de correlación, simplemente tenemos que partir de un vector de variables aleatorias normales independientes y multiplicarlo por una matriz </w:t>
      </w:r>
      <m:oMath>
        <m:r>
          <m:rPr>
            <m:sty m:val="p"/>
          </m:rPr>
          <w:rPr>
            <w:rFonts w:ascii="Cambria Math" w:hAnsi="Cambria Math"/>
          </w:rPr>
          <m:t>L</m:t>
        </m:r>
      </m:oMath>
      <w:r>
        <w:t xml:space="preserve"> tal que la matriz de covarianzas que buscamos cumpla </w:t>
      </w:r>
      <m:oMath>
        <m:r>
          <m:rPr>
            <m:sty m:val="p"/>
          </m:rPr>
          <w:rPr>
            <w:rFonts w:ascii="Cambria Math" w:hAnsi="Cambria Math"/>
          </w:rPr>
          <m:t>Σ</m:t>
        </m:r>
        <m:r>
          <m:rPr>
            <m:sty m:val="p"/>
          </m:rPr>
          <w:rPr>
            <w:rFonts w:ascii="Cambria Math" w:hAnsi="Cambria Math"/>
          </w:rPr>
          <m:t>=L</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T</m:t>
            </m:r>
          </m:sup>
        </m:sSup>
      </m:oMath>
      <w:r>
        <w:t>.</w:t>
      </w:r>
    </w:p>
    <w:p w14:paraId="1CDDEDBE" w14:textId="4DF8E33C" w:rsidR="00B12D61" w:rsidRDefault="00B12D61" w:rsidP="006E7034">
      <w:r>
        <w:t>En el caso de las variables aleatorias normales, su matriz de covarianzas siempre es simétrica y definida positiva por definición (</w:t>
      </w:r>
      <w:r w:rsidRPr="00B12D61">
        <w:rPr>
          <w:color w:val="FF0000"/>
        </w:rPr>
        <w:t xml:space="preserve">COMPROBAR, IGUAL ME HE </w:t>
      </w:r>
      <w:r w:rsidR="00533149">
        <w:rPr>
          <w:color w:val="FF0000"/>
        </w:rPr>
        <w:t>COLADO</w:t>
      </w:r>
      <w:r w:rsidRPr="00B12D61">
        <w:rPr>
          <w:color w:val="FF0000"/>
        </w:rPr>
        <w:t xml:space="preserve"> CON LO DE DEFINIDA POSITIVA</w:t>
      </w:r>
      <w:r>
        <w:t xml:space="preserve">). Por tanto, siempre se podrá utilizar la factorización de Choleski para obtener la matriz </w:t>
      </w:r>
      <m:oMath>
        <m:r>
          <m:rPr>
            <m:sty m:val="p"/>
          </m:rPr>
          <w:rPr>
            <w:rFonts w:ascii="Cambria Math" w:hAnsi="Cambria Math"/>
          </w:rPr>
          <m:t>L</m:t>
        </m:r>
      </m:oMath>
      <w:r>
        <w:t>. (</w:t>
      </w:r>
      <w:r w:rsidRPr="00B12D61">
        <w:rPr>
          <w:color w:val="FF0000"/>
        </w:rPr>
        <w:t>Referenciar la factorización choleski. Aun no sé que libro</w:t>
      </w:r>
      <w:r>
        <w:t>)</w:t>
      </w:r>
    </w:p>
    <w:p w14:paraId="14D5CC9C" w14:textId="49D1FBE7" w:rsidR="00B12D61" w:rsidRDefault="00B12D61" w:rsidP="006E7034">
      <w:r>
        <w:t xml:space="preserve">Concretamente, en el caso que nos ocupa en este trabajo, con dos variables aleatorias normales con correlación </w:t>
      </w:r>
      <m:oMath>
        <m:r>
          <w:rPr>
            <w:rFonts w:ascii="Cambria Math" w:hAnsi="Cambria Math"/>
          </w:rPr>
          <m:t>ρ</m:t>
        </m:r>
      </m:oMath>
      <w:r>
        <w:t>, la factorización de Choleski queda de la forma</w:t>
      </w:r>
    </w:p>
    <w:p w14:paraId="40F31DFB" w14:textId="7A84E927" w:rsidR="00B12D61" w:rsidRDefault="00B12D61" w:rsidP="006E7034">
      <m:oMathPara>
        <m:oMath>
          <m:r>
            <w:rPr>
              <w:rFonts w:ascii="Cambria Math" w:hAnsi="Cambria Math"/>
            </w:rPr>
            <m:t>L=</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ρ</m:t>
                    </m:r>
                  </m:e>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e>
                </m:mr>
              </m:m>
            </m:e>
          </m:d>
        </m:oMath>
      </m:oMathPara>
    </w:p>
    <w:p w14:paraId="3C506B4D" w14:textId="77777777" w:rsidR="00B12D61" w:rsidRDefault="00B12D61" w:rsidP="006E7034"/>
    <w:p w14:paraId="437EC705" w14:textId="6B5BCCF9" w:rsidR="007E0EC5" w:rsidRDefault="007E0EC5" w:rsidP="007E0EC5">
      <w:pPr>
        <w:pStyle w:val="Heading2"/>
      </w:pPr>
      <w:r w:rsidRPr="007E0EC5">
        <w:rPr>
          <w:caps w:val="0"/>
        </w:rPr>
        <w:t>Variables antitéticas</w:t>
      </w:r>
    </w:p>
    <w:p w14:paraId="7C9908F4" w14:textId="66C1D8FC" w:rsidR="00781B14" w:rsidRDefault="00781B14" w:rsidP="006E7034">
      <w:r>
        <w:t xml:space="preserve">Dado que vamos a realizar simulaciones de más de tres años de nuestras variables aleatorias, vamos a requerir una gran cantidad de capacidad de computación si queremos </w:t>
      </w:r>
      <w:r w:rsidR="005464CA">
        <w:t>simular un número de caminos elevado con el método Montecarlo.</w:t>
      </w:r>
    </w:p>
    <w:p w14:paraId="020FA2C5" w14:textId="3352A79D" w:rsidR="005464CA" w:rsidRDefault="005464CA" w:rsidP="006E7034">
      <w:r>
        <w:t xml:space="preserve">Utilizar un número elevado de caminos hará que reduzcamos la desviación estándar del precio del producto que calculamos, ya que como vimos en la sección </w:t>
      </w:r>
      <w:r>
        <w:fldChar w:fldCharType="begin"/>
      </w:r>
      <w:r>
        <w:instrText xml:space="preserve"> REF _Ref73469513 \r \h </w:instrText>
      </w:r>
      <w:r>
        <w:fldChar w:fldCharType="separate"/>
      </w:r>
      <w:r>
        <w:t>5.3</w:t>
      </w:r>
      <w:r>
        <w:fldChar w:fldCharType="end"/>
      </w:r>
      <w:r>
        <w:t xml:space="preserve">, la </w:t>
      </w:r>
      <w:r w:rsidR="000E4886">
        <w:t>varianza</w:t>
      </w:r>
      <w:r>
        <w:t xml:space="preserve"> tiene una relación inversamente proporcional </w:t>
      </w:r>
      <w:r w:rsidR="000E4886">
        <w:t>al número de variables</w:t>
      </w:r>
      <w:r>
        <w:t xml:space="preserve"> simuladas.</w:t>
      </w:r>
    </w:p>
    <w:p w14:paraId="7854C2CB" w14:textId="4694879D" w:rsidR="005464CA" w:rsidRDefault="005464CA" w:rsidP="006E7034">
      <w:r>
        <w:t>Computacionalmente, la generación de las variables aleatorias consume una gran cantidad de tiempo, por lo que es útil buscar otras formas de reducir la varianza del método Montecarlo</w:t>
      </w:r>
      <w:r w:rsidR="000E4886">
        <w:t>.</w:t>
      </w:r>
    </w:p>
    <w:p w14:paraId="75FB590F" w14:textId="7BCC15BC" w:rsidR="000E4886" w:rsidRDefault="000E4886" w:rsidP="006E7034">
      <w:r>
        <w:t xml:space="preserve">Una forma muy sencilla es utilizar variables antitéticas. Este método consiste en tomar, además de los caminos simulados, los correspondientes caminos asociados a las variables aleatorias </w:t>
      </w:r>
    </w:p>
    <w:p w14:paraId="5F6AD84A" w14:textId="1DE3C738" w:rsidR="000E4886" w:rsidRPr="000E4886" w:rsidRDefault="000E4886" w:rsidP="006E7034">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1</m:t>
                        </m:r>
                      </m:sup>
                    </m:sSubSup>
                  </m:e>
                </m:mr>
                <m:mr>
                  <m:e>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2</m:t>
                        </m:r>
                      </m:sup>
                    </m:sSubSup>
                  </m:e>
                </m:mr>
              </m:m>
            </m:e>
          </m:d>
        </m:oMath>
      </m:oMathPara>
    </w:p>
    <w:p w14:paraId="465E7540" w14:textId="15B1A487" w:rsidR="000E4886" w:rsidRDefault="000E4886" w:rsidP="006E7034">
      <w:r>
        <w:lastRenderedPageBreak/>
        <w:t xml:space="preserve">De esta manera, obtenemos el doble de caminos sin tener que generar variable aleatorias nuevas y sin cambiar la media de nuestras variables aleatorias normales. Este método aportará una reducción en un factor </w:t>
      </w:r>
      <m:oMath>
        <m:rad>
          <m:radPr>
            <m:degHide m:val="1"/>
            <m:ctrlPr>
              <w:rPr>
                <w:rFonts w:ascii="Cambria Math" w:hAnsi="Cambria Math"/>
                <w:i/>
              </w:rPr>
            </m:ctrlPr>
          </m:radPr>
          <m:deg/>
          <m:e>
            <m:r>
              <w:rPr>
                <w:rFonts w:ascii="Cambria Math" w:hAnsi="Cambria Math"/>
              </w:rPr>
              <m:t>2</m:t>
            </m:r>
          </m:e>
        </m:rad>
      </m:oMath>
      <w:r>
        <w:t xml:space="preserve"> de la desviación estándar del precio calculado.</w:t>
      </w:r>
    </w:p>
    <w:p w14:paraId="6AC7599F" w14:textId="4188C890" w:rsidR="000E4886" w:rsidRPr="000E4886" w:rsidRDefault="000E4886" w:rsidP="000E4886">
      <w:pPr>
        <w:pStyle w:val="Heading2"/>
        <w:rPr>
          <w:caps w:val="0"/>
        </w:rPr>
      </w:pPr>
      <w:r w:rsidRPr="000E4886">
        <w:rPr>
          <w:caps w:val="0"/>
        </w:rPr>
        <w:t>Problema por la discretización del modelo continuo</w:t>
      </w:r>
    </w:p>
    <w:p w14:paraId="7CC6285C" w14:textId="753AAB5D" w:rsidR="000E4886" w:rsidRDefault="00663770" w:rsidP="006E7034">
      <w:r>
        <w:t xml:space="preserve">A pesar de que en la sección </w:t>
      </w:r>
      <w:r>
        <w:fldChar w:fldCharType="begin"/>
      </w:r>
      <w:r>
        <w:instrText xml:space="preserve"> REF _Ref73470305 \r \h </w:instrText>
      </w:r>
      <w:r>
        <w:fldChar w:fldCharType="separate"/>
      </w:r>
      <w:r>
        <w:t>5.1</w:t>
      </w:r>
      <w:r>
        <w:fldChar w:fldCharType="end"/>
      </w:r>
      <w:r>
        <w:t xml:space="preserve"> se indicaba el que modelo de Cox-Ingersoll- Ross asegura que la variable modelizada siempre es positiva bajo unas ciertas condiciones, esta propiedad puede perderse debido a la discretización de problema de tiempo continuo.</w:t>
      </w:r>
    </w:p>
    <w:p w14:paraId="66CD1069" w14:textId="648405BA" w:rsidR="00663770" w:rsidRDefault="00663770" w:rsidP="006E7034">
      <w:r>
        <w:t>Si nos fijamos en la ecuación del modelo</w:t>
      </w:r>
    </w:p>
    <w:p w14:paraId="5123C687" w14:textId="37DCA4DC" w:rsidR="00663770" w:rsidRPr="00663770" w:rsidRDefault="00663770" w:rsidP="006E7034">
      <m:oMathPara>
        <m:oMath>
          <m:r>
            <w:rPr>
              <w:rFonts w:ascii="Cambria Math" w:hAnsi="Cambria Math" w:cs="Arial"/>
            </w:rPr>
            <m:t>d</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m:oMathPara>
    </w:p>
    <w:p w14:paraId="6AB7C1BC" w14:textId="1DB9D4A2" w:rsidR="00663770" w:rsidRDefault="00663770" w:rsidP="006E7034">
      <w:r>
        <w:t xml:space="preserve">el factor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oMath>
      <w:r>
        <w:t xml:space="preserve"> es el que evita que el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baje de cero, ya que cuando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se hace pequeño, al estar dentro de una raíz cuadrada, el término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t xml:space="preserve"> se anula prácticamente. Esto hace que en esos instantes, el término dominante </w:t>
      </w:r>
      <m:oMath>
        <m:r>
          <w:rPr>
            <w:rFonts w:ascii="Cambria Math" w:hAnsi="Cambria Math" w:cs="Arial"/>
          </w:rPr>
          <m:t>a</m:t>
        </m:r>
        <m:d>
          <m:dPr>
            <m:ctrlPr>
              <w:rPr>
                <w:rFonts w:ascii="Cambria Math" w:hAnsi="Cambria Math" w:cs="Arial"/>
                <w:i/>
              </w:rPr>
            </m:ctrlPr>
          </m:dPr>
          <m:e>
            <m:r>
              <w:rPr>
                <w:rFonts w:ascii="Cambria Math" w:hAnsi="Cambria Math" w:cs="Arial"/>
              </w:rPr>
              <m:t>b-</m:t>
            </m:r>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d>
        <m:r>
          <w:rPr>
            <w:rFonts w:ascii="Cambria Math" w:hAnsi="Cambria Math" w:cs="Arial"/>
          </w:rPr>
          <m:t>dt</m:t>
        </m:r>
      </m:oMath>
      <w:r>
        <w:t xml:space="preserve"> acerque el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a la media </w:t>
      </w:r>
      <m:oMath>
        <m:r>
          <w:rPr>
            <w:rFonts w:ascii="Cambria Math" w:hAnsi="Cambria Math" w:cs="Arial"/>
          </w:rPr>
          <m:t>b</m:t>
        </m:r>
      </m:oMath>
      <w:r>
        <w:t>, por lo que nunca puede hacerse negativo.</w:t>
      </w:r>
    </w:p>
    <w:p w14:paraId="46148EDF" w14:textId="187B2BE1" w:rsidR="00663770" w:rsidRPr="00663770" w:rsidRDefault="00663770" w:rsidP="006E7034">
      <w:r>
        <w:t xml:space="preserve">Al discretizar el tiempo, puede pasar que alguno de los saltos cuando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es pequeño, no se esté anulando el factor </w:t>
      </w:r>
      <m:oMath>
        <m:sSup>
          <m:sSupPr>
            <m:ctrlPr>
              <w:rPr>
                <w:rFonts w:ascii="Cambria Math" w:hAnsi="Cambria Math" w:cs="Arial"/>
                <w:i/>
              </w:rPr>
            </m:ctrlPr>
          </m:sSupPr>
          <m:e>
            <m:r>
              <w:rPr>
                <w:rFonts w:ascii="Cambria Math" w:hAnsi="Cambria Math" w:cs="Arial"/>
              </w:rPr>
              <m:t>σ</m:t>
            </m:r>
          </m:e>
          <m:sup>
            <m:r>
              <w:rPr>
                <w:rFonts w:ascii="Cambria Math" w:hAnsi="Cambria Math" w:cs="Arial"/>
              </w:rPr>
              <m:t>q</m:t>
            </m:r>
          </m:sup>
        </m:sSup>
        <m:rad>
          <m:radPr>
            <m:degHide m:val="1"/>
            <m:ctrlPr>
              <w:rPr>
                <w:rFonts w:ascii="Cambria Math" w:hAnsi="Cambria Math" w:cs="Arial"/>
                <w:i/>
              </w:rPr>
            </m:ctrlPr>
          </m:radPr>
          <m:deg/>
          <m:e>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e>
        </m:rad>
        <m:r>
          <w:rPr>
            <w:rFonts w:ascii="Cambria Math" w:hAnsi="Cambria Math" w:cs="Arial"/>
          </w:rPr>
          <m:t>d</m:t>
        </m:r>
        <m:sSubSup>
          <m:sSubSupPr>
            <m:ctrlPr>
              <w:rPr>
                <w:rFonts w:ascii="Cambria Math" w:hAnsi="Cambria Math" w:cs="Arial"/>
                <w:i/>
              </w:rPr>
            </m:ctrlPr>
          </m:sSubSupPr>
          <m:e>
            <m:r>
              <w:rPr>
                <w:rFonts w:ascii="Cambria Math" w:hAnsi="Cambria Math" w:cs="Arial"/>
              </w:rPr>
              <m:t>W</m:t>
            </m:r>
          </m:e>
          <m:sub>
            <m:r>
              <w:rPr>
                <w:rFonts w:ascii="Cambria Math" w:hAnsi="Cambria Math" w:cs="Arial"/>
              </w:rPr>
              <m:t>t</m:t>
            </m:r>
          </m:sub>
          <m:sup>
            <m:r>
              <w:rPr>
                <w:rFonts w:ascii="Cambria Math" w:hAnsi="Cambria Math" w:cs="Arial"/>
              </w:rPr>
              <m:t>2</m:t>
            </m:r>
          </m:sup>
        </m:sSubSup>
      </m:oMath>
      <w:r>
        <w:t xml:space="preserve"> como se ha explicado anteriormente. El hecho de que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no debería de tener mucha importancia, ya que rápidamente volvería a ser positivo en el siguiente paso de la discretización. El problema surge por el hecho de que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t xml:space="preserve"> aparezca en la raíz cuadrada. Si se hace negativo, el cálculo daría un número complejo y el algoritmo se pararía. Para evitar este error, si en algún pa</w:t>
      </w:r>
      <w:r w:rsidR="00960E5A">
        <w:t xml:space="preserve">so de nuestras simulaciones se pasa a un valor de </w:t>
      </w:r>
      <m:oMath>
        <m:sSub>
          <m:sSubPr>
            <m:ctrlPr>
              <w:rPr>
                <w:rFonts w:ascii="Cambria Math" w:hAnsi="Cambria Math" w:cs="Arial"/>
                <w:i/>
              </w:rPr>
            </m:ctrlPr>
          </m:sSubPr>
          <m:e>
            <m:r>
              <w:rPr>
                <w:rFonts w:ascii="Cambria Math" w:hAnsi="Cambria Math" w:cs="Arial"/>
              </w:rPr>
              <m:t>q</m:t>
            </m:r>
          </m:e>
          <m:sub>
            <m:r>
              <w:rPr>
                <w:rFonts w:ascii="Cambria Math" w:hAnsi="Cambria Math" w:cs="Arial"/>
              </w:rPr>
              <m:t>t</m:t>
            </m:r>
          </m:sub>
        </m:sSub>
      </m:oMath>
      <w:r w:rsidR="00960E5A">
        <w:t xml:space="preserve"> negativo, en nuestro algoritmo lo pondremos como cero, para así poder evitar problemas con el término de la volatilidad.</w:t>
      </w:r>
    </w:p>
    <w:p w14:paraId="6915690E" w14:textId="4135F7E9" w:rsidR="007E0EC5" w:rsidRDefault="007E0EC5" w:rsidP="007E0EC5">
      <w:pPr>
        <w:pStyle w:val="Heading2"/>
      </w:pPr>
      <w:r>
        <w:t xml:space="preserve"> </w:t>
      </w:r>
      <w:r w:rsidRPr="007E0EC5">
        <w:rPr>
          <w:caps w:val="0"/>
        </w:rPr>
        <w:t>Obtención de los datos de mercado</w:t>
      </w:r>
    </w:p>
    <w:p w14:paraId="23F03E5F" w14:textId="7DE18A71" w:rsidR="00960E5A" w:rsidRDefault="00960E5A" w:rsidP="006E7034">
      <w:r>
        <w:t xml:space="preserve">Aunque en la sección </w:t>
      </w:r>
      <w:r>
        <w:fldChar w:fldCharType="begin"/>
      </w:r>
      <w:r>
        <w:instrText xml:space="preserve"> REF _Ref73471075 \r \h </w:instrText>
      </w:r>
      <w:r>
        <w:fldChar w:fldCharType="separate"/>
      </w:r>
      <w:r>
        <w:t>5.2</w:t>
      </w:r>
      <w:r>
        <w:fldChar w:fldCharType="end"/>
      </w:r>
      <w:r>
        <w:t xml:space="preserve"> ya se han indicado los precios de mercado de los productos que vamos a usar como objetivo en el algoritmo de calibración, aún nos siguen faltando algunos datos para hacer funcionar el modelo. En esta sección indicaremos de donde se obtiene cada uno de ellos.</w:t>
      </w:r>
    </w:p>
    <w:p w14:paraId="2F00A122" w14:textId="7351D74D" w:rsidR="0077014A" w:rsidRDefault="0077014A" w:rsidP="006E7034">
      <w:r>
        <w:t>Necesitaremos el valor de dichos datos a fecha 01/04/2020, que es la fecha de simulación a la que estamos valorando todos los productos.</w:t>
      </w:r>
    </w:p>
    <w:p w14:paraId="1742EF43" w14:textId="43FD0904" w:rsidR="00960E5A" w:rsidRDefault="0077014A" w:rsidP="0077014A">
      <w:pPr>
        <w:pStyle w:val="Heading3"/>
      </w:pPr>
      <w:r>
        <w:lastRenderedPageBreak/>
        <w:t>EUROSTOXX 50</w:t>
      </w:r>
    </w:p>
    <w:p w14:paraId="12C8FF76" w14:textId="4DE34328" w:rsidR="0077014A" w:rsidRDefault="0077014A" w:rsidP="0077014A">
      <w:r>
        <w:t xml:space="preserve">El valor del índice EUROSTOXX 50 es un dato público que se puede encontrar en cualquier buscador web. Su valor (en EUR) a fecha de simulación era </w:t>
      </w:r>
    </w:p>
    <w:p w14:paraId="11D67351" w14:textId="13EC355B" w:rsidR="0077014A" w:rsidRPr="0077014A" w:rsidRDefault="0077014A" w:rsidP="0077014A">
      <m:oMathPara>
        <m:oMath>
          <m:r>
            <w:rPr>
              <w:rFonts w:ascii="Cambria Math" w:hAnsi="Cambria Math"/>
            </w:rPr>
            <m:t xml:space="preserve">S=2680.3 </m:t>
          </m:r>
        </m:oMath>
      </m:oMathPara>
    </w:p>
    <w:p w14:paraId="50891E97" w14:textId="52C1B830" w:rsidR="00960E5A" w:rsidRDefault="0077014A" w:rsidP="0077014A">
      <w:pPr>
        <w:pStyle w:val="Heading3"/>
      </w:pPr>
      <w:r>
        <w:t>Ratio de dividendos del EUROSTOXX 50</w:t>
      </w:r>
    </w:p>
    <w:p w14:paraId="6CC3DA95" w14:textId="24A1FF3B" w:rsidR="0077014A" w:rsidRDefault="0077014A" w:rsidP="0077014A">
      <w:r>
        <w:t>El valor de este ratio no es un valor que se publique en las webs de compra/venta de productos financieros, ya que es un valor qu</w:t>
      </w:r>
      <w:r w:rsidR="009A0453">
        <w:t>e ha sido creado por el modelo.</w:t>
      </w:r>
    </w:p>
    <w:p w14:paraId="75C94390" w14:textId="059BFBE9" w:rsidR="009A0453" w:rsidRPr="0077014A" w:rsidRDefault="009A0453" w:rsidP="0077014A">
      <w:r>
        <w:t xml:space="preserve">El valor que sí que se publica es el del índice </w:t>
      </w:r>
      <w:r>
        <w:t>EUROSTOXX 50 DVP</w:t>
      </w:r>
      <w:r>
        <w:t xml:space="preserve">, que como comentábamos en la sección </w:t>
      </w:r>
      <w:r>
        <w:fldChar w:fldCharType="begin"/>
      </w:r>
      <w:r>
        <w:instrText xml:space="preserve"> REF _Ref73471554 \r \h </w:instrText>
      </w:r>
      <w:r>
        <w:fldChar w:fldCharType="separate"/>
      </w:r>
      <w:r>
        <w:t>5.2.2</w:t>
      </w:r>
      <w:r>
        <w:fldChar w:fldCharType="end"/>
      </w:r>
      <w:r>
        <w:t xml:space="preserve">, en nuestro modelo lo podemos obtener a partir del valor de </w:t>
      </w:r>
      <m:oMath>
        <m:r>
          <w:rPr>
            <w:rFonts w:ascii="Cambria Math" w:hAnsi="Cambria Math"/>
          </w:rPr>
          <m:t>S</m:t>
        </m:r>
      </m:oMath>
      <w:r>
        <w:t xml:space="preserve"> y </w:t>
      </w:r>
      <m:oMath>
        <m:r>
          <w:rPr>
            <w:rFonts w:ascii="Cambria Math" w:hAnsi="Cambria Math"/>
          </w:rPr>
          <m:t>q</m:t>
        </m:r>
      </m:oMath>
      <w:r>
        <w:t>:</w:t>
      </w:r>
    </w:p>
    <w:p w14:paraId="3597EDD8" w14:textId="77777777" w:rsidR="009A0453" w:rsidRDefault="009A0453" w:rsidP="009A0453">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cs="Arial"/>
                      <w:i/>
                    </w:rPr>
                  </m:ctrlPr>
                </m:sSubPr>
                <m:e>
                  <m:r>
                    <w:rPr>
                      <w:rFonts w:ascii="Cambria Math" w:hAnsi="Cambria Math" w:cs="Arial"/>
                    </w:rPr>
                    <m:t>S</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e>
          </m:nary>
          <m:r>
            <w:rPr>
              <w:rFonts w:ascii="Cambria Math" w:hAnsi="Cambria Math" w:cs="Arial"/>
            </w:rPr>
            <m:t>∙</m:t>
          </m:r>
          <m:r>
            <m:rPr>
              <m:sty m:val="p"/>
            </m:rPr>
            <w:rPr>
              <w:rFonts w:ascii="Cambria Math" w:hAnsi="Cambria Math" w:cs="Arial"/>
            </w:rPr>
            <m:t>Δ</m:t>
          </m:r>
          <m:r>
            <w:rPr>
              <w:rFonts w:ascii="Cambria Math" w:hAnsi="Cambria Math" w:cs="Arial"/>
            </w:rPr>
            <m:t>t</m:t>
          </m:r>
        </m:oMath>
      </m:oMathPara>
    </w:p>
    <w:p w14:paraId="07E0D9FC" w14:textId="4B0A74F0" w:rsidR="009A0453" w:rsidRDefault="009A0453" w:rsidP="006E7034">
      <w:r>
        <w:t xml:space="preserve">Con la idea de esta fórmula, podemos recuperar la serie histórica del valor de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a partir del índice EUROSTOXX 50 y el índice EUROSTOXX 50 DVP.</w:t>
      </w:r>
    </w:p>
    <w:p w14:paraId="6B34F3D3" w14:textId="3405884B" w:rsidR="009A0453" w:rsidRDefault="009A0453" w:rsidP="006E7034">
      <w:r>
        <w:t>A fecha de simulación, su valor era</w:t>
      </w:r>
    </w:p>
    <w:p w14:paraId="61A9393B" w14:textId="082FF4A0" w:rsidR="009A0453" w:rsidRDefault="009A0453" w:rsidP="006E7034">
      <m:oMathPara>
        <m:oMath>
          <m:r>
            <w:rPr>
              <w:rFonts w:ascii="Cambria Math" w:hAnsi="Cambria Math"/>
            </w:rPr>
            <m:t>q=1.9968%</m:t>
          </m:r>
        </m:oMath>
      </m:oMathPara>
    </w:p>
    <w:p w14:paraId="6B7D9A05" w14:textId="69DEE7E6" w:rsidR="0077014A" w:rsidRDefault="009A0453" w:rsidP="009A0453">
      <w:pPr>
        <w:pStyle w:val="Heading3"/>
      </w:pPr>
      <w:r>
        <w:t>Correlación entre el índice y su ratio de dividendos</w:t>
      </w:r>
    </w:p>
    <w:p w14:paraId="32C84A09" w14:textId="58DFCC31" w:rsidR="009A0453" w:rsidRDefault="009A0453" w:rsidP="006E7034">
      <w:r>
        <w:t xml:space="preserve">Utilizando las series históricas del EUROSTOXX 50 y de su ratio de dividendos durante el año previo a la fecha de simulación, el coeficiente de correlación que se obtiene es </w:t>
      </w:r>
    </w:p>
    <w:p w14:paraId="4AE546F4" w14:textId="57D84944" w:rsidR="009A0453" w:rsidRPr="009A0453" w:rsidRDefault="009A0453" w:rsidP="006E7034">
      <m:oMathPara>
        <m:oMath>
          <m:r>
            <w:rPr>
              <w:rFonts w:ascii="Cambria Math" w:hAnsi="Cambria Math"/>
            </w:rPr>
            <m:t>ρ=-18.9292%</m:t>
          </m:r>
        </m:oMath>
      </m:oMathPara>
    </w:p>
    <w:p w14:paraId="773F9196" w14:textId="38EC0A51" w:rsidR="009A0453" w:rsidRDefault="009A0453" w:rsidP="006E7034">
      <w:r>
        <w:t>mediante la fórmula de Pearson:</w:t>
      </w:r>
    </w:p>
    <w:p w14:paraId="0A417FA9" w14:textId="73F28745" w:rsidR="009A0453" w:rsidRPr="009A0453" w:rsidRDefault="009A0453" w:rsidP="006E7034">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Cov(X,Y)</m:t>
              </m:r>
            </m:num>
            <m:den>
              <m:rad>
                <m:radPr>
                  <m:degHide m:val="1"/>
                  <m:ctrlPr>
                    <w:rPr>
                      <w:rFonts w:ascii="Cambria Math" w:hAnsi="Cambria Math"/>
                      <w:i/>
                    </w:rPr>
                  </m:ctrlPr>
                </m:radPr>
                <m:deg/>
                <m:e>
                  <m:r>
                    <w:rPr>
                      <w:rFonts w:ascii="Cambria Math" w:hAnsi="Cambria Math"/>
                    </w:rPr>
                    <m:t>Var(X)Var(Y)</m:t>
                  </m:r>
                </m:e>
              </m:rad>
            </m:den>
          </m:f>
        </m:oMath>
      </m:oMathPara>
    </w:p>
    <w:p w14:paraId="44ABA9F6" w14:textId="189380D5" w:rsidR="009A0453" w:rsidRDefault="009A0453" w:rsidP="009A0453">
      <w:pPr>
        <w:pStyle w:val="Heading3"/>
      </w:pPr>
      <w:r>
        <w:t>Tipo de interés libre de riesgo</w:t>
      </w:r>
    </w:p>
    <w:p w14:paraId="08A425BA" w14:textId="5860EDF5" w:rsidR="009A0453" w:rsidRDefault="009A0453" w:rsidP="006E7034">
      <w:r>
        <w:t>El tipo de interés libre de riesgo que introduciremos en este modelo es el tipo de interés del mercado inter</w:t>
      </w:r>
      <w:r w:rsidR="00E65905">
        <w:t>bancario al máximo plazo disponible, es decir, el tipo de referencia EURIBOR a un año. A fecha de simulación, su valor era</w:t>
      </w:r>
    </w:p>
    <w:p w14:paraId="5D7B25AB" w14:textId="153C2274" w:rsidR="00E65905" w:rsidRPr="00E65905" w:rsidRDefault="00E65905" w:rsidP="006E7034">
      <m:oMathPara>
        <m:oMath>
          <m:r>
            <w:rPr>
              <w:rFonts w:ascii="Cambria Math" w:hAnsi="Cambria Math"/>
            </w:rPr>
            <m:t>r=-0.168%</m:t>
          </m:r>
        </m:oMath>
      </m:oMathPara>
    </w:p>
    <w:p w14:paraId="352A6381" w14:textId="5A0FF31C" w:rsidR="00E65905" w:rsidRDefault="00E65905" w:rsidP="006E7034">
      <w:r>
        <w:lastRenderedPageBreak/>
        <w:t xml:space="preserve">Normalmente, en la industria financiera, no se toma un único tipo de interés. Para valorar derivados financieros sobre índices bursátiles, se suele asumir que el tipo de interés es determinista pero dependiente del tiempo. Con estas asunciones, se calibra una cierta curva </w:t>
      </w:r>
      <m:oMath>
        <m:r>
          <w:rPr>
            <w:rFonts w:ascii="Cambria Math" w:hAnsi="Cambria Math"/>
          </w:rPr>
          <m:t>r(t)</m:t>
        </m:r>
      </m:oMath>
      <w:r>
        <w:t xml:space="preserve"> observando diferentes tipos de productos como bonos, swaps o préstamos.</w:t>
      </w:r>
    </w:p>
    <w:p w14:paraId="6222547C" w14:textId="1CA0AF8B" w:rsidR="00E65905" w:rsidRDefault="00E65905" w:rsidP="006E7034">
      <w:r>
        <w:t>Esta metodología permite calcular con más detalle el riesgo de los derivados financieros que estamos valorando a los tipos de interés. En nuestro caso, podríamos haber hecho algo parecido, pero sería demasiado avanzado para este trabajo y nos alejaría de nuestro objetivo principal de estudiar el riesgo de los productos debido a los dividendos.</w:t>
      </w:r>
    </w:p>
    <w:p w14:paraId="1C47FE81" w14:textId="7EA1984B" w:rsidR="009A0453" w:rsidRDefault="00255F01" w:rsidP="00255F01">
      <w:pPr>
        <w:pStyle w:val="Heading3"/>
      </w:pPr>
      <w:r>
        <w:t>Velocidad de reversión a la media</w:t>
      </w:r>
    </w:p>
    <w:p w14:paraId="185C7DD8" w14:textId="538395EA" w:rsidR="00255F01" w:rsidRPr="00255F01" w:rsidRDefault="00255F01" w:rsidP="00255F01">
      <w:pPr>
        <w:rPr>
          <w:color w:val="FF0000"/>
        </w:rPr>
      </w:pPr>
      <w:r w:rsidRPr="00255F01">
        <w:rPr>
          <w:color w:val="FF0000"/>
        </w:rPr>
        <w:t>Explicar criterio experto. Se podría calibrar con más productos.</w:t>
      </w:r>
    </w:p>
    <w:p w14:paraId="49606C0D" w14:textId="131E0139" w:rsidR="00960176" w:rsidRPr="00255F01" w:rsidRDefault="00255F01" w:rsidP="00255F01">
      <m:oMathPara>
        <m:oMath>
          <m:r>
            <w:rPr>
              <w:rFonts w:ascii="Cambria Math" w:hAnsi="Cambria Math"/>
            </w:rPr>
            <m:t>a=0.001</m:t>
          </m:r>
        </m:oMath>
      </m:oMathPara>
    </w:p>
    <w:p w14:paraId="77661832" w14:textId="2F5FF9AB" w:rsidR="007E0EC5" w:rsidRDefault="007E0EC5" w:rsidP="007E0EC5">
      <w:pPr>
        <w:pStyle w:val="Heading2"/>
      </w:pPr>
      <w:r>
        <w:t xml:space="preserve"> </w:t>
      </w:r>
      <w:r w:rsidR="001D1B72">
        <w:rPr>
          <w:caps w:val="0"/>
        </w:rPr>
        <w:t>C</w:t>
      </w:r>
      <w:r w:rsidRPr="007E0EC5">
        <w:rPr>
          <w:caps w:val="0"/>
        </w:rPr>
        <w:t>alibración</w:t>
      </w:r>
      <w:r w:rsidR="001D1B72">
        <w:rPr>
          <w:caps w:val="0"/>
        </w:rPr>
        <w:t xml:space="preserve"> del modelo</w:t>
      </w:r>
    </w:p>
    <w:p w14:paraId="12C4E5E3" w14:textId="62CC5F18" w:rsidR="00683525" w:rsidRDefault="00255F01" w:rsidP="006E7034">
      <w:r>
        <w:t xml:space="preserve">Para calibrar el modelo, vamos ajustando los parámetros </w:t>
      </w:r>
      <m:oMath>
        <m:r>
          <w:rPr>
            <w:rFonts w:ascii="Cambria Math" w:hAnsi="Cambria Math"/>
          </w:rPr>
          <m:t>b</m:t>
        </m:r>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S</m:t>
            </m:r>
          </m:sup>
        </m:sSup>
        <m:r>
          <w:rPr>
            <w:rFonts w:ascii="Cambria Math" w:hAnsi="Cambria Math"/>
          </w:rPr>
          <m:t xml:space="preserve"> y </m:t>
        </m:r>
        <m:sSup>
          <m:sSupPr>
            <m:ctrlPr>
              <w:rPr>
                <w:rFonts w:ascii="Cambria Math" w:hAnsi="Cambria Math"/>
                <w:i/>
              </w:rPr>
            </m:ctrlPr>
          </m:sSupPr>
          <m:e>
            <m:r>
              <w:rPr>
                <w:rFonts w:ascii="Cambria Math" w:hAnsi="Cambria Math"/>
              </w:rPr>
              <m:t>σ</m:t>
            </m:r>
          </m:e>
          <m:sup>
            <m:r>
              <w:rPr>
                <w:rFonts w:ascii="Cambria Math" w:hAnsi="Cambria Math"/>
              </w:rPr>
              <m:t>q</m:t>
            </m:r>
          </m:sup>
        </m:sSup>
      </m:oMath>
      <w:r>
        <w:t xml:space="preserve"> haciendo bootstrapping.</w:t>
      </w:r>
    </w:p>
    <w:p w14:paraId="42F2DFBF" w14:textId="5CADF3F7" w:rsidR="00255F01" w:rsidRDefault="00255F01" w:rsidP="006E7034">
      <w:r>
        <w:t>Empezamos con los precios de los tres productos para el primer vencimiento y buscamos los parámetros que durante el este primer periodo de tiempo nos dan los precios de mercado.</w:t>
      </w:r>
    </w:p>
    <w:p w14:paraId="0CBD7E96" w14:textId="5EC29A25" w:rsidR="00255F01" w:rsidRDefault="00255F01" w:rsidP="006E7034">
      <w:r>
        <w:t>Una vez obtenidos estos parámetros para el primer periodo de tiempo, calculamos los precios de los tres productos para el segundo vencimiento. Durante este segundo vencimiento, tendremos los parámetros que calibramos en el primer tramos, y serán incógnita los parámetros entre el segundo tramo. Se calibran estos parámetros incógnita y se repite este proceso con todos los vencimientos para los que disponemos de datos.</w:t>
      </w:r>
    </w:p>
    <w:p w14:paraId="0121A620" w14:textId="1A54C4A0" w:rsidR="00960176" w:rsidRDefault="00960176" w:rsidP="006E7034">
      <w:r>
        <w:t>Resultados de la calibración</w:t>
      </w:r>
    </w:p>
    <w:tbl>
      <w:tblPr>
        <w:tblStyle w:val="TableGrid"/>
        <w:tblW w:w="0" w:type="auto"/>
        <w:tblLook w:val="04A0" w:firstRow="1" w:lastRow="0" w:firstColumn="1" w:lastColumn="0" w:noHBand="0" w:noVBand="1"/>
      </w:tblPr>
      <w:tblGrid>
        <w:gridCol w:w="1539"/>
        <w:gridCol w:w="2588"/>
        <w:gridCol w:w="2467"/>
        <w:gridCol w:w="2467"/>
      </w:tblGrid>
      <w:tr w:rsidR="00255F01" w14:paraId="777ED611" w14:textId="77777777" w:rsidTr="00255F01">
        <w:tc>
          <w:tcPr>
            <w:tcW w:w="2265" w:type="dxa"/>
          </w:tcPr>
          <w:p w14:paraId="31A2A1A6" w14:textId="28E748DC" w:rsidR="00255F01" w:rsidRDefault="00255F01" w:rsidP="006E7034">
            <w:r>
              <w:t>Vencimiento</w:t>
            </w:r>
          </w:p>
        </w:tc>
        <w:tc>
          <w:tcPr>
            <w:tcW w:w="2265" w:type="dxa"/>
          </w:tcPr>
          <w:p w14:paraId="47202ADB" w14:textId="73AFDBAF" w:rsidR="00255F01" w:rsidRDefault="00255F01" w:rsidP="006E7034">
            <w:r>
              <w:t>b</w:t>
            </w:r>
          </w:p>
        </w:tc>
        <w:tc>
          <w:tcPr>
            <w:tcW w:w="2265" w:type="dxa"/>
          </w:tcPr>
          <w:p w14:paraId="3818ED53" w14:textId="02231662" w:rsidR="00255F01" w:rsidRDefault="00255F01" w:rsidP="006E7034">
            <m:oMathPara>
              <m:oMath>
                <m:sSup>
                  <m:sSupPr>
                    <m:ctrlPr>
                      <w:rPr>
                        <w:rFonts w:ascii="Cambria Math" w:hAnsi="Cambria Math"/>
                        <w:i/>
                      </w:rPr>
                    </m:ctrlPr>
                  </m:sSupPr>
                  <m:e>
                    <m:r>
                      <w:rPr>
                        <w:rFonts w:ascii="Cambria Math" w:hAnsi="Cambria Math"/>
                      </w:rPr>
                      <m:t>σ</m:t>
                    </m:r>
                  </m:e>
                  <m:sup>
                    <m:r>
                      <w:rPr>
                        <w:rFonts w:ascii="Cambria Math" w:hAnsi="Cambria Math"/>
                      </w:rPr>
                      <m:t>S</m:t>
                    </m:r>
                  </m:sup>
                </m:sSup>
              </m:oMath>
            </m:oMathPara>
          </w:p>
        </w:tc>
        <w:tc>
          <w:tcPr>
            <w:tcW w:w="2266" w:type="dxa"/>
          </w:tcPr>
          <w:p w14:paraId="2F5553DB" w14:textId="7A77991D" w:rsidR="00255F01" w:rsidRDefault="00255F01" w:rsidP="006E7034">
            <m:oMathPara>
              <m:oMath>
                <m:sSup>
                  <m:sSupPr>
                    <m:ctrlPr>
                      <w:rPr>
                        <w:rFonts w:ascii="Cambria Math" w:hAnsi="Cambria Math"/>
                        <w:i/>
                      </w:rPr>
                    </m:ctrlPr>
                  </m:sSupPr>
                  <m:e>
                    <m:r>
                      <w:rPr>
                        <w:rFonts w:ascii="Cambria Math" w:hAnsi="Cambria Math"/>
                      </w:rPr>
                      <m:t>σ</m:t>
                    </m:r>
                  </m:e>
                  <m:sup>
                    <m:r>
                      <w:rPr>
                        <w:rFonts w:ascii="Cambria Math" w:hAnsi="Cambria Math"/>
                      </w:rPr>
                      <m:t>q</m:t>
                    </m:r>
                  </m:sup>
                </m:sSup>
              </m:oMath>
            </m:oMathPara>
          </w:p>
        </w:tc>
      </w:tr>
      <w:tr w:rsidR="00255F01" w14:paraId="667AC40D" w14:textId="77777777" w:rsidTr="00255F01">
        <w:tc>
          <w:tcPr>
            <w:tcW w:w="2265" w:type="dxa"/>
          </w:tcPr>
          <w:p w14:paraId="57E73E63" w14:textId="2F50BFDF" w:rsidR="00255F01" w:rsidRDefault="00255F01" w:rsidP="006E7034">
            <w:r>
              <w:t>T1</w:t>
            </w:r>
          </w:p>
        </w:tc>
        <w:tc>
          <w:tcPr>
            <w:tcW w:w="2265" w:type="dxa"/>
          </w:tcPr>
          <w:p w14:paraId="5D5151AD" w14:textId="6362AEBD" w:rsidR="00255F01" w:rsidRDefault="00255F01" w:rsidP="006E7034">
            <w:r w:rsidRPr="00255F01">
              <w:t>0.024737155450621228</w:t>
            </w:r>
          </w:p>
        </w:tc>
        <w:tc>
          <w:tcPr>
            <w:tcW w:w="2265" w:type="dxa"/>
          </w:tcPr>
          <w:p w14:paraId="13B74167" w14:textId="62BE7C2A" w:rsidR="00255F01" w:rsidRDefault="00255F01" w:rsidP="006E7034">
            <w:r w:rsidRPr="00255F01">
              <w:t>0.29857747662566014</w:t>
            </w:r>
          </w:p>
        </w:tc>
        <w:tc>
          <w:tcPr>
            <w:tcW w:w="2266" w:type="dxa"/>
          </w:tcPr>
          <w:p w14:paraId="7854C0F1" w14:textId="0E35DD94" w:rsidR="00255F01" w:rsidRDefault="00255F01" w:rsidP="006E7034">
            <w:r w:rsidRPr="00255F01">
              <w:t>0.17801564944454995</w:t>
            </w:r>
          </w:p>
        </w:tc>
      </w:tr>
      <w:tr w:rsidR="00255F01" w14:paraId="312237A5" w14:textId="77777777" w:rsidTr="00255F01">
        <w:tc>
          <w:tcPr>
            <w:tcW w:w="2265" w:type="dxa"/>
          </w:tcPr>
          <w:p w14:paraId="0EC01326" w14:textId="47DD8D8D" w:rsidR="00255F01" w:rsidRDefault="00255F01" w:rsidP="006E7034">
            <w:r>
              <w:t>T2</w:t>
            </w:r>
          </w:p>
        </w:tc>
        <w:tc>
          <w:tcPr>
            <w:tcW w:w="2265" w:type="dxa"/>
          </w:tcPr>
          <w:p w14:paraId="79AB45E9" w14:textId="4C05C5B5" w:rsidR="00255F01" w:rsidRDefault="00255F01" w:rsidP="006E7034">
            <w:r w:rsidRPr="00255F01">
              <w:t>0.03941765062285646</w:t>
            </w:r>
          </w:p>
        </w:tc>
        <w:tc>
          <w:tcPr>
            <w:tcW w:w="2265" w:type="dxa"/>
          </w:tcPr>
          <w:p w14:paraId="3AA5E2D2" w14:textId="171F13DA" w:rsidR="00255F01" w:rsidRDefault="00255F01" w:rsidP="006E7034">
            <w:r w:rsidRPr="00255F01">
              <w:t>0.20942776307576405</w:t>
            </w:r>
          </w:p>
        </w:tc>
        <w:tc>
          <w:tcPr>
            <w:tcW w:w="2266" w:type="dxa"/>
          </w:tcPr>
          <w:p w14:paraId="08FB70C7" w14:textId="12B5CC02" w:rsidR="00255F01" w:rsidRDefault="00255F01" w:rsidP="006E7034">
            <w:r w:rsidRPr="00255F01">
              <w:t>0.12973479168441482</w:t>
            </w:r>
          </w:p>
        </w:tc>
      </w:tr>
      <w:tr w:rsidR="00255F01" w14:paraId="1C66F10C" w14:textId="77777777" w:rsidTr="00255F01">
        <w:tc>
          <w:tcPr>
            <w:tcW w:w="2265" w:type="dxa"/>
          </w:tcPr>
          <w:p w14:paraId="08BD7502" w14:textId="198C3543" w:rsidR="00255F01" w:rsidRDefault="00255F01" w:rsidP="006E7034">
            <w:r>
              <w:t>T3</w:t>
            </w:r>
          </w:p>
        </w:tc>
        <w:tc>
          <w:tcPr>
            <w:tcW w:w="2265" w:type="dxa"/>
          </w:tcPr>
          <w:p w14:paraId="673E8CD0" w14:textId="06EBCFD7" w:rsidR="00255F01" w:rsidRDefault="00255F01" w:rsidP="006E7034">
            <w:r w:rsidRPr="00255F01">
              <w:t>0.0511325777573891</w:t>
            </w:r>
          </w:p>
        </w:tc>
        <w:tc>
          <w:tcPr>
            <w:tcW w:w="2265" w:type="dxa"/>
          </w:tcPr>
          <w:p w14:paraId="65AD0584" w14:textId="4F8EF053" w:rsidR="00255F01" w:rsidRDefault="00255F01" w:rsidP="006E7034">
            <w:r w:rsidRPr="00255F01">
              <w:t>0.19648922294049684</w:t>
            </w:r>
          </w:p>
        </w:tc>
        <w:tc>
          <w:tcPr>
            <w:tcW w:w="2266" w:type="dxa"/>
          </w:tcPr>
          <w:p w14:paraId="39B97FC1" w14:textId="70562B99" w:rsidR="00255F01" w:rsidRDefault="00255F01" w:rsidP="006E7034">
            <w:r w:rsidRPr="00255F01">
              <w:t>0.1270342740582159</w:t>
            </w:r>
          </w:p>
        </w:tc>
      </w:tr>
      <w:tr w:rsidR="00255F01" w14:paraId="10B108CB" w14:textId="77777777" w:rsidTr="00255F01">
        <w:tc>
          <w:tcPr>
            <w:tcW w:w="2265" w:type="dxa"/>
          </w:tcPr>
          <w:p w14:paraId="343A1C59" w14:textId="32E4196B" w:rsidR="00255F01" w:rsidRDefault="00255F01" w:rsidP="006E7034">
            <w:r>
              <w:t>T4</w:t>
            </w:r>
          </w:p>
        </w:tc>
        <w:tc>
          <w:tcPr>
            <w:tcW w:w="2265" w:type="dxa"/>
          </w:tcPr>
          <w:p w14:paraId="345E44A5" w14:textId="7654CFFC" w:rsidR="00255F01" w:rsidRDefault="00255F01" w:rsidP="006E7034">
            <w:r w:rsidRPr="00255F01">
              <w:t>0.0559405492032063</w:t>
            </w:r>
          </w:p>
        </w:tc>
        <w:tc>
          <w:tcPr>
            <w:tcW w:w="2265" w:type="dxa"/>
          </w:tcPr>
          <w:p w14:paraId="1F7C3E44" w14:textId="58FEAAA7" w:rsidR="00255F01" w:rsidRDefault="00255F01" w:rsidP="006E7034">
            <w:r w:rsidRPr="00255F01">
              <w:t>0.20534595991139198</w:t>
            </w:r>
          </w:p>
        </w:tc>
        <w:tc>
          <w:tcPr>
            <w:tcW w:w="2266" w:type="dxa"/>
          </w:tcPr>
          <w:p w14:paraId="7C6D85C0" w14:textId="021807B2" w:rsidR="00255F01" w:rsidRDefault="00255F01" w:rsidP="006E7034">
            <w:r w:rsidRPr="00255F01">
              <w:t>0.18114645240722327</w:t>
            </w:r>
          </w:p>
        </w:tc>
      </w:tr>
    </w:tbl>
    <w:p w14:paraId="174C220A" w14:textId="77777777" w:rsidR="00255F01" w:rsidRDefault="00255F01" w:rsidP="006E7034"/>
    <w:p w14:paraId="26B3FCA6" w14:textId="36012045" w:rsidR="00683525" w:rsidRDefault="00960176" w:rsidP="006E7034">
      <w:r>
        <w:t>Diferencia entre precios de mercado y precios calculados teóricamente con estos parámetros</w:t>
      </w:r>
    </w:p>
    <w:p w14:paraId="5E394120" w14:textId="2E4CB8AA" w:rsidR="00960176" w:rsidRDefault="00960176" w:rsidP="006E7034">
      <w:r>
        <w:t>Primera columna los futuro</w:t>
      </w:r>
      <w:r w:rsidR="00BB614E">
        <w:t>s sobre los dividendos, segunda opciones call sobre los dividendos y tercera opciones call sobre el Eurostoxx.</w:t>
      </w:r>
    </w:p>
    <w:p w14:paraId="42F46CDD" w14:textId="698001A0" w:rsidR="00960176" w:rsidRDefault="00960176" w:rsidP="006E7034">
      <w:r>
        <w:rPr>
          <w:noProof/>
          <w:lang w:val="en-GB" w:eastAsia="en-GB"/>
        </w:rPr>
        <w:drawing>
          <wp:inline distT="0" distB="0" distL="0" distR="0" wp14:anchorId="6ECB5839" wp14:editId="0510527D">
            <wp:extent cx="5760085" cy="21647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164715"/>
                    </a:xfrm>
                    <a:prstGeom prst="rect">
                      <a:avLst/>
                    </a:prstGeom>
                  </pic:spPr>
                </pic:pic>
              </a:graphicData>
            </a:graphic>
          </wp:inline>
        </w:drawing>
      </w:r>
    </w:p>
    <w:p w14:paraId="50552AB2" w14:textId="08C5B441" w:rsidR="00BB614E" w:rsidRDefault="00BB614E" w:rsidP="006E7034">
      <w:pPr>
        <w:rPr>
          <w:color w:val="FF0000"/>
        </w:rPr>
      </w:pPr>
      <w:r>
        <w:rPr>
          <w:color w:val="FF0000"/>
        </w:rPr>
        <w:t>Comentar resultado. Añadir desviación estándar.</w:t>
      </w:r>
    </w:p>
    <w:p w14:paraId="6417F7C9" w14:textId="39A66886" w:rsidR="00715511" w:rsidRPr="00BB614E" w:rsidRDefault="00715511" w:rsidP="006E7034">
      <w:pPr>
        <w:rPr>
          <w:color w:val="FF0000"/>
        </w:rPr>
      </w:pPr>
      <w:r w:rsidRPr="00BB614E">
        <w:rPr>
          <w:color w:val="FF0000"/>
        </w:rPr>
        <w:t>Griegas¿?</w:t>
      </w:r>
    </w:p>
    <w:p w14:paraId="09A0B0B0" w14:textId="704D75C6" w:rsidR="00CA0801" w:rsidRDefault="00CA0801">
      <w:pPr>
        <w:spacing w:before="0" w:after="0" w:line="240" w:lineRule="auto"/>
        <w:jc w:val="left"/>
      </w:pPr>
      <w:r>
        <w:br w:type="page"/>
      </w:r>
    </w:p>
    <w:p w14:paraId="4AA3F74F" w14:textId="216F5874" w:rsidR="00E25F33" w:rsidRPr="008037ED" w:rsidRDefault="00E25F33" w:rsidP="00E25F33">
      <w:pPr>
        <w:pStyle w:val="Heading1"/>
      </w:pPr>
      <w:bookmarkStart w:id="38" w:name="_Toc53920815"/>
      <w:r w:rsidRPr="008037ED">
        <w:rPr>
          <w:caps w:val="0"/>
        </w:rPr>
        <w:lastRenderedPageBreak/>
        <w:t>Conclusiones</w:t>
      </w:r>
      <w:r>
        <w:rPr>
          <w:caps w:val="0"/>
        </w:rPr>
        <w:t xml:space="preserve"> y trabajo futuro</w:t>
      </w:r>
      <w:bookmarkEnd w:id="29"/>
      <w:bookmarkEnd w:id="30"/>
      <w:bookmarkEnd w:id="38"/>
    </w:p>
    <w:p w14:paraId="0F537129" w14:textId="085A4494" w:rsidR="00E25F33" w:rsidRDefault="00E25F33" w:rsidP="00E25F33">
      <w:pPr>
        <w:pStyle w:val="Heading2"/>
        <w:rPr>
          <w:caps w:val="0"/>
        </w:rPr>
      </w:pPr>
      <w:bookmarkStart w:id="39" w:name="_Toc7090161"/>
      <w:bookmarkStart w:id="40" w:name="_Toc38273612"/>
      <w:bookmarkStart w:id="41" w:name="_Toc53920816"/>
      <w:r w:rsidRPr="00572843">
        <w:rPr>
          <w:caps w:val="0"/>
        </w:rPr>
        <w:t>Conclusiones</w:t>
      </w:r>
      <w:bookmarkEnd w:id="39"/>
      <w:bookmarkEnd w:id="40"/>
      <w:bookmarkEnd w:id="41"/>
    </w:p>
    <w:p w14:paraId="7906E8A7" w14:textId="4B631128" w:rsidR="006612FE" w:rsidRDefault="006612FE" w:rsidP="006612FE">
      <w:r>
        <w:t>El modelo ha calibrado bien.</w:t>
      </w:r>
      <w:r w:rsidR="009941F5">
        <w:t xml:space="preserve"> </w:t>
      </w:r>
      <w:r w:rsidR="009941F5" w:rsidRPr="009941F5">
        <w:rPr>
          <w:i/>
          <w:iCs/>
        </w:rPr>
        <w:t>Desarrollar.</w:t>
      </w:r>
    </w:p>
    <w:p w14:paraId="0A058DAD" w14:textId="0B05880E" w:rsidR="006612FE" w:rsidRPr="006612FE" w:rsidRDefault="006612FE" w:rsidP="006612FE">
      <w:r>
        <w:t>El modelo es usable para la gestión de riesgos.</w:t>
      </w:r>
      <w:r w:rsidR="009941F5" w:rsidRPr="009941F5">
        <w:rPr>
          <w:i/>
          <w:iCs/>
        </w:rPr>
        <w:t xml:space="preserve"> Desarrollar.</w:t>
      </w:r>
    </w:p>
    <w:p w14:paraId="581EF44E" w14:textId="01DFF156" w:rsidR="00E25F33" w:rsidRDefault="00E25F33" w:rsidP="00E25F33">
      <w:pPr>
        <w:pStyle w:val="Heading2"/>
        <w:rPr>
          <w:caps w:val="0"/>
        </w:rPr>
      </w:pPr>
      <w:bookmarkStart w:id="42" w:name="_Toc7090162"/>
      <w:bookmarkStart w:id="43" w:name="_Toc38273613"/>
      <w:bookmarkStart w:id="44" w:name="_Toc53920817"/>
      <w:r w:rsidRPr="00572843">
        <w:rPr>
          <w:caps w:val="0"/>
        </w:rPr>
        <w:t>Líneas de trabajo futuro</w:t>
      </w:r>
      <w:bookmarkEnd w:id="42"/>
      <w:bookmarkEnd w:id="43"/>
      <w:bookmarkEnd w:id="44"/>
    </w:p>
    <w:p w14:paraId="073A200D" w14:textId="7960AD99" w:rsidR="006612FE" w:rsidRDefault="006612FE" w:rsidP="006612FE">
      <w:r>
        <w:t>Valorar productos más complejos</w:t>
      </w:r>
      <w:r w:rsidR="00A3796D">
        <w:t>.</w:t>
      </w:r>
      <w:r w:rsidR="00A3796D" w:rsidRPr="009941F5">
        <w:rPr>
          <w:i/>
          <w:iCs/>
        </w:rPr>
        <w:t xml:space="preserve"> Desarrollar.</w:t>
      </w:r>
    </w:p>
    <w:p w14:paraId="5B007143" w14:textId="7388B187" w:rsidR="006612FE" w:rsidRPr="009941F5" w:rsidRDefault="006612FE" w:rsidP="006612FE">
      <w:r>
        <w:t>Si no da buenos precios para productos complejos, usarlo para calibrar la b</w:t>
      </w:r>
      <w:r w:rsidR="009941F5" w:rsidRPr="009941F5">
        <w:rPr>
          <w:i/>
          <w:iCs/>
        </w:rPr>
        <w:t xml:space="preserve"> Desarrollar.</w:t>
      </w:r>
    </w:p>
    <w:p w14:paraId="63D27152" w14:textId="1147548A" w:rsidR="006612FE" w:rsidRPr="006612FE" w:rsidRDefault="006612FE" w:rsidP="006612FE">
      <w:r>
        <w:t>Obtener fórmulas analíticas. Quizá con un Hull-White se pueda.</w:t>
      </w:r>
      <w:r w:rsidR="009941F5">
        <w:t xml:space="preserve"> </w:t>
      </w:r>
      <w:r w:rsidR="009941F5" w:rsidRPr="009941F5">
        <w:rPr>
          <w:i/>
          <w:iCs/>
        </w:rPr>
        <w:t>Desarrollar.</w:t>
      </w:r>
    </w:p>
    <w:p w14:paraId="5825E031" w14:textId="77777777" w:rsidR="00206E69" w:rsidRDefault="00206E69" w:rsidP="00194057">
      <w:pPr>
        <w:pStyle w:val="Ttulo1sinnumerar"/>
      </w:pPr>
    </w:p>
    <w:p w14:paraId="4002EE0A" w14:textId="77777777" w:rsidR="00206E69" w:rsidRDefault="00206E69">
      <w:pPr>
        <w:spacing w:before="0" w:after="0" w:line="240" w:lineRule="auto"/>
        <w:jc w:val="left"/>
        <w:rPr>
          <w:rFonts w:asciiTheme="majorHAnsi" w:hAnsiTheme="majorHAnsi"/>
          <w:bCs/>
          <w:color w:val="0098CD"/>
          <w:kern w:val="32"/>
          <w:sz w:val="36"/>
          <w:szCs w:val="32"/>
        </w:rPr>
      </w:pPr>
      <w:r>
        <w:br w:type="page"/>
      </w:r>
    </w:p>
    <w:p w14:paraId="21FAC795" w14:textId="4016A69F" w:rsidR="00A75783" w:rsidRPr="009F6F17" w:rsidRDefault="00A75783" w:rsidP="00194057">
      <w:pPr>
        <w:pStyle w:val="Ttulo1sinnumerar"/>
      </w:pPr>
      <w:bookmarkStart w:id="45" w:name="_Toc53920818"/>
      <w:r>
        <w:lastRenderedPageBreak/>
        <w:t>Referencias bibliográficas</w:t>
      </w:r>
      <w:bookmarkEnd w:id="45"/>
    </w:p>
    <w:p w14:paraId="4CA55277" w14:textId="77777777" w:rsidR="00A75783" w:rsidRPr="00423190" w:rsidRDefault="00A75783" w:rsidP="00194057">
      <w:pPr>
        <w:pStyle w:val="Referenciasbibliogrficas"/>
        <w:rPr>
          <w:lang w:val="es-ES"/>
        </w:rPr>
      </w:pPr>
      <w:r w:rsidRPr="00423190">
        <w:rPr>
          <w:lang w:val="es-ES"/>
        </w:rPr>
        <w:t xml:space="preserve">Swanson, E., Barnes, M., Fall, A. M., &amp; Roberts, G. (2017). </w:t>
      </w:r>
      <w:r w:rsidRPr="009F6F17">
        <w:t xml:space="preserve">Predictors of Reading Comprehension Among Struggling Readers Who Exhibit Differing Levels of Inattention and Hyperactivity. </w:t>
      </w:r>
      <w:r w:rsidRPr="00423190">
        <w:rPr>
          <w:i/>
          <w:lang w:val="es-ES"/>
        </w:rPr>
        <w:t>Reading &amp; Writing Quarterly, 34</w:t>
      </w:r>
      <w:r w:rsidRPr="00423190">
        <w:rPr>
          <w:lang w:val="es-ES"/>
        </w:rPr>
        <w:t>(2), 132-146. doi:</w:t>
      </w:r>
      <w:r w:rsidRPr="00423190">
        <w:rPr>
          <w:u w:val="single"/>
          <w:lang w:val="es-ES"/>
        </w:rPr>
        <w:t>10.1080/10573569.2017.1359712</w:t>
      </w:r>
    </w:p>
    <w:p w14:paraId="2DB100BF" w14:textId="27E929CD" w:rsidR="00A75783" w:rsidRDefault="00A75783">
      <w:pPr>
        <w:spacing w:before="0" w:after="0" w:line="240" w:lineRule="auto"/>
        <w:jc w:val="left"/>
      </w:pPr>
      <w:r>
        <w:br w:type="page"/>
      </w:r>
    </w:p>
    <w:p w14:paraId="685F5FE3" w14:textId="45A66068" w:rsidR="00CA0801" w:rsidRDefault="00CA0801" w:rsidP="00CA0801">
      <w:pPr>
        <w:pStyle w:val="Anexo"/>
        <w:numPr>
          <w:ilvl w:val="0"/>
          <w:numId w:val="0"/>
        </w:numPr>
      </w:pPr>
      <w:bookmarkStart w:id="46" w:name="_Toc53920819"/>
      <w:r w:rsidRPr="00206E69">
        <w:lastRenderedPageBreak/>
        <w:t>Anexo I. Artículo</w:t>
      </w:r>
      <w:bookmarkEnd w:id="46"/>
    </w:p>
    <w:p w14:paraId="4D269F7F" w14:textId="1EAF73F8" w:rsidR="004A753C" w:rsidRPr="000D09A0" w:rsidRDefault="00CA0801" w:rsidP="00206E69">
      <w:r w:rsidRPr="00CA0801">
        <w:t>En los trabajos de tipo 3 tienes que hacer un resumen de la memoria en formato artículo (4-6 páginas). El artículo deberá incluirse como anexo dentro de la memoria.</w:t>
      </w:r>
    </w:p>
    <w:sectPr w:rsidR="004A753C" w:rsidRPr="000D09A0" w:rsidSect="000757FF">
      <w:headerReference w:type="default" r:id="rId14"/>
      <w:footerReference w:type="default" r:id="rId15"/>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80319" w14:textId="77777777" w:rsidR="00D85E79" w:rsidRDefault="00D85E79" w:rsidP="006403BD">
      <w:r>
        <w:separator/>
      </w:r>
    </w:p>
  </w:endnote>
  <w:endnote w:type="continuationSeparator" w:id="0">
    <w:p w14:paraId="7868506D" w14:textId="77777777" w:rsidR="00D85E79" w:rsidRDefault="00D85E79" w:rsidP="0064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MS Gothic"/>
    <w:panose1 w:val="00000000000000000000"/>
    <w:charset w:val="00"/>
    <w:family w:val="roman"/>
    <w:notTrueType/>
    <w:pitch w:val="default"/>
    <w:sig w:usb0="00000000"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 w:name="Open Sans">
    <w:altName w:val="Calibr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638AA" w14:textId="6F31FF9A" w:rsidR="00663770" w:rsidRPr="00751A0E" w:rsidRDefault="00663770" w:rsidP="006403BD">
    <w:pPr>
      <w:pStyle w:val="Pgina"/>
    </w:pPr>
    <w:r w:rsidRPr="00751A0E">
      <w:fldChar w:fldCharType="begin"/>
    </w:r>
    <w:r w:rsidRPr="00751A0E">
      <w:instrText>PAGE   \* MERGEFORMAT</w:instrText>
    </w:r>
    <w:r w:rsidRPr="00751A0E">
      <w:fldChar w:fldCharType="separate"/>
    </w:r>
    <w:r w:rsidR="001B016E">
      <w:rPr>
        <w:noProof/>
      </w:rPr>
      <w:t>20</w:t>
    </w:r>
    <w:r w:rsidRPr="00751A0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FE6E8" w14:textId="77777777" w:rsidR="00D85E79" w:rsidRDefault="00D85E79" w:rsidP="006403BD">
      <w:r>
        <w:separator/>
      </w:r>
    </w:p>
  </w:footnote>
  <w:footnote w:type="continuationSeparator" w:id="0">
    <w:p w14:paraId="23FDE2BB" w14:textId="77777777" w:rsidR="00D85E79" w:rsidRDefault="00D85E79" w:rsidP="006403BD">
      <w:r>
        <w:continuationSeparator/>
      </w:r>
    </w:p>
  </w:footnote>
  <w:footnote w:id="1">
    <w:p w14:paraId="37C85287" w14:textId="343C4E40" w:rsidR="00663770" w:rsidRPr="00674452" w:rsidRDefault="00663770">
      <w:pPr>
        <w:pStyle w:val="FootnoteText"/>
      </w:pPr>
      <w:r>
        <w:rPr>
          <w:rStyle w:val="FootnoteReference"/>
        </w:rPr>
        <w:footnoteRef/>
      </w:r>
      <w:r>
        <w:t xml:space="preserve"> </w:t>
      </w:r>
      <w:r w:rsidRPr="00674452">
        <w:t>Se trata de un d</w:t>
      </w:r>
      <w:r>
        <w:t>ía elegido al azar, es el día en el que este TFM comenzó.</w:t>
      </w:r>
    </w:p>
  </w:footnote>
  <w:footnote w:id="2">
    <w:p w14:paraId="2907FF59" w14:textId="2FC75E9D" w:rsidR="00663770" w:rsidRPr="00CF4682" w:rsidRDefault="00663770">
      <w:pPr>
        <w:pStyle w:val="FootnoteText"/>
      </w:pPr>
      <w:r>
        <w:rPr>
          <w:rStyle w:val="FootnoteReference"/>
        </w:rPr>
        <w:footnoteRef/>
      </w:r>
      <w:r>
        <w:t xml:space="preserve"> </w:t>
      </w:r>
      <w:r w:rsidRPr="00CF4682">
        <w:t xml:space="preserve">Liquidez: El concepto de liquidez de en el </w:t>
      </w:r>
      <w:r>
        <w:t>ámbito de los productos financieros está relacionado con la cantidad de contratos sobre un determinado producto que se negocian en el mercado. Un producto con poca liquidez (es decir, que no se haya negociado demasiado) no es un pro</w:t>
      </w:r>
      <w:bookmarkStart w:id="36" w:name="_GoBack"/>
      <w:bookmarkEnd w:id="36"/>
      <w:r>
        <w:t>ducto fiable a la hora de tomar precios, ya que al no haberse negociado, el mercado no nos aporta fiabilidad ni su opinión sobre el producto.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CFD18" w14:textId="61BF9951" w:rsidR="00663770" w:rsidRPr="00ED1546" w:rsidRDefault="00663770" w:rsidP="00ED1546">
    <w:pPr>
      <w:pStyle w:val="Header"/>
      <w:spacing w:before="0" w:after="0" w:line="240" w:lineRule="auto"/>
      <w:jc w:val="right"/>
      <w:rPr>
        <w:rFonts w:asciiTheme="majorHAnsi" w:hAnsiTheme="majorHAnsi"/>
        <w:sz w:val="20"/>
      </w:rPr>
    </w:pPr>
    <w:r>
      <w:rPr>
        <w:rFonts w:asciiTheme="majorHAnsi" w:hAnsiTheme="majorHAnsi"/>
        <w:sz w:val="20"/>
      </w:rPr>
      <w:t>Pablo Macías Pineda</w:t>
    </w:r>
  </w:p>
  <w:p w14:paraId="488BB47A" w14:textId="797D9B5D" w:rsidR="00663770" w:rsidRPr="00ED1546" w:rsidRDefault="00663770" w:rsidP="00ED1546">
    <w:pPr>
      <w:pStyle w:val="Header"/>
      <w:spacing w:before="0" w:after="0" w:line="240" w:lineRule="auto"/>
      <w:jc w:val="right"/>
      <w:rPr>
        <w:rFonts w:asciiTheme="majorHAnsi" w:hAnsiTheme="majorHAnsi"/>
        <w:sz w:val="20"/>
      </w:rPr>
    </w:pPr>
    <w:r>
      <w:rPr>
        <w:rFonts w:asciiTheme="majorHAnsi" w:hAnsiTheme="majorHAnsi"/>
        <w:sz w:val="20"/>
      </w:rPr>
      <w:t>Valoración de derivados financieros con un modelo de dividendos estocásticos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5C7814"/>
    <w:multiLevelType w:val="hybridMultilevel"/>
    <w:tmpl w:val="85A6B62C"/>
    <w:lvl w:ilvl="0" w:tplc="2B7A49B0">
      <w:start w:val="1"/>
      <w:numFmt w:val="bullet"/>
      <w:lvlText w:val=""/>
      <w:lvlJc w:val="left"/>
      <w:pPr>
        <w:tabs>
          <w:tab w:val="num" w:pos="720"/>
        </w:tabs>
        <w:ind w:left="720" w:hanging="360"/>
      </w:pPr>
      <w:rPr>
        <w:rFonts w:ascii="Wingdings 3" w:hAnsi="Wingdings 3" w:hint="default"/>
        <w:color w:val="00B0F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5D24768"/>
    <w:multiLevelType w:val="hybridMultilevel"/>
    <w:tmpl w:val="539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0979B2"/>
    <w:multiLevelType w:val="hybridMultilevel"/>
    <w:tmpl w:val="884A0BCA"/>
    <w:lvl w:ilvl="0" w:tplc="6568D93E">
      <w:start w:val="4"/>
      <w:numFmt w:val="bullet"/>
      <w:lvlText w:val=""/>
      <w:lvlJc w:val="left"/>
      <w:pPr>
        <w:tabs>
          <w:tab w:val="num" w:pos="720"/>
        </w:tabs>
        <w:ind w:left="720" w:hanging="360"/>
      </w:pPr>
      <w:rPr>
        <w:rFonts w:ascii="Symbol" w:eastAsia="Times New Roman" w:hAnsi="Symbol" w:cs="TimesNewRomanPSMT"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14D0A"/>
    <w:multiLevelType w:val="hybridMultilevel"/>
    <w:tmpl w:val="A190AE40"/>
    <w:lvl w:ilvl="0" w:tplc="EA067CFE">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Heading5"/>
      <w:lvlText w:val="%1.%2.%3.%4.%5"/>
      <w:lvlJc w:val="left"/>
      <w:pPr>
        <w:ind w:left="1716" w:hanging="1008"/>
      </w:pPr>
    </w:lvl>
    <w:lvl w:ilvl="5">
      <w:start w:val="1"/>
      <w:numFmt w:val="decimal"/>
      <w:pStyle w:val="Heading6"/>
      <w:lvlText w:val="%1.%2.%3.%4.%5.%6"/>
      <w:lvlJc w:val="left"/>
      <w:pPr>
        <w:ind w:left="1860" w:hanging="1152"/>
      </w:pPr>
    </w:lvl>
    <w:lvl w:ilvl="6">
      <w:start w:val="1"/>
      <w:numFmt w:val="decimal"/>
      <w:pStyle w:val="Heading7"/>
      <w:lvlText w:val="%1.%2.%3.%4.%5.%6.%7"/>
      <w:lvlJc w:val="left"/>
      <w:pPr>
        <w:ind w:left="2004" w:hanging="1296"/>
      </w:pPr>
    </w:lvl>
    <w:lvl w:ilvl="7">
      <w:start w:val="1"/>
      <w:numFmt w:val="decimal"/>
      <w:pStyle w:val="Heading8"/>
      <w:lvlText w:val="%1.%2.%3.%4.%5.%6.%7.%8"/>
      <w:lvlJc w:val="left"/>
      <w:pPr>
        <w:ind w:left="2148" w:hanging="1440"/>
      </w:pPr>
    </w:lvl>
    <w:lvl w:ilvl="8">
      <w:start w:val="1"/>
      <w:numFmt w:val="decimal"/>
      <w:pStyle w:val="Heading9"/>
      <w:lvlText w:val="%1.%2.%3.%4.%5.%6.%7.%8.%9"/>
      <w:lvlJc w:val="left"/>
      <w:pPr>
        <w:ind w:left="2292" w:hanging="1584"/>
      </w:pPr>
    </w:lvl>
  </w:abstractNum>
  <w:abstractNum w:abstractNumId="13"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3A8133F1"/>
    <w:multiLevelType w:val="hybridMultilevel"/>
    <w:tmpl w:val="A6906776"/>
    <w:lvl w:ilvl="0" w:tplc="2B7A49B0">
      <w:start w:val="1"/>
      <w:numFmt w:val="bullet"/>
      <w:lvlText w:val=""/>
      <w:lvlJc w:val="left"/>
      <w:pPr>
        <w:tabs>
          <w:tab w:val="num" w:pos="1077"/>
        </w:tabs>
        <w:ind w:left="1077" w:hanging="360"/>
      </w:pPr>
      <w:rPr>
        <w:rFonts w:ascii="Wingdings 3" w:hAnsi="Wingdings 3" w:hint="default"/>
        <w:color w:val="00B0F0"/>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5"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0C80B31"/>
    <w:multiLevelType w:val="hybridMultilevel"/>
    <w:tmpl w:val="F3DE4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851D42"/>
    <w:multiLevelType w:val="hybridMultilevel"/>
    <w:tmpl w:val="6D2A54F6"/>
    <w:lvl w:ilvl="0" w:tplc="DFF68480">
      <w:start w:val="1"/>
      <w:numFmt w:val="decimal"/>
      <w:pStyle w:val="Index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837DFC"/>
    <w:multiLevelType w:val="hybridMultilevel"/>
    <w:tmpl w:val="E1229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946A08"/>
    <w:multiLevelType w:val="multilevel"/>
    <w:tmpl w:val="90EE65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CC381A"/>
    <w:multiLevelType w:val="hybridMultilevel"/>
    <w:tmpl w:val="F0E2D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5"/>
  </w:num>
  <w:num w:numId="3">
    <w:abstractNumId w:val="15"/>
  </w:num>
  <w:num w:numId="4">
    <w:abstractNumId w:val="0"/>
  </w:num>
  <w:num w:numId="5">
    <w:abstractNumId w:val="5"/>
  </w:num>
  <w:num w:numId="6">
    <w:abstractNumId w:val="18"/>
  </w:num>
  <w:num w:numId="7">
    <w:abstractNumId w:val="17"/>
  </w:num>
  <w:num w:numId="8">
    <w:abstractNumId w:val="12"/>
  </w:num>
  <w:num w:numId="9">
    <w:abstractNumId w:val="21"/>
  </w:num>
  <w:num w:numId="10">
    <w:abstractNumId w:val="20"/>
  </w:num>
  <w:num w:numId="11">
    <w:abstractNumId w:val="19"/>
  </w:num>
  <w:num w:numId="12">
    <w:abstractNumId w:val="10"/>
  </w:num>
  <w:num w:numId="13">
    <w:abstractNumId w:val="6"/>
  </w:num>
  <w:num w:numId="14">
    <w:abstractNumId w:val="13"/>
  </w:num>
  <w:num w:numId="15">
    <w:abstractNumId w:val="13"/>
    <w:lvlOverride w:ilvl="0">
      <w:startOverride w:val="1"/>
    </w:lvlOverride>
    <w:lvlOverride w:ilvl="1">
      <w:startOverride w:val="1"/>
    </w:lvlOverride>
    <w:lvlOverride w:ilvl="2">
      <w:startOverride w:val="1"/>
    </w:lvlOverride>
  </w:num>
  <w:num w:numId="16">
    <w:abstractNumId w:val="13"/>
  </w:num>
  <w:num w:numId="17">
    <w:abstractNumId w:val="26"/>
  </w:num>
  <w:num w:numId="18">
    <w:abstractNumId w:val="24"/>
  </w:num>
  <w:num w:numId="19">
    <w:abstractNumId w:val="28"/>
  </w:num>
  <w:num w:numId="20">
    <w:abstractNumId w:val="22"/>
  </w:num>
  <w:num w:numId="21">
    <w:abstractNumId w:val="4"/>
  </w:num>
  <w:num w:numId="22">
    <w:abstractNumId w:val="2"/>
  </w:num>
  <w:num w:numId="23">
    <w:abstractNumId w:val="3"/>
  </w:num>
  <w:num w:numId="24">
    <w:abstractNumId w:val="27"/>
  </w:num>
  <w:num w:numId="25">
    <w:abstractNumId w:val="24"/>
  </w:num>
  <w:num w:numId="26">
    <w:abstractNumId w:val="9"/>
  </w:num>
  <w:num w:numId="27">
    <w:abstractNumId w:val="7"/>
  </w:num>
  <w:num w:numId="28">
    <w:abstractNumId w:val="8"/>
  </w:num>
  <w:num w:numId="29">
    <w:abstractNumId w:val="1"/>
  </w:num>
  <w:num w:numId="30">
    <w:abstractNumId w:val="14"/>
  </w:num>
  <w:num w:numId="31">
    <w:abstractNumId w:val="24"/>
  </w:num>
  <w:num w:numId="32">
    <w:abstractNumId w:val="24"/>
  </w:num>
  <w:num w:numId="33">
    <w:abstractNumId w:val="16"/>
  </w:num>
  <w:num w:numId="34">
    <w:abstractNumId w:val="23"/>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BAD"/>
    <w:rsid w:val="00001BAB"/>
    <w:rsid w:val="00026621"/>
    <w:rsid w:val="00034DA4"/>
    <w:rsid w:val="00061360"/>
    <w:rsid w:val="000757FF"/>
    <w:rsid w:val="00081560"/>
    <w:rsid w:val="000A1265"/>
    <w:rsid w:val="000D09A0"/>
    <w:rsid w:val="000E4886"/>
    <w:rsid w:val="00107941"/>
    <w:rsid w:val="001526D9"/>
    <w:rsid w:val="0016080C"/>
    <w:rsid w:val="00171619"/>
    <w:rsid w:val="0017435A"/>
    <w:rsid w:val="00176DFC"/>
    <w:rsid w:val="00194057"/>
    <w:rsid w:val="001944D1"/>
    <w:rsid w:val="001A332A"/>
    <w:rsid w:val="001B016E"/>
    <w:rsid w:val="001B59CD"/>
    <w:rsid w:val="001C2AB4"/>
    <w:rsid w:val="001C2FB3"/>
    <w:rsid w:val="001C4EA4"/>
    <w:rsid w:val="001D1B72"/>
    <w:rsid w:val="001D4659"/>
    <w:rsid w:val="001D46C8"/>
    <w:rsid w:val="001D76E5"/>
    <w:rsid w:val="001E62CD"/>
    <w:rsid w:val="0020605D"/>
    <w:rsid w:val="00206E69"/>
    <w:rsid w:val="00235CE3"/>
    <w:rsid w:val="00244EAD"/>
    <w:rsid w:val="00252BBA"/>
    <w:rsid w:val="00255F01"/>
    <w:rsid w:val="00257E4A"/>
    <w:rsid w:val="00266CBA"/>
    <w:rsid w:val="00280CC8"/>
    <w:rsid w:val="002B3E99"/>
    <w:rsid w:val="0031458A"/>
    <w:rsid w:val="0032238D"/>
    <w:rsid w:val="003279EC"/>
    <w:rsid w:val="0035422F"/>
    <w:rsid w:val="00375213"/>
    <w:rsid w:val="00382E79"/>
    <w:rsid w:val="003C433C"/>
    <w:rsid w:val="003D1A96"/>
    <w:rsid w:val="003F152D"/>
    <w:rsid w:val="003F24BC"/>
    <w:rsid w:val="00412583"/>
    <w:rsid w:val="00423190"/>
    <w:rsid w:val="00423E85"/>
    <w:rsid w:val="00436FA0"/>
    <w:rsid w:val="00452186"/>
    <w:rsid w:val="00460E56"/>
    <w:rsid w:val="0048445F"/>
    <w:rsid w:val="00490EAC"/>
    <w:rsid w:val="004A753C"/>
    <w:rsid w:val="004B32D7"/>
    <w:rsid w:val="004D3460"/>
    <w:rsid w:val="004E2DCB"/>
    <w:rsid w:val="00506743"/>
    <w:rsid w:val="00507BAD"/>
    <w:rsid w:val="00514164"/>
    <w:rsid w:val="00521A79"/>
    <w:rsid w:val="00533149"/>
    <w:rsid w:val="005464CA"/>
    <w:rsid w:val="00580628"/>
    <w:rsid w:val="005A2B04"/>
    <w:rsid w:val="005C420C"/>
    <w:rsid w:val="005D549B"/>
    <w:rsid w:val="006403BD"/>
    <w:rsid w:val="00653888"/>
    <w:rsid w:val="006612FE"/>
    <w:rsid w:val="00663770"/>
    <w:rsid w:val="0066672A"/>
    <w:rsid w:val="00670B3B"/>
    <w:rsid w:val="00673D42"/>
    <w:rsid w:val="00674452"/>
    <w:rsid w:val="0067645E"/>
    <w:rsid w:val="00683525"/>
    <w:rsid w:val="00692D10"/>
    <w:rsid w:val="006A34E1"/>
    <w:rsid w:val="006A56B3"/>
    <w:rsid w:val="006B02A7"/>
    <w:rsid w:val="006B24A2"/>
    <w:rsid w:val="006C7113"/>
    <w:rsid w:val="006D64F2"/>
    <w:rsid w:val="006D7B06"/>
    <w:rsid w:val="006E7034"/>
    <w:rsid w:val="006F0917"/>
    <w:rsid w:val="006F2CB9"/>
    <w:rsid w:val="00711904"/>
    <w:rsid w:val="00715511"/>
    <w:rsid w:val="00727AE8"/>
    <w:rsid w:val="00747BF6"/>
    <w:rsid w:val="00750978"/>
    <w:rsid w:val="00751A0E"/>
    <w:rsid w:val="0077014A"/>
    <w:rsid w:val="00781B14"/>
    <w:rsid w:val="00783DCC"/>
    <w:rsid w:val="007860B6"/>
    <w:rsid w:val="00793FDB"/>
    <w:rsid w:val="007A0D5B"/>
    <w:rsid w:val="007B76BF"/>
    <w:rsid w:val="007C175A"/>
    <w:rsid w:val="007E0007"/>
    <w:rsid w:val="007E0C1A"/>
    <w:rsid w:val="007E0EC5"/>
    <w:rsid w:val="007E7C6C"/>
    <w:rsid w:val="00821D63"/>
    <w:rsid w:val="00834548"/>
    <w:rsid w:val="00853F7B"/>
    <w:rsid w:val="008544B8"/>
    <w:rsid w:val="00863C43"/>
    <w:rsid w:val="00877054"/>
    <w:rsid w:val="00887C93"/>
    <w:rsid w:val="008958B1"/>
    <w:rsid w:val="008A30B1"/>
    <w:rsid w:val="008B2241"/>
    <w:rsid w:val="008C16EB"/>
    <w:rsid w:val="008D77EF"/>
    <w:rsid w:val="008E0EE0"/>
    <w:rsid w:val="008E30AB"/>
    <w:rsid w:val="008E4084"/>
    <w:rsid w:val="008F6C2A"/>
    <w:rsid w:val="00905A8D"/>
    <w:rsid w:val="00920246"/>
    <w:rsid w:val="009450AB"/>
    <w:rsid w:val="00960176"/>
    <w:rsid w:val="00960E5A"/>
    <w:rsid w:val="00977178"/>
    <w:rsid w:val="009941F5"/>
    <w:rsid w:val="009A0453"/>
    <w:rsid w:val="009F6F17"/>
    <w:rsid w:val="00A1740F"/>
    <w:rsid w:val="00A2264C"/>
    <w:rsid w:val="00A3796D"/>
    <w:rsid w:val="00A416DD"/>
    <w:rsid w:val="00A725E6"/>
    <w:rsid w:val="00A74CEB"/>
    <w:rsid w:val="00A75783"/>
    <w:rsid w:val="00A976F0"/>
    <w:rsid w:val="00B026E1"/>
    <w:rsid w:val="00B12D61"/>
    <w:rsid w:val="00B148AD"/>
    <w:rsid w:val="00B34BF5"/>
    <w:rsid w:val="00B56FB6"/>
    <w:rsid w:val="00B577AF"/>
    <w:rsid w:val="00BB614E"/>
    <w:rsid w:val="00BD4B50"/>
    <w:rsid w:val="00C03714"/>
    <w:rsid w:val="00C10A65"/>
    <w:rsid w:val="00C35DC7"/>
    <w:rsid w:val="00C443D1"/>
    <w:rsid w:val="00C57BB0"/>
    <w:rsid w:val="00C83154"/>
    <w:rsid w:val="00C84740"/>
    <w:rsid w:val="00C92760"/>
    <w:rsid w:val="00C94353"/>
    <w:rsid w:val="00CA0785"/>
    <w:rsid w:val="00CA0801"/>
    <w:rsid w:val="00CE2B01"/>
    <w:rsid w:val="00CF4682"/>
    <w:rsid w:val="00D07492"/>
    <w:rsid w:val="00D31A67"/>
    <w:rsid w:val="00D34BAD"/>
    <w:rsid w:val="00D85E79"/>
    <w:rsid w:val="00D92F3B"/>
    <w:rsid w:val="00D952D8"/>
    <w:rsid w:val="00D971A1"/>
    <w:rsid w:val="00DA0FCE"/>
    <w:rsid w:val="00DC17B0"/>
    <w:rsid w:val="00E02C94"/>
    <w:rsid w:val="00E11B5A"/>
    <w:rsid w:val="00E20BFD"/>
    <w:rsid w:val="00E25F33"/>
    <w:rsid w:val="00E65905"/>
    <w:rsid w:val="00E769EB"/>
    <w:rsid w:val="00E76BE8"/>
    <w:rsid w:val="00E80A2A"/>
    <w:rsid w:val="00E87B75"/>
    <w:rsid w:val="00EA4786"/>
    <w:rsid w:val="00EA710F"/>
    <w:rsid w:val="00EC4EA9"/>
    <w:rsid w:val="00EC62F6"/>
    <w:rsid w:val="00EC771B"/>
    <w:rsid w:val="00ED1546"/>
    <w:rsid w:val="00ED3731"/>
    <w:rsid w:val="00EE121A"/>
    <w:rsid w:val="00F04807"/>
    <w:rsid w:val="00F249DB"/>
    <w:rsid w:val="00F4634C"/>
    <w:rsid w:val="00F55C0B"/>
    <w:rsid w:val="00F71289"/>
    <w:rsid w:val="00FA0670"/>
    <w:rsid w:val="00FA21E3"/>
    <w:rsid w:val="00FA7727"/>
    <w:rsid w:val="00FC4A7B"/>
    <w:rsid w:val="00FD731D"/>
    <w:rsid w:val="00FE29CC"/>
    <w:rsid w:val="00FE43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453"/>
    <w:pPr>
      <w:spacing w:before="120" w:after="120" w:line="360" w:lineRule="auto"/>
      <w:jc w:val="both"/>
    </w:pPr>
    <w:rPr>
      <w:rFonts w:asciiTheme="minorHAnsi" w:eastAsia="Times New Roman" w:hAnsiTheme="minorHAnsi"/>
      <w:sz w:val="24"/>
      <w:szCs w:val="24"/>
    </w:rPr>
  </w:style>
  <w:style w:type="paragraph" w:styleId="Heading1">
    <w:name w:val="heading 1"/>
    <w:basedOn w:val="Normal"/>
    <w:next w:val="Normal"/>
    <w:link w:val="Heading1Char"/>
    <w:uiPriority w:val="9"/>
    <w:qFormat/>
    <w:rsid w:val="000D09A0"/>
    <w:pPr>
      <w:keepNext/>
      <w:numPr>
        <w:numId w:val="18"/>
      </w:numPr>
      <w:outlineLvl w:val="0"/>
    </w:pPr>
    <w:rPr>
      <w:rFonts w:asciiTheme="majorHAnsi" w:hAnsiTheme="majorHAnsi"/>
      <w:bCs/>
      <w:caps/>
      <w:color w:val="0098CD"/>
      <w:kern w:val="32"/>
      <w:sz w:val="36"/>
      <w:szCs w:val="32"/>
    </w:rPr>
  </w:style>
  <w:style w:type="paragraph" w:styleId="Heading2">
    <w:name w:val="heading 2"/>
    <w:basedOn w:val="Normal"/>
    <w:next w:val="Normal"/>
    <w:link w:val="Heading2Char"/>
    <w:uiPriority w:val="9"/>
    <w:unhideWhenUsed/>
    <w:qFormat/>
    <w:rsid w:val="000D09A0"/>
    <w:pPr>
      <w:keepNext/>
      <w:numPr>
        <w:ilvl w:val="1"/>
        <w:numId w:val="18"/>
      </w:numPr>
      <w:outlineLvl w:val="1"/>
    </w:pPr>
    <w:rPr>
      <w:rFonts w:asciiTheme="majorHAnsi" w:hAnsiTheme="majorHAnsi" w:cs="Arial"/>
      <w:bCs/>
      <w:iCs/>
      <w:caps/>
      <w:color w:val="0098CD"/>
      <w:sz w:val="28"/>
      <w:szCs w:val="28"/>
    </w:rPr>
  </w:style>
  <w:style w:type="paragraph" w:styleId="Heading3">
    <w:name w:val="heading 3"/>
    <w:basedOn w:val="Normal"/>
    <w:next w:val="Normal"/>
    <w:link w:val="Heading3Char"/>
    <w:uiPriority w:val="9"/>
    <w:unhideWhenUsed/>
    <w:qFormat/>
    <w:rsid w:val="000D09A0"/>
    <w:pPr>
      <w:keepNext/>
      <w:numPr>
        <w:ilvl w:val="2"/>
        <w:numId w:val="18"/>
      </w:numPr>
      <w:ind w:left="709" w:hanging="709"/>
      <w:outlineLvl w:val="2"/>
    </w:pPr>
    <w:rPr>
      <w:rFonts w:asciiTheme="majorHAnsi" w:hAnsiTheme="majorHAnsi"/>
      <w:b/>
      <w:bCs/>
      <w:szCs w:val="26"/>
    </w:rPr>
  </w:style>
  <w:style w:type="paragraph" w:styleId="Heading4">
    <w:name w:val="heading 4"/>
    <w:basedOn w:val="ListParagraph"/>
    <w:next w:val="Normal"/>
    <w:link w:val="Heading4Char"/>
    <w:uiPriority w:val="9"/>
    <w:unhideWhenUsed/>
    <w:qFormat/>
    <w:rsid w:val="000D09A0"/>
    <w:pPr>
      <w:numPr>
        <w:ilvl w:val="3"/>
        <w:numId w:val="18"/>
      </w:numPr>
      <w:ind w:left="851" w:hanging="851"/>
      <w:outlineLvl w:val="3"/>
    </w:pPr>
  </w:style>
  <w:style w:type="paragraph" w:styleId="Heading5">
    <w:name w:val="heading 5"/>
    <w:basedOn w:val="Normal"/>
    <w:next w:val="Normal"/>
    <w:link w:val="Heading5Ch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C84740"/>
    <w:pPr>
      <w:numPr>
        <w:ilvl w:val="5"/>
        <w:numId w:val="8"/>
      </w:numPr>
      <w:spacing w:before="240" w:after="60"/>
      <w:outlineLvl w:val="5"/>
    </w:pPr>
    <w:rPr>
      <w:rFonts w:ascii="Calibri" w:hAnsi="Calibri"/>
      <w:b/>
      <w:bCs/>
      <w:szCs w:val="22"/>
    </w:rPr>
  </w:style>
  <w:style w:type="paragraph" w:styleId="Heading7">
    <w:name w:val="heading 7"/>
    <w:basedOn w:val="Normal"/>
    <w:next w:val="Normal"/>
    <w:link w:val="Heading7Char"/>
    <w:uiPriority w:val="9"/>
    <w:semiHidden/>
    <w:unhideWhenUsed/>
    <w:qFormat/>
    <w:rsid w:val="00C84740"/>
    <w:pPr>
      <w:numPr>
        <w:ilvl w:val="6"/>
        <w:numId w:val="8"/>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C84740"/>
    <w:pPr>
      <w:numPr>
        <w:ilvl w:val="7"/>
        <w:numId w:val="8"/>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507BAD"/>
    <w:rPr>
      <w:rFonts w:eastAsia="Times New Roman"/>
      <w:sz w:val="22"/>
      <w:szCs w:val="22"/>
      <w:lang w:eastAsia="en-US"/>
    </w:rPr>
  </w:style>
  <w:style w:type="character" w:customStyle="1" w:styleId="NoSpacingChar">
    <w:name w:val="No Spacing Char"/>
    <w:link w:val="NoSpacing"/>
    <w:uiPriority w:val="1"/>
    <w:rsid w:val="00507BAD"/>
    <w:rPr>
      <w:rFonts w:eastAsia="Times New Roman"/>
      <w:sz w:val="22"/>
      <w:szCs w:val="22"/>
      <w:lang w:val="es-ES" w:eastAsia="en-US" w:bidi="ar-SA"/>
    </w:rPr>
  </w:style>
  <w:style w:type="paragraph" w:styleId="BalloonText">
    <w:name w:val="Balloon Text"/>
    <w:basedOn w:val="Normal"/>
    <w:link w:val="BalloonTextChar"/>
    <w:uiPriority w:val="99"/>
    <w:semiHidden/>
    <w:unhideWhenUsed/>
    <w:rsid w:val="00507BAD"/>
    <w:rPr>
      <w:rFonts w:ascii="Tahoma" w:hAnsi="Tahoma"/>
      <w:sz w:val="16"/>
      <w:szCs w:val="16"/>
      <w:lang w:val="x-none"/>
    </w:rPr>
  </w:style>
  <w:style w:type="character" w:customStyle="1" w:styleId="BalloonTextChar">
    <w:name w:val="Balloon Text Char"/>
    <w:link w:val="BalloonText"/>
    <w:uiPriority w:val="99"/>
    <w:semiHidden/>
    <w:rsid w:val="00507BAD"/>
    <w:rPr>
      <w:rFonts w:ascii="Tahoma" w:eastAsia="Times New Roman" w:hAnsi="Tahoma" w:cs="Tahoma"/>
      <w:sz w:val="16"/>
      <w:szCs w:val="16"/>
      <w:lang w:eastAsia="es-ES"/>
    </w:rPr>
  </w:style>
  <w:style w:type="paragraph" w:styleId="Header">
    <w:name w:val="header"/>
    <w:basedOn w:val="Normal"/>
    <w:link w:val="HeaderChar"/>
    <w:uiPriority w:val="99"/>
    <w:unhideWhenUsed/>
    <w:rsid w:val="006A56B3"/>
    <w:pPr>
      <w:tabs>
        <w:tab w:val="center" w:pos="4252"/>
        <w:tab w:val="right" w:pos="8504"/>
      </w:tabs>
    </w:pPr>
  </w:style>
  <w:style w:type="character" w:customStyle="1" w:styleId="HeaderChar">
    <w:name w:val="Header Char"/>
    <w:link w:val="Header"/>
    <w:uiPriority w:val="99"/>
    <w:rsid w:val="006A56B3"/>
    <w:rPr>
      <w:rFonts w:ascii="Times New Roman" w:eastAsia="Times New Roman" w:hAnsi="Times New Roman"/>
      <w:sz w:val="24"/>
      <w:szCs w:val="24"/>
    </w:rPr>
  </w:style>
  <w:style w:type="paragraph" w:styleId="Footer">
    <w:name w:val="footer"/>
    <w:basedOn w:val="Normal"/>
    <w:link w:val="FooterChar"/>
    <w:uiPriority w:val="99"/>
    <w:unhideWhenUsed/>
    <w:rsid w:val="006A56B3"/>
    <w:pPr>
      <w:tabs>
        <w:tab w:val="center" w:pos="4252"/>
        <w:tab w:val="right" w:pos="8504"/>
      </w:tabs>
    </w:pPr>
  </w:style>
  <w:style w:type="character" w:customStyle="1" w:styleId="FooterChar">
    <w:name w:val="Footer Char"/>
    <w:link w:val="Footer"/>
    <w:uiPriority w:val="99"/>
    <w:rsid w:val="006A56B3"/>
    <w:rPr>
      <w:rFonts w:ascii="Times New Roman" w:eastAsia="Times New Roman" w:hAnsi="Times New Roman"/>
      <w:sz w:val="24"/>
      <w:szCs w:val="24"/>
    </w:rPr>
  </w:style>
  <w:style w:type="character" w:customStyle="1" w:styleId="Heading1Char">
    <w:name w:val="Heading 1 Char"/>
    <w:link w:val="Heading1"/>
    <w:uiPriority w:val="9"/>
    <w:rsid w:val="000D09A0"/>
    <w:rPr>
      <w:rFonts w:asciiTheme="majorHAnsi" w:eastAsia="Times New Roman" w:hAnsiTheme="majorHAnsi"/>
      <w:bCs/>
      <w:caps/>
      <w:color w:val="0098CD"/>
      <w:kern w:val="32"/>
      <w:sz w:val="36"/>
      <w:szCs w:val="32"/>
    </w:rPr>
  </w:style>
  <w:style w:type="character" w:customStyle="1" w:styleId="Heading2Char">
    <w:name w:val="Heading 2 Char"/>
    <w:link w:val="Heading2"/>
    <w:uiPriority w:val="9"/>
    <w:rsid w:val="000D09A0"/>
    <w:rPr>
      <w:rFonts w:asciiTheme="majorHAnsi" w:eastAsia="Times New Roman" w:hAnsiTheme="majorHAnsi" w:cs="Arial"/>
      <w:bCs/>
      <w:iCs/>
      <w:caps/>
      <w:color w:val="0098CD"/>
      <w:sz w:val="28"/>
      <w:szCs w:val="28"/>
    </w:rPr>
  </w:style>
  <w:style w:type="character" w:customStyle="1" w:styleId="Heading3Char">
    <w:name w:val="Heading 3 Char"/>
    <w:link w:val="Heading3"/>
    <w:uiPriority w:val="9"/>
    <w:rsid w:val="000D09A0"/>
    <w:rPr>
      <w:rFonts w:asciiTheme="majorHAnsi" w:eastAsia="Times New Roman" w:hAnsiTheme="majorHAnsi"/>
      <w:b/>
      <w:bCs/>
      <w:sz w:val="24"/>
      <w:szCs w:val="26"/>
    </w:rPr>
  </w:style>
  <w:style w:type="paragraph" w:styleId="Title">
    <w:name w:val="Title"/>
    <w:aliases w:val="Subtitulos 3er nivel"/>
    <w:basedOn w:val="Normal"/>
    <w:next w:val="Normal"/>
    <w:link w:val="TitleChar"/>
    <w:uiPriority w:val="10"/>
    <w:rsid w:val="00D971A1"/>
    <w:pPr>
      <w:outlineLvl w:val="2"/>
    </w:pPr>
    <w:rPr>
      <w:bCs/>
      <w:i/>
      <w:kern w:val="28"/>
      <w:szCs w:val="32"/>
    </w:rPr>
  </w:style>
  <w:style w:type="character" w:customStyle="1" w:styleId="TitleChar">
    <w:name w:val="Title Char"/>
    <w:aliases w:val="Subtitulos 3er nivel Char"/>
    <w:link w:val="Title"/>
    <w:uiPriority w:val="10"/>
    <w:rsid w:val="00D971A1"/>
    <w:rPr>
      <w:rFonts w:ascii="Arial" w:eastAsia="Times New Roman" w:hAnsi="Arial" w:cs="Times New Roman"/>
      <w:bCs/>
      <w:i/>
      <w:kern w:val="28"/>
      <w:sz w:val="24"/>
      <w:szCs w:val="32"/>
    </w:rPr>
  </w:style>
  <w:style w:type="character" w:customStyle="1" w:styleId="Heading4Char">
    <w:name w:val="Heading 4 Char"/>
    <w:link w:val="Heading4"/>
    <w:uiPriority w:val="9"/>
    <w:rsid w:val="000D09A0"/>
    <w:rPr>
      <w:rFonts w:asciiTheme="minorHAnsi" w:eastAsia="Times New Roman" w:hAnsiTheme="minorHAnsi"/>
      <w:sz w:val="24"/>
      <w:szCs w:val="24"/>
    </w:rPr>
  </w:style>
  <w:style w:type="paragraph" w:styleId="Quote">
    <w:name w:val="Quote"/>
    <w:basedOn w:val="Normal"/>
    <w:next w:val="Normal"/>
    <w:link w:val="QuoteChar"/>
    <w:uiPriority w:val="29"/>
    <w:qFormat/>
    <w:rsid w:val="00514164"/>
    <w:pPr>
      <w:spacing w:line="240" w:lineRule="auto"/>
    </w:pPr>
    <w:rPr>
      <w:iCs/>
      <w:color w:val="404040"/>
    </w:rPr>
  </w:style>
  <w:style w:type="character" w:customStyle="1" w:styleId="QuoteChar">
    <w:name w:val="Quote Char"/>
    <w:link w:val="Quote"/>
    <w:uiPriority w:val="29"/>
    <w:rsid w:val="00514164"/>
    <w:rPr>
      <w:rFonts w:ascii="Arial" w:eastAsia="Times New Roman" w:hAnsi="Arial"/>
      <w:iCs/>
      <w:color w:val="404040"/>
      <w:sz w:val="22"/>
      <w:szCs w:val="24"/>
    </w:rPr>
  </w:style>
  <w:style w:type="paragraph" w:styleId="TOCHeading">
    <w:name w:val="TOC Heading"/>
    <w:aliases w:val="Tablas"/>
    <w:basedOn w:val="TableofFigures"/>
    <w:next w:val="Normal"/>
    <w:uiPriority w:val="39"/>
    <w:unhideWhenUsed/>
    <w:qFormat/>
    <w:rsid w:val="008C16EB"/>
    <w:pPr>
      <w:tabs>
        <w:tab w:val="right" w:leader="dot" w:pos="9060"/>
      </w:tabs>
    </w:pPr>
    <w:rPr>
      <w:rFonts w:cs="Arial"/>
      <w:b/>
      <w:noProof/>
    </w:rPr>
  </w:style>
  <w:style w:type="paragraph" w:styleId="TOC1">
    <w:name w:val="toc 1"/>
    <w:basedOn w:val="Normal"/>
    <w:next w:val="Normal"/>
    <w:autoRedefine/>
    <w:uiPriority w:val="39"/>
    <w:unhideWhenUsed/>
    <w:rsid w:val="00423E85"/>
  </w:style>
  <w:style w:type="character" w:styleId="Hyperlink">
    <w:name w:val="Hyperlink"/>
    <w:uiPriority w:val="99"/>
    <w:unhideWhenUsed/>
    <w:rsid w:val="00877054"/>
    <w:rPr>
      <w:color w:val="0563C1"/>
      <w:u w:val="single"/>
    </w:rPr>
  </w:style>
  <w:style w:type="character" w:customStyle="1" w:styleId="Heading5Char">
    <w:name w:val="Heading 5 Char"/>
    <w:link w:val="Heading5"/>
    <w:uiPriority w:val="9"/>
    <w:semiHidden/>
    <w:rsid w:val="00C84740"/>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C84740"/>
    <w:rPr>
      <w:rFonts w:ascii="Calibri" w:eastAsia="Times New Roman" w:hAnsi="Calibri" w:cs="Times New Roman"/>
      <w:b/>
      <w:bCs/>
      <w:sz w:val="22"/>
      <w:szCs w:val="22"/>
    </w:rPr>
  </w:style>
  <w:style w:type="character" w:customStyle="1" w:styleId="Heading7Char">
    <w:name w:val="Heading 7 Char"/>
    <w:link w:val="Heading7"/>
    <w:uiPriority w:val="9"/>
    <w:semiHidden/>
    <w:rsid w:val="00C84740"/>
    <w:rPr>
      <w:rFonts w:ascii="Calibri" w:eastAsia="Times New Roman" w:hAnsi="Calibri" w:cs="Times New Roman"/>
      <w:sz w:val="24"/>
      <w:szCs w:val="24"/>
    </w:rPr>
  </w:style>
  <w:style w:type="character" w:customStyle="1" w:styleId="Heading8Char">
    <w:name w:val="Heading 8 Char"/>
    <w:link w:val="Heading8"/>
    <w:uiPriority w:val="9"/>
    <w:semiHidden/>
    <w:rsid w:val="00C84740"/>
    <w:rPr>
      <w:rFonts w:ascii="Calibri" w:eastAsia="Times New Roman" w:hAnsi="Calibri" w:cs="Times New Roman"/>
      <w:i/>
      <w:iCs/>
      <w:sz w:val="24"/>
      <w:szCs w:val="24"/>
    </w:rPr>
  </w:style>
  <w:style w:type="character" w:customStyle="1" w:styleId="Heading9Char">
    <w:name w:val="Heading 9 Char"/>
    <w:link w:val="Heading9"/>
    <w:uiPriority w:val="9"/>
    <w:semiHidden/>
    <w:rsid w:val="00C84740"/>
    <w:rPr>
      <w:rFonts w:ascii="Calibri Light" w:eastAsia="Times New Roman" w:hAnsi="Calibri Light" w:cs="Times New Roman"/>
      <w:sz w:val="22"/>
      <w:szCs w:val="22"/>
    </w:rPr>
  </w:style>
  <w:style w:type="paragraph" w:styleId="TOC2">
    <w:name w:val="toc 2"/>
    <w:basedOn w:val="Normal"/>
    <w:next w:val="Normal"/>
    <w:autoRedefine/>
    <w:uiPriority w:val="39"/>
    <w:unhideWhenUsed/>
    <w:rsid w:val="00783DCC"/>
    <w:pPr>
      <w:ind w:left="221"/>
    </w:pPr>
  </w:style>
  <w:style w:type="paragraph" w:styleId="TOC3">
    <w:name w:val="toc 3"/>
    <w:basedOn w:val="Normal"/>
    <w:next w:val="Normal"/>
    <w:autoRedefine/>
    <w:uiPriority w:val="39"/>
    <w:unhideWhenUsed/>
    <w:rsid w:val="001526D9"/>
    <w:pPr>
      <w:ind w:left="440"/>
    </w:pPr>
  </w:style>
  <w:style w:type="character" w:styleId="CommentReference">
    <w:name w:val="annotation reference"/>
    <w:uiPriority w:val="99"/>
    <w:semiHidden/>
    <w:unhideWhenUsed/>
    <w:rsid w:val="00793FDB"/>
    <w:rPr>
      <w:sz w:val="16"/>
      <w:szCs w:val="16"/>
    </w:rPr>
  </w:style>
  <w:style w:type="paragraph" w:styleId="TOC4">
    <w:name w:val="toc 4"/>
    <w:basedOn w:val="Normal"/>
    <w:next w:val="Normal"/>
    <w:autoRedefine/>
    <w:uiPriority w:val="39"/>
    <w:unhideWhenUsed/>
    <w:rsid w:val="0066672A"/>
    <w:pPr>
      <w:ind w:left="660"/>
    </w:pPr>
  </w:style>
  <w:style w:type="paragraph" w:styleId="CommentText">
    <w:name w:val="annotation text"/>
    <w:basedOn w:val="Normal"/>
    <w:link w:val="CommentTextChar"/>
    <w:uiPriority w:val="99"/>
    <w:semiHidden/>
    <w:unhideWhenUsed/>
    <w:rsid w:val="00793FDB"/>
    <w:rPr>
      <w:sz w:val="20"/>
      <w:szCs w:val="20"/>
    </w:rPr>
  </w:style>
  <w:style w:type="character" w:customStyle="1" w:styleId="CommentTextChar">
    <w:name w:val="Comment Text Char"/>
    <w:link w:val="CommentText"/>
    <w:uiPriority w:val="99"/>
    <w:semiHidden/>
    <w:rsid w:val="00793FDB"/>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793FDB"/>
    <w:rPr>
      <w:b/>
      <w:bCs/>
    </w:rPr>
  </w:style>
  <w:style w:type="character" w:customStyle="1" w:styleId="CommentSubjectChar">
    <w:name w:val="Comment Subject Char"/>
    <w:link w:val="CommentSubject"/>
    <w:uiPriority w:val="99"/>
    <w:semiHidden/>
    <w:rsid w:val="00793FDB"/>
    <w:rPr>
      <w:rFonts w:ascii="Arial" w:eastAsia="Times New Roman" w:hAnsi="Arial"/>
      <w:b/>
      <w:bCs/>
    </w:rPr>
  </w:style>
  <w:style w:type="paragraph" w:styleId="Caption">
    <w:name w:val="caption"/>
    <w:basedOn w:val="Normal"/>
    <w:next w:val="Normal"/>
    <w:uiPriority w:val="35"/>
    <w:unhideWhenUsed/>
    <w:qFormat/>
    <w:rsid w:val="00793FDB"/>
    <w:rPr>
      <w:b/>
      <w:bCs/>
      <w:sz w:val="20"/>
      <w:szCs w:val="20"/>
    </w:rPr>
  </w:style>
  <w:style w:type="table" w:styleId="TableGrid">
    <w:name w:val="Table Grid"/>
    <w:basedOn w:val="Table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eofFigures">
    <w:name w:val="table of figures"/>
    <w:basedOn w:val="Normal"/>
    <w:next w:val="Normal"/>
    <w:uiPriority w:val="99"/>
    <w:unhideWhenUsed/>
    <w:rsid w:val="001C2AB4"/>
  </w:style>
  <w:style w:type="paragraph" w:styleId="Index1">
    <w:name w:val="index 1"/>
    <w:basedOn w:val="Normal"/>
    <w:next w:val="Normal"/>
    <w:autoRedefine/>
    <w:uiPriority w:val="99"/>
    <w:semiHidden/>
    <w:unhideWhenUsed/>
    <w:qFormat/>
    <w:rsid w:val="00977178"/>
    <w:pPr>
      <w:numPr>
        <w:numId w:val="9"/>
      </w:numPr>
    </w:pPr>
    <w:rPr>
      <w:b/>
      <w:caps/>
      <w:sz w:val="28"/>
    </w:rPr>
  </w:style>
  <w:style w:type="paragraph" w:styleId="Index2">
    <w:name w:val="index 2"/>
    <w:basedOn w:val="Normal"/>
    <w:next w:val="Normal"/>
    <w:autoRedefine/>
    <w:uiPriority w:val="99"/>
    <w:semiHidden/>
    <w:unhideWhenUsed/>
    <w:qFormat/>
    <w:rsid w:val="00977178"/>
    <w:pPr>
      <w:ind w:left="709" w:hanging="709"/>
    </w:pPr>
    <w:rPr>
      <w:b/>
      <w:caps/>
    </w:rPr>
  </w:style>
  <w:style w:type="paragraph" w:styleId="Index3">
    <w:name w:val="index 3"/>
    <w:basedOn w:val="Normal"/>
    <w:next w:val="Normal"/>
    <w:autoRedefine/>
    <w:uiPriority w:val="99"/>
    <w:semiHidden/>
    <w:unhideWhenUsed/>
    <w:qFormat/>
    <w:rsid w:val="00977178"/>
    <w:pPr>
      <w:ind w:left="221" w:hanging="221"/>
    </w:pPr>
  </w:style>
  <w:style w:type="paragraph" w:styleId="Index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OC8">
    <w:name w:val="toc 8"/>
    <w:basedOn w:val="Normal"/>
    <w:next w:val="Normal"/>
    <w:autoRedefine/>
    <w:uiPriority w:val="39"/>
    <w:semiHidden/>
    <w:unhideWhenUsed/>
    <w:rsid w:val="001C2AB4"/>
    <w:pPr>
      <w:ind w:left="1540"/>
    </w:pPr>
  </w:style>
  <w:style w:type="paragraph" w:styleId="TO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Footer"/>
    <w:link w:val="PginaCar"/>
    <w:qFormat/>
    <w:rsid w:val="00EC771B"/>
    <w:pPr>
      <w:jc w:val="right"/>
    </w:pPr>
    <w:rPr>
      <w:rFonts w:cs="Arial"/>
      <w:szCs w:val="22"/>
    </w:rPr>
  </w:style>
  <w:style w:type="character" w:customStyle="1" w:styleId="TtulondicesCar">
    <w:name w:val="Título Índices Car"/>
    <w:basedOn w:val="DefaultParagraphFont"/>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FooterChar"/>
    <w:link w:val="Pgina"/>
    <w:rsid w:val="00EC771B"/>
    <w:rPr>
      <w:rFonts w:asciiTheme="minorHAnsi" w:eastAsia="Times New Roman" w:hAnsiTheme="minorHAnsi" w:cs="Arial"/>
      <w:sz w:val="22"/>
      <w:szCs w:val="22"/>
    </w:rPr>
  </w:style>
  <w:style w:type="paragraph" w:styleId="ListParagraph">
    <w:name w:val="List Paragraph"/>
    <w:basedOn w:val="Normal"/>
    <w:uiPriority w:val="34"/>
    <w:qFormat/>
    <w:rsid w:val="00DA0FCE"/>
    <w:pPr>
      <w:ind w:left="720"/>
      <w:contextualSpacing/>
    </w:pPr>
  </w:style>
  <w:style w:type="paragraph" w:styleId="FootnoteText">
    <w:name w:val="footnote text"/>
    <w:basedOn w:val="Normal"/>
    <w:link w:val="FootnoteTextChar"/>
    <w:uiPriority w:val="99"/>
    <w:semiHidden/>
    <w:unhideWhenUsed/>
    <w:rsid w:val="00FA067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A0670"/>
    <w:rPr>
      <w:rFonts w:asciiTheme="minorHAnsi" w:eastAsia="Times New Roman" w:hAnsiTheme="minorHAnsi"/>
    </w:rPr>
  </w:style>
  <w:style w:type="character" w:styleId="FootnoteReference">
    <w:name w:val="footnote reference"/>
    <w:basedOn w:val="DefaultParagraphFont"/>
    <w:uiPriority w:val="99"/>
    <w:semiHidden/>
    <w:unhideWhenUsed/>
    <w:rsid w:val="00FA0670"/>
    <w:rPr>
      <w:vertAlign w:val="superscript"/>
    </w:rPr>
  </w:style>
  <w:style w:type="paragraph" w:customStyle="1" w:styleId="Ttulo1sinnumerar">
    <w:name w:val="Título 1 sin numerar"/>
    <w:basedOn w:val="Heading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ind w:left="360"/>
    </w:pPr>
  </w:style>
  <w:style w:type="character" w:styleId="PlaceholderText">
    <w:name w:val="Placeholder Text"/>
    <w:basedOn w:val="DefaultParagraphFont"/>
    <w:uiPriority w:val="99"/>
    <w:semiHidden/>
    <w:rsid w:val="000613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9719">
      <w:bodyDiv w:val="1"/>
      <w:marLeft w:val="0"/>
      <w:marRight w:val="0"/>
      <w:marTop w:val="0"/>
      <w:marBottom w:val="0"/>
      <w:divBdr>
        <w:top w:val="none" w:sz="0" w:space="0" w:color="auto"/>
        <w:left w:val="none" w:sz="0" w:space="0" w:color="auto"/>
        <w:bottom w:val="none" w:sz="0" w:space="0" w:color="auto"/>
        <w:right w:val="none" w:sz="0" w:space="0" w:color="auto"/>
      </w:divBdr>
    </w:div>
    <w:div w:id="213308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C30DF-4250-4586-9BE8-20A151BC1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4120</Words>
  <Characters>23484</Characters>
  <Application>Microsoft Office Word</Application>
  <DocSecurity>0</DocSecurity>
  <Lines>195</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Internacional de La Rioja                                                   Facultad de Educación</Company>
  <LinksUpToDate>false</LinksUpToDate>
  <CharactersWithSpaces>27549</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MACIAS PINEDA PABLO</cp:lastModifiedBy>
  <cp:revision>2</cp:revision>
  <cp:lastPrinted>2019-08-05T13:11:00Z</cp:lastPrinted>
  <dcterms:created xsi:type="dcterms:W3CDTF">2021-06-01T19:00:00Z</dcterms:created>
  <dcterms:modified xsi:type="dcterms:W3CDTF">2021-06-01T19:00:00Z</dcterms:modified>
</cp:coreProperties>
</file>