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560"/>
        <w:gridCol w:w="3029"/>
        <w:gridCol w:w="2315"/>
        <w:gridCol w:w="4129"/>
      </w:tblGrid>
      <w:tr w:rsidR="004B0CC9" w:rsidRPr="004B0CC9" w14:paraId="6D7E52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72152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b/>
                <w:bCs/>
                <w:sz w:val="20"/>
                <w:szCs w:val="20"/>
              </w:rPr>
              <w:t>Artigo / Aplicação Típica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6104C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b/>
                <w:bCs/>
                <w:sz w:val="20"/>
                <w:szCs w:val="20"/>
              </w:rPr>
              <w:t>Objetivo do Projeto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BEE5B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b/>
                <w:bCs/>
                <w:sz w:val="20"/>
                <w:szCs w:val="20"/>
              </w:rPr>
              <w:t>Modo de Operação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3DC1E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b/>
                <w:bCs/>
                <w:sz w:val="20"/>
                <w:szCs w:val="20"/>
              </w:rPr>
              <w:t>Parâmetros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05A8B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b/>
                <w:bCs/>
                <w:sz w:val="20"/>
                <w:szCs w:val="20"/>
              </w:rPr>
              <w:t>Limitações Críticas do AD5941 Identificadas</w:t>
            </w:r>
          </w:p>
        </w:tc>
      </w:tr>
      <w:tr w:rsidR="004B0CC9" w:rsidRPr="004B0CC9" w14:paraId="09792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6C74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b/>
                <w:bCs/>
                <w:sz w:val="20"/>
                <w:szCs w:val="20"/>
              </w:rPr>
              <w:t>Espectroscopia de Bioimpedância Elétrica (EIS</w:t>
            </w:r>
            <w:proofErr w:type="gramStart"/>
            <w:r w:rsidRPr="004B0CC9">
              <w:rPr>
                <w:b/>
                <w:bCs/>
                <w:sz w:val="20"/>
                <w:szCs w:val="20"/>
              </w:rPr>
              <w:t>) Vestível</w:t>
            </w:r>
            <w:proofErr w:type="gramEnd"/>
            <w:r w:rsidRPr="004B0CC9">
              <w:rPr>
                <w:sz w:val="20"/>
                <w:szCs w:val="20"/>
              </w:rPr>
              <w:t xml:space="preserve"> </w:t>
            </w:r>
            <w:r w:rsidRPr="004B0CC9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4B0CC9">
              <w:rPr>
                <w:i/>
                <w:iCs/>
                <w:sz w:val="20"/>
                <w:szCs w:val="20"/>
              </w:rPr>
              <w:t>Ex</w:t>
            </w:r>
            <w:proofErr w:type="spellEnd"/>
            <w:r w:rsidRPr="004B0CC9">
              <w:rPr>
                <w:i/>
                <w:iCs/>
                <w:sz w:val="20"/>
                <w:szCs w:val="20"/>
              </w:rPr>
              <w:t xml:space="preserve">: Patches de hidratação e </w:t>
            </w:r>
            <w:proofErr w:type="spellStart"/>
            <w:r w:rsidRPr="004B0CC9">
              <w:rPr>
                <w:i/>
                <w:iCs/>
                <w:sz w:val="20"/>
                <w:szCs w:val="20"/>
              </w:rPr>
              <w:t>wearables</w:t>
            </w:r>
            <w:proofErr w:type="spellEnd"/>
            <w:r w:rsidRPr="004B0CC9">
              <w:rPr>
                <w:i/>
                <w:iCs/>
                <w:sz w:val="20"/>
                <w:szCs w:val="20"/>
              </w:rPr>
              <w:t xml:space="preserve"> médicos)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8664C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>Monitorar parâmetros fisiológicos contínuos (edemas, composição tecidual ou variação volumétrica de fluidos) diretamente no corpo humano.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94860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Excitação por corrente ou tensão senoidal </w:t>
            </w:r>
            <w:proofErr w:type="spellStart"/>
            <w:r w:rsidRPr="004B0CC9">
              <w:rPr>
                <w:sz w:val="20"/>
                <w:szCs w:val="20"/>
              </w:rPr>
              <w:t>multifrequencial</w:t>
            </w:r>
            <w:proofErr w:type="spellEnd"/>
            <w:r w:rsidRPr="004B0CC9">
              <w:rPr>
                <w:sz w:val="20"/>
                <w:szCs w:val="20"/>
              </w:rPr>
              <w:t xml:space="preserve"> utilizando a malha de 4 elétrodos para eliminar a impedância de contato pele-eletrodo.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ABBA6" w14:textId="02D629EA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Frequência:</w:t>
            </w:r>
            <w:r w:rsidRPr="004B0CC9">
              <w:rPr>
                <w:sz w:val="20"/>
                <w:szCs w:val="20"/>
              </w:rPr>
              <w:t xml:space="preserve"> 10 Hz a 200 kHz</w:t>
            </w:r>
          </w:p>
          <w:p w14:paraId="68E3AE74" w14:textId="3D296D21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Amostragem:</w:t>
            </w:r>
            <w:r w:rsidRPr="004B0CC9">
              <w:rPr>
                <w:sz w:val="20"/>
                <w:szCs w:val="20"/>
              </w:rPr>
              <w:t xml:space="preserve"> Até 800 </w:t>
            </w:r>
            <w:proofErr w:type="spellStart"/>
            <w:r w:rsidRPr="004B0CC9">
              <w:rPr>
                <w:sz w:val="20"/>
                <w:szCs w:val="20"/>
              </w:rPr>
              <w:t>kSPS</w:t>
            </w:r>
            <w:proofErr w:type="spellEnd"/>
          </w:p>
          <w:p w14:paraId="01A88B4F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Processamento:</w:t>
            </w:r>
            <w:r w:rsidRPr="004B0CC9">
              <w:rPr>
                <w:sz w:val="20"/>
                <w:szCs w:val="20"/>
              </w:rPr>
              <w:t xml:space="preserve"> Motor interno de DFT (16-bit SAR ADC).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51025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Limite de Frequência Superior (200 kHz):</w:t>
            </w:r>
            <w:r w:rsidRPr="004B0CC9">
              <w:rPr>
                <w:sz w:val="20"/>
                <w:szCs w:val="20"/>
              </w:rPr>
              <w:t xml:space="preserve"> Embora atenda à maioria das aplicações biológicas, é insuficiente para caracterizar fenômenos dielétricos celulares em frequências de MHz (frequências de transição de membrana).</w:t>
            </w:r>
          </w:p>
        </w:tc>
      </w:tr>
      <w:tr w:rsidR="004B0CC9" w:rsidRPr="004B0CC9" w14:paraId="3925A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67D81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b/>
                <w:bCs/>
                <w:sz w:val="20"/>
                <w:szCs w:val="20"/>
              </w:rPr>
              <w:t>Biossensores de Afinidade e Dispositivos Point-</w:t>
            </w:r>
            <w:proofErr w:type="spellStart"/>
            <w:r w:rsidRPr="004B0CC9">
              <w:rPr>
                <w:b/>
                <w:bCs/>
                <w:sz w:val="20"/>
                <w:szCs w:val="20"/>
              </w:rPr>
              <w:t>of</w:t>
            </w:r>
            <w:proofErr w:type="spellEnd"/>
            <w:r w:rsidRPr="004B0CC9">
              <w:rPr>
                <w:b/>
                <w:bCs/>
                <w:sz w:val="20"/>
                <w:szCs w:val="20"/>
              </w:rPr>
              <w:t>-</w:t>
            </w:r>
            <w:proofErr w:type="spellStart"/>
            <w:r w:rsidRPr="004B0CC9">
              <w:rPr>
                <w:b/>
                <w:bCs/>
                <w:sz w:val="20"/>
                <w:szCs w:val="20"/>
              </w:rPr>
              <w:t>Care</w:t>
            </w:r>
            <w:proofErr w:type="spellEnd"/>
            <w:r w:rsidRPr="004B0CC9">
              <w:rPr>
                <w:sz w:val="20"/>
                <w:szCs w:val="20"/>
              </w:rPr>
              <w:t xml:space="preserve"> </w:t>
            </w:r>
            <w:r w:rsidRPr="004B0CC9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4B0CC9">
              <w:rPr>
                <w:i/>
                <w:iCs/>
                <w:sz w:val="20"/>
                <w:szCs w:val="20"/>
              </w:rPr>
              <w:t>Ex</w:t>
            </w:r>
            <w:proofErr w:type="spellEnd"/>
            <w:r w:rsidRPr="004B0CC9">
              <w:rPr>
                <w:i/>
                <w:iCs/>
                <w:sz w:val="20"/>
                <w:szCs w:val="20"/>
              </w:rPr>
              <w:t>: Diagnóstico rápido de vírus e patógenos)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9808D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Detectar a hibridização de DNA ou ligações antígeno-anticorpo em </w:t>
            </w:r>
            <w:proofErr w:type="spellStart"/>
            <w:r w:rsidRPr="004B0CC9">
              <w:rPr>
                <w:sz w:val="20"/>
                <w:szCs w:val="20"/>
              </w:rPr>
              <w:t>microeletrodos</w:t>
            </w:r>
            <w:proofErr w:type="spellEnd"/>
            <w:r w:rsidRPr="004B0CC9">
              <w:rPr>
                <w:sz w:val="20"/>
                <w:szCs w:val="20"/>
              </w:rPr>
              <w:t xml:space="preserve"> através da variação da impedância da interface eletrodo-eletrólito.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56E06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Varredura </w:t>
            </w:r>
            <w:proofErr w:type="spellStart"/>
            <w:r w:rsidRPr="004B0CC9">
              <w:rPr>
                <w:sz w:val="20"/>
                <w:szCs w:val="20"/>
              </w:rPr>
              <w:t>ratiométrica</w:t>
            </w:r>
            <w:proofErr w:type="spellEnd"/>
            <w:r w:rsidRPr="004B0CC9">
              <w:rPr>
                <w:sz w:val="20"/>
                <w:szCs w:val="20"/>
              </w:rPr>
              <w:t xml:space="preserve"> de impedância combinada com técnicas eletroquímicas de pulso (Amperometria ou Voltametria Cíclica) para monitoramento de superfície.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ABCFC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Frequência:</w:t>
            </w:r>
            <w:r w:rsidRPr="004B0CC9">
              <w:rPr>
                <w:sz w:val="20"/>
                <w:szCs w:val="20"/>
              </w:rPr>
              <w:t xml:space="preserve"> 0.016 Hz a 200 kHz</w:t>
            </w:r>
          </w:p>
          <w:p w14:paraId="0E2E9FA2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Sinal:</w:t>
            </w:r>
            <w:r w:rsidRPr="004B0CC9">
              <w:rPr>
                <w:sz w:val="20"/>
                <w:szCs w:val="20"/>
              </w:rPr>
              <w:t xml:space="preserve"> Senoides de baixa amplitude (&lt; 50 </w:t>
            </w:r>
            <w:proofErr w:type="spellStart"/>
            <w:r w:rsidRPr="004B0CC9">
              <w:rPr>
                <w:sz w:val="20"/>
                <w:szCs w:val="20"/>
              </w:rPr>
              <w:t>mV</w:t>
            </w:r>
            <w:proofErr w:type="spellEnd"/>
            <w:r w:rsidRPr="004B0CC9">
              <w:rPr>
                <w:sz w:val="20"/>
                <w:szCs w:val="20"/>
              </w:rPr>
              <w:t>) para não danificar o biofilme.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ED48E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Saturação do HSTIA em Altas Frequências:</w:t>
            </w:r>
            <w:r w:rsidRPr="004B0CC9">
              <w:rPr>
                <w:sz w:val="20"/>
                <w:szCs w:val="20"/>
              </w:rPr>
              <w:t xml:space="preserve"> O Amplificador de </w:t>
            </w:r>
            <w:proofErr w:type="spellStart"/>
            <w:r w:rsidRPr="004B0CC9">
              <w:rPr>
                <w:sz w:val="20"/>
                <w:szCs w:val="20"/>
              </w:rPr>
              <w:t>Transimpedância</w:t>
            </w:r>
            <w:proofErr w:type="spellEnd"/>
            <w:r w:rsidRPr="004B0CC9">
              <w:rPr>
                <w:sz w:val="20"/>
                <w:szCs w:val="20"/>
              </w:rPr>
              <w:t xml:space="preserve"> de Alta Velocidade (HSTIA) pode sofrer instabilidade ou saturação se a capacitância de dupla camada do sensor for muito elevada próximo ao limite de 200 kHz.</w:t>
            </w:r>
          </w:p>
          <w:p w14:paraId="24BE71EF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Sensibilidade extrema a ruídos de layout na PCB devido à escala de </w:t>
            </w:r>
            <w:proofErr w:type="spellStart"/>
            <w:r w:rsidRPr="004B0CC9">
              <w:rPr>
                <w:sz w:val="20"/>
                <w:szCs w:val="20"/>
              </w:rPr>
              <w:t>nanoamperes</w:t>
            </w:r>
            <w:proofErr w:type="spellEnd"/>
            <w:r w:rsidRPr="004B0CC9">
              <w:rPr>
                <w:sz w:val="20"/>
                <w:szCs w:val="20"/>
              </w:rPr>
              <w:t xml:space="preserve"> medida.</w:t>
            </w:r>
          </w:p>
        </w:tc>
      </w:tr>
      <w:tr w:rsidR="004B0CC9" w:rsidRPr="004B0CC9" w14:paraId="3D42C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E78A9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b/>
                <w:bCs/>
                <w:sz w:val="20"/>
                <w:szCs w:val="20"/>
              </w:rPr>
              <w:t>Espectroscopia de Impedância Eletroquímica (EIS) em Baterias</w:t>
            </w:r>
            <w:r w:rsidRPr="004B0CC9">
              <w:rPr>
                <w:sz w:val="20"/>
                <w:szCs w:val="20"/>
              </w:rPr>
              <w:t xml:space="preserve"> </w:t>
            </w:r>
            <w:r w:rsidRPr="004B0CC9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4B0CC9">
              <w:rPr>
                <w:i/>
                <w:iCs/>
                <w:sz w:val="20"/>
                <w:szCs w:val="20"/>
              </w:rPr>
              <w:t>Ex</w:t>
            </w:r>
            <w:proofErr w:type="spellEnd"/>
            <w:r w:rsidRPr="004B0CC9">
              <w:rPr>
                <w:i/>
                <w:iCs/>
                <w:sz w:val="20"/>
                <w:szCs w:val="20"/>
              </w:rPr>
              <w:t xml:space="preserve">: Sensores inteligentes de </w:t>
            </w:r>
            <w:proofErr w:type="spellStart"/>
            <w:r w:rsidRPr="004B0CC9">
              <w:rPr>
                <w:i/>
                <w:iCs/>
                <w:sz w:val="20"/>
                <w:szCs w:val="20"/>
              </w:rPr>
              <w:t>State</w:t>
            </w:r>
            <w:proofErr w:type="spellEnd"/>
            <w:r w:rsidRPr="004B0CC9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B0CC9">
              <w:rPr>
                <w:i/>
                <w:iCs/>
                <w:sz w:val="20"/>
                <w:szCs w:val="20"/>
              </w:rPr>
              <w:t>of</w:t>
            </w:r>
            <w:proofErr w:type="spellEnd"/>
            <w:r w:rsidRPr="004B0CC9">
              <w:rPr>
                <w:i/>
                <w:iCs/>
                <w:sz w:val="20"/>
                <w:szCs w:val="20"/>
              </w:rPr>
              <w:t xml:space="preserve"> Health - </w:t>
            </w:r>
            <w:proofErr w:type="spellStart"/>
            <w:r w:rsidRPr="004B0CC9">
              <w:rPr>
                <w:i/>
                <w:iCs/>
                <w:sz w:val="20"/>
                <w:szCs w:val="20"/>
              </w:rPr>
              <w:t>SoH</w:t>
            </w:r>
            <w:proofErr w:type="spellEnd"/>
            <w:r w:rsidRPr="004B0CC9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7F0C5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>Mapear a impedância complexa interna de células de íons de Lítio para prever o envelhecimento químico e variações térmicas.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7554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>Varredura de frequência ultrabaixa acoplada a uma malha de potência externa (visto que o chip opera em baixa potência), utilizando o gerador de ondas integrado.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0FBBB" w14:textId="01F6B4F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Frequência:</w:t>
            </w:r>
            <w:r w:rsidRPr="004B0CC9">
              <w:rPr>
                <w:sz w:val="20"/>
                <w:szCs w:val="20"/>
              </w:rPr>
              <w:t xml:space="preserve"> 0.1 Hz a 10 kHz</w:t>
            </w:r>
          </w:p>
          <w:p w14:paraId="7EA601CE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Interface:</w:t>
            </w:r>
            <w:r w:rsidRPr="004B0CC9">
              <w:rPr>
                <w:sz w:val="20"/>
                <w:szCs w:val="20"/>
              </w:rPr>
              <w:t xml:space="preserve"> SPI síncrona com interrupção externa (IRQ).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049FA" w14:textId="58EA67E9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Incapacidade de Corrente Direta (DC) Elevada:</w:t>
            </w:r>
            <w:r w:rsidRPr="004B0CC9">
              <w:rPr>
                <w:sz w:val="20"/>
                <w:szCs w:val="20"/>
              </w:rPr>
              <w:t xml:space="preserve"> O </w:t>
            </w:r>
            <w:proofErr w:type="spellStart"/>
            <w:r w:rsidRPr="004B0CC9">
              <w:rPr>
                <w:sz w:val="20"/>
                <w:szCs w:val="20"/>
              </w:rPr>
              <w:t>potenciostato</w:t>
            </w:r>
            <w:proofErr w:type="spellEnd"/>
            <w:r w:rsidRPr="004B0CC9">
              <w:rPr>
                <w:sz w:val="20"/>
                <w:szCs w:val="20"/>
              </w:rPr>
              <w:t xml:space="preserve"> interno do AD5941 é projetado para correntes na escala de miliamperes (</w:t>
            </w:r>
            <w:r>
              <w:rPr>
                <w:sz w:val="20"/>
                <w:szCs w:val="20"/>
              </w:rPr>
              <w:t>=/-</w:t>
            </w:r>
            <w:r w:rsidRPr="004B0CC9">
              <w:rPr>
                <w:sz w:val="20"/>
                <w:szCs w:val="20"/>
              </w:rPr>
              <w:t xml:space="preserve">6.5\ </w:t>
            </w:r>
            <w:proofErr w:type="spellStart"/>
            <w:r w:rsidRPr="004B0CC9">
              <w:rPr>
                <w:sz w:val="20"/>
                <w:szCs w:val="20"/>
              </w:rPr>
              <w:t>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4B0CC9">
              <w:rPr>
                <w:sz w:val="20"/>
                <w:szCs w:val="20"/>
              </w:rPr>
              <w:t>máx</w:t>
            </w:r>
            <w:proofErr w:type="spellEnd"/>
            <w:r w:rsidRPr="004B0CC9">
              <w:rPr>
                <w:sz w:val="20"/>
                <w:szCs w:val="20"/>
              </w:rPr>
              <w:t>). Para testar baterias reais sob carga, exige circuitos integrados de potência injetores e isoladores galvânicos externos robustos.</w:t>
            </w:r>
          </w:p>
        </w:tc>
      </w:tr>
      <w:tr w:rsidR="004B0CC9" w:rsidRPr="004B0CC9" w14:paraId="5C4B5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8E242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b/>
                <w:bCs/>
                <w:sz w:val="20"/>
                <w:szCs w:val="20"/>
              </w:rPr>
              <w:lastRenderedPageBreak/>
              <w:t xml:space="preserve">Sensores de Gases Eletroquímicos e </w:t>
            </w:r>
            <w:proofErr w:type="spellStart"/>
            <w:r w:rsidRPr="004B0CC9">
              <w:rPr>
                <w:b/>
                <w:bCs/>
                <w:sz w:val="20"/>
                <w:szCs w:val="20"/>
              </w:rPr>
              <w:t>Amperométricos</w:t>
            </w:r>
            <w:proofErr w:type="spellEnd"/>
            <w:r w:rsidRPr="004B0CC9">
              <w:rPr>
                <w:sz w:val="20"/>
                <w:szCs w:val="20"/>
              </w:rPr>
              <w:t xml:space="preserve"> </w:t>
            </w:r>
            <w:r w:rsidRPr="004B0CC9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4B0CC9">
              <w:rPr>
                <w:i/>
                <w:iCs/>
                <w:sz w:val="20"/>
                <w:szCs w:val="20"/>
              </w:rPr>
              <w:t>Ex</w:t>
            </w:r>
            <w:proofErr w:type="spellEnd"/>
            <w:r w:rsidRPr="004B0CC9">
              <w:rPr>
                <w:i/>
                <w:iCs/>
                <w:sz w:val="20"/>
                <w:szCs w:val="20"/>
              </w:rPr>
              <w:t xml:space="preserve">: Detectores industriais de CO, </w:t>
            </w:r>
            <w:proofErr w:type="spellStart"/>
            <w:r w:rsidRPr="004B0CC9">
              <w:rPr>
                <w:i/>
                <w:iCs/>
                <w:sz w:val="20"/>
                <w:szCs w:val="20"/>
              </w:rPr>
              <w:t>NOx</w:t>
            </w:r>
            <w:proofErr w:type="spellEnd"/>
            <w:r w:rsidRPr="004B0CC9">
              <w:rPr>
                <w:i/>
                <w:iCs/>
                <w:sz w:val="20"/>
                <w:szCs w:val="20"/>
              </w:rPr>
              <w:t xml:space="preserve"> ou O2)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CE767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>Monitorar a concentração de gases tóxicos através da corrente de oxirredução gerada em uma célula galvânica/</w:t>
            </w:r>
            <w:proofErr w:type="spellStart"/>
            <w:r w:rsidRPr="004B0CC9">
              <w:rPr>
                <w:sz w:val="20"/>
                <w:szCs w:val="20"/>
              </w:rPr>
              <w:t>potenciostática</w:t>
            </w:r>
            <w:proofErr w:type="spellEnd"/>
            <w:r w:rsidRPr="004B0CC9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623B2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Modo </w:t>
            </w:r>
            <w:proofErr w:type="spellStart"/>
            <w:r w:rsidRPr="004B0CC9">
              <w:rPr>
                <w:sz w:val="20"/>
                <w:szCs w:val="20"/>
              </w:rPr>
              <w:t>Potenciostato</w:t>
            </w:r>
            <w:proofErr w:type="spellEnd"/>
            <w:r w:rsidRPr="004B0CC9">
              <w:rPr>
                <w:sz w:val="20"/>
                <w:szCs w:val="20"/>
              </w:rPr>
              <w:t xml:space="preserve"> de Baixa Potência (</w:t>
            </w:r>
            <w:proofErr w:type="spellStart"/>
            <w:r w:rsidRPr="004B0CC9">
              <w:rPr>
                <w:i/>
                <w:iCs/>
                <w:sz w:val="20"/>
                <w:szCs w:val="20"/>
              </w:rPr>
              <w:t>Low</w:t>
            </w:r>
            <w:proofErr w:type="spellEnd"/>
            <w:r w:rsidRPr="004B0CC9">
              <w:rPr>
                <w:i/>
                <w:iCs/>
                <w:sz w:val="20"/>
                <w:szCs w:val="20"/>
              </w:rPr>
              <w:t xml:space="preserve"> Power Loop</w:t>
            </w:r>
            <w:r w:rsidRPr="004B0CC9">
              <w:rPr>
                <w:sz w:val="20"/>
                <w:szCs w:val="20"/>
              </w:rPr>
              <w:t xml:space="preserve">). O circuito mantém o eletrodo de referência polarizado enquanto o amplificador lê correntes contínuas na escala de </w:t>
            </w:r>
            <w:proofErr w:type="spellStart"/>
            <w:r w:rsidRPr="004B0CC9">
              <w:rPr>
                <w:sz w:val="20"/>
                <w:szCs w:val="20"/>
              </w:rPr>
              <w:t>nanoamperes</w:t>
            </w:r>
            <w:proofErr w:type="spellEnd"/>
            <w:r w:rsidRPr="004B0CC9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4563B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Modo:</w:t>
            </w:r>
            <w:r w:rsidRPr="004B0CC9">
              <w:rPr>
                <w:sz w:val="20"/>
                <w:szCs w:val="20"/>
              </w:rPr>
              <w:t xml:space="preserve"> Amperometria de Potência </w:t>
            </w:r>
            <w:proofErr w:type="spellStart"/>
            <w:r w:rsidRPr="004B0CC9">
              <w:rPr>
                <w:sz w:val="20"/>
                <w:szCs w:val="20"/>
              </w:rPr>
              <w:t>Ultra-Baixa</w:t>
            </w:r>
            <w:proofErr w:type="spellEnd"/>
          </w:p>
          <w:p w14:paraId="23ECE4EF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br/>
            </w:r>
          </w:p>
          <w:p w14:paraId="521773F3" w14:textId="5FF1B2CE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Consumo Local:</w:t>
            </w:r>
            <w:r w:rsidRPr="004B0CC9">
              <w:rPr>
                <w:sz w:val="20"/>
                <w:szCs w:val="20"/>
              </w:rPr>
              <w:t xml:space="preserve"> &lt; 100 </w:t>
            </w:r>
            <w:r>
              <w:rPr>
                <w:sz w:val="20"/>
                <w:szCs w:val="20"/>
              </w:rPr>
              <w:t>µ</w:t>
            </w:r>
            <w:r w:rsidRPr="004B0CC9">
              <w:rPr>
                <w:sz w:val="20"/>
                <w:szCs w:val="20"/>
              </w:rPr>
              <w:t>A em modo de hibernação ativa.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803EC" w14:textId="77777777" w:rsidR="004B0CC9" w:rsidRPr="004B0CC9" w:rsidRDefault="004B0CC9" w:rsidP="004B0CC9">
            <w:pPr>
              <w:rPr>
                <w:sz w:val="20"/>
                <w:szCs w:val="20"/>
              </w:rPr>
            </w:pPr>
            <w:r w:rsidRPr="004B0CC9">
              <w:rPr>
                <w:sz w:val="20"/>
                <w:szCs w:val="20"/>
              </w:rPr>
              <w:t xml:space="preserve">• </w:t>
            </w:r>
            <w:r w:rsidRPr="004B0CC9">
              <w:rPr>
                <w:b/>
                <w:bCs/>
                <w:sz w:val="20"/>
                <w:szCs w:val="20"/>
              </w:rPr>
              <w:t>Limitação de Canais Simultâneos:</w:t>
            </w:r>
            <w:r w:rsidRPr="004B0CC9">
              <w:rPr>
                <w:sz w:val="20"/>
                <w:szCs w:val="20"/>
              </w:rPr>
              <w:t xml:space="preserve"> O AD5941 possui apenas </w:t>
            </w:r>
            <w:r w:rsidRPr="004B0CC9">
              <w:rPr>
                <w:b/>
                <w:bCs/>
                <w:sz w:val="20"/>
                <w:szCs w:val="20"/>
              </w:rPr>
              <w:t>um</w:t>
            </w:r>
            <w:r w:rsidRPr="004B0CC9">
              <w:rPr>
                <w:sz w:val="20"/>
                <w:szCs w:val="20"/>
              </w:rPr>
              <w:t xml:space="preserve"> canal completo de TIA de Alta Velocidade e uma malha de baixa potência. Se o projeto exigir um nariz eletrônico (matriz com múltiplos sensores de gases diferentes medindo ao mesmo tempo), é necessário duplicar os chips ou criar matrizes de chaveamento complexas.</w:t>
            </w:r>
          </w:p>
        </w:tc>
      </w:tr>
    </w:tbl>
    <w:p w14:paraId="30DD2225" w14:textId="77777777" w:rsidR="004B0CC9" w:rsidRPr="004B0CC9" w:rsidRDefault="004B0CC9">
      <w:pPr>
        <w:rPr>
          <w:sz w:val="20"/>
          <w:szCs w:val="20"/>
        </w:rPr>
      </w:pPr>
    </w:p>
    <w:sectPr w:rsidR="004B0CC9" w:rsidRPr="004B0CC9" w:rsidSect="004B0CC9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C9"/>
    <w:rsid w:val="000B3784"/>
    <w:rsid w:val="004B0CC9"/>
    <w:rsid w:val="0076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709D5"/>
  <w15:chartTrackingRefBased/>
  <w15:docId w15:val="{B0960D84-20F0-44E5-8523-064332C3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0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0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0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0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0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0C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0C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0C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0C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0C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0C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0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0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0C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0C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0C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0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0C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0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514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Moraes de Mattos</dc:creator>
  <cp:keywords/>
  <dc:description/>
  <cp:lastModifiedBy>Pablo Moraes de Mattos</cp:lastModifiedBy>
  <cp:revision>1</cp:revision>
  <dcterms:created xsi:type="dcterms:W3CDTF">2026-06-12T18:35:00Z</dcterms:created>
  <dcterms:modified xsi:type="dcterms:W3CDTF">2026-06-12T19:20:00Z</dcterms:modified>
</cp:coreProperties>
</file>