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5446" w:type="dxa"/>
        <w:tblLook w:val="04A0" w:firstRow="1" w:lastRow="0" w:firstColumn="1" w:lastColumn="0" w:noHBand="0" w:noVBand="1"/>
      </w:tblPr>
      <w:tblGrid>
        <w:gridCol w:w="2798"/>
        <w:gridCol w:w="2798"/>
        <w:gridCol w:w="2798"/>
        <w:gridCol w:w="2941"/>
        <w:gridCol w:w="4111"/>
      </w:tblGrid>
      <w:tr w:rsidR="004B44CA" w14:paraId="4EC6815F" w14:textId="77777777" w:rsidTr="004B44CA">
        <w:trPr>
          <w:trHeight w:val="551"/>
        </w:trPr>
        <w:tc>
          <w:tcPr>
            <w:tcW w:w="2798" w:type="dxa"/>
            <w:vAlign w:val="center"/>
          </w:tcPr>
          <w:p w14:paraId="0AA3CAE2" w14:textId="7BEA1D91" w:rsidR="004B44CA" w:rsidRPr="0083332B" w:rsidRDefault="004B44CA" w:rsidP="004B44CA">
            <w:pPr>
              <w:jc w:val="center"/>
              <w:rPr>
                <w:rFonts w:asciiTheme="majorHAnsi" w:hAnsiTheme="majorHAnsi" w:cs="Arial"/>
              </w:rPr>
            </w:pPr>
            <w:r w:rsidRPr="0083332B">
              <w:rPr>
                <w:rFonts w:asciiTheme="majorHAnsi" w:eastAsia="Times New Roman" w:hAnsiTheme="majorHAnsi" w:cs="Arial"/>
                <w:b/>
                <w:bCs/>
                <w:kern w:val="0"/>
                <w:lang w:eastAsia="pt-BR"/>
                <w14:ligatures w14:val="none"/>
              </w:rPr>
              <w:t>Artigo / Aplicação</w:t>
            </w:r>
          </w:p>
        </w:tc>
        <w:tc>
          <w:tcPr>
            <w:tcW w:w="2798" w:type="dxa"/>
            <w:vAlign w:val="center"/>
          </w:tcPr>
          <w:p w14:paraId="33BB869B" w14:textId="454428DF" w:rsidR="004B44CA" w:rsidRPr="0083332B" w:rsidRDefault="004B44CA" w:rsidP="004B44CA">
            <w:pPr>
              <w:jc w:val="center"/>
              <w:rPr>
                <w:rFonts w:asciiTheme="majorHAnsi" w:hAnsiTheme="majorHAnsi" w:cs="Arial"/>
              </w:rPr>
            </w:pPr>
            <w:r w:rsidRPr="0083332B">
              <w:rPr>
                <w:rFonts w:asciiTheme="majorHAnsi" w:eastAsia="Times New Roman" w:hAnsiTheme="majorHAnsi" w:cs="Arial"/>
                <w:b/>
                <w:bCs/>
                <w:kern w:val="0"/>
                <w:lang w:eastAsia="pt-BR"/>
                <w14:ligatures w14:val="none"/>
              </w:rPr>
              <w:t>Objetivo do Projeto</w:t>
            </w:r>
          </w:p>
        </w:tc>
        <w:tc>
          <w:tcPr>
            <w:tcW w:w="2798" w:type="dxa"/>
            <w:vAlign w:val="center"/>
          </w:tcPr>
          <w:p w14:paraId="23D91E9A" w14:textId="6E8354CB" w:rsidR="004B44CA" w:rsidRPr="0083332B" w:rsidRDefault="004B44CA" w:rsidP="004B44CA">
            <w:pPr>
              <w:jc w:val="center"/>
              <w:rPr>
                <w:rFonts w:asciiTheme="majorHAnsi" w:hAnsiTheme="majorHAnsi" w:cs="Arial"/>
              </w:rPr>
            </w:pPr>
            <w:r w:rsidRPr="0083332B">
              <w:rPr>
                <w:rFonts w:asciiTheme="majorHAnsi" w:eastAsia="Times New Roman" w:hAnsiTheme="majorHAnsi" w:cs="Arial"/>
                <w:b/>
                <w:bCs/>
                <w:kern w:val="0"/>
                <w:lang w:eastAsia="pt-BR"/>
                <w14:ligatures w14:val="none"/>
              </w:rPr>
              <w:t>Modo de Operação</w:t>
            </w:r>
          </w:p>
        </w:tc>
        <w:tc>
          <w:tcPr>
            <w:tcW w:w="2941" w:type="dxa"/>
            <w:vAlign w:val="center"/>
          </w:tcPr>
          <w:p w14:paraId="286B52AA" w14:textId="67D2A31D" w:rsidR="004B44CA" w:rsidRPr="0083332B" w:rsidRDefault="004B44CA" w:rsidP="004B44CA">
            <w:pPr>
              <w:jc w:val="center"/>
              <w:rPr>
                <w:rFonts w:asciiTheme="majorHAnsi" w:hAnsiTheme="majorHAnsi" w:cs="Arial"/>
              </w:rPr>
            </w:pPr>
            <w:r w:rsidRPr="0083332B">
              <w:rPr>
                <w:rFonts w:asciiTheme="majorHAnsi" w:eastAsia="Times New Roman" w:hAnsiTheme="majorHAnsi" w:cs="Arial"/>
                <w:b/>
                <w:bCs/>
                <w:kern w:val="0"/>
                <w:lang w:eastAsia="pt-BR"/>
                <w14:ligatures w14:val="none"/>
              </w:rPr>
              <w:t>Parâmetros Utilizados</w:t>
            </w:r>
          </w:p>
        </w:tc>
        <w:tc>
          <w:tcPr>
            <w:tcW w:w="4111" w:type="dxa"/>
            <w:vAlign w:val="center"/>
          </w:tcPr>
          <w:p w14:paraId="42652462" w14:textId="607506AD" w:rsidR="004B44CA" w:rsidRPr="0083332B" w:rsidRDefault="004B44CA" w:rsidP="004B44CA">
            <w:pPr>
              <w:jc w:val="center"/>
              <w:rPr>
                <w:rFonts w:asciiTheme="majorHAnsi" w:hAnsiTheme="majorHAnsi" w:cs="Arial"/>
              </w:rPr>
            </w:pPr>
            <w:r w:rsidRPr="0083332B">
              <w:rPr>
                <w:rFonts w:asciiTheme="majorHAnsi" w:eastAsia="Times New Roman" w:hAnsiTheme="majorHAnsi" w:cs="Arial"/>
                <w:b/>
                <w:bCs/>
                <w:kern w:val="0"/>
                <w:lang w:eastAsia="pt-BR"/>
                <w14:ligatures w14:val="none"/>
              </w:rPr>
              <w:t>Limitações do AD5933</w:t>
            </w:r>
          </w:p>
        </w:tc>
      </w:tr>
      <w:tr w:rsidR="004B44CA" w14:paraId="100D5C66" w14:textId="77777777" w:rsidTr="0083332B">
        <w:trPr>
          <w:trHeight w:val="1691"/>
        </w:trPr>
        <w:tc>
          <w:tcPr>
            <w:tcW w:w="2798" w:type="dxa"/>
            <w:shd w:val="clear" w:color="auto" w:fill="FAE2D5" w:themeFill="accent2" w:themeFillTint="33"/>
            <w:vAlign w:val="center"/>
          </w:tcPr>
          <w:p w14:paraId="641B063C" w14:textId="5F7D374A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AD5933-based spectrometer for electrical bioimpedance applications</w:t>
            </w:r>
          </w:p>
        </w:tc>
        <w:tc>
          <w:tcPr>
            <w:tcW w:w="2798" w:type="dxa"/>
            <w:shd w:val="clear" w:color="auto" w:fill="FAE2D5" w:themeFill="accent2" w:themeFillTint="33"/>
            <w:vAlign w:val="center"/>
          </w:tcPr>
          <w:p w14:paraId="57F4AFA7" w14:textId="62E0BD6A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Desenvolver espectrômetro de bioimpedância com front-end de 4 eletrodos</w:t>
            </w:r>
          </w:p>
        </w:tc>
        <w:tc>
          <w:tcPr>
            <w:tcW w:w="2798" w:type="dxa"/>
            <w:shd w:val="clear" w:color="auto" w:fill="FAE2D5" w:themeFill="accent2" w:themeFillTint="33"/>
            <w:vAlign w:val="center"/>
          </w:tcPr>
          <w:p w14:paraId="1ECB1A48" w14:textId="3F58D3ED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Medição em modelos biológicos (2R1C), comparação com equipamento comercial, análise espectral</w:t>
            </w:r>
          </w:p>
        </w:tc>
        <w:tc>
          <w:tcPr>
            <w:tcW w:w="2941" w:type="dxa"/>
            <w:shd w:val="clear" w:color="auto" w:fill="FAE2D5" w:themeFill="accent2" w:themeFillTint="33"/>
            <w:vAlign w:val="center"/>
          </w:tcPr>
          <w:p w14:paraId="49A31CA1" w14:textId="16C86BA0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Frequência: 5–100 kHz; parâmetros: Re, Ri, Cm; 100 medições por teste</w:t>
            </w:r>
          </w:p>
        </w:tc>
        <w:tc>
          <w:tcPr>
            <w:tcW w:w="4111" w:type="dxa"/>
            <w:shd w:val="clear" w:color="auto" w:fill="FAE2D5" w:themeFill="accent2" w:themeFillTint="33"/>
            <w:vAlign w:val="center"/>
          </w:tcPr>
          <w:p w14:paraId="351856B6" w14:textId="048E149C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Menor acurácia que equipamentos profissionais; distorções em alta frequência; depende de front-end externo; faixa de frequência limitada</w:t>
            </w:r>
          </w:p>
        </w:tc>
      </w:tr>
      <w:tr w:rsidR="004B44CA" w14:paraId="5F4608C5" w14:textId="77777777" w:rsidTr="0083332B">
        <w:trPr>
          <w:trHeight w:val="1842"/>
        </w:trPr>
        <w:tc>
          <w:tcPr>
            <w:tcW w:w="2798" w:type="dxa"/>
            <w:shd w:val="clear" w:color="auto" w:fill="D9F2D0" w:themeFill="accent6" w:themeFillTint="33"/>
            <w:vAlign w:val="center"/>
          </w:tcPr>
          <w:p w14:paraId="38059FFB" w14:textId="61BEF636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Design and Validation of a Portable AD5933–Based Impedance Analyzer for Smart Agriculture</w:t>
            </w:r>
          </w:p>
        </w:tc>
        <w:tc>
          <w:tcPr>
            <w:tcW w:w="2798" w:type="dxa"/>
            <w:shd w:val="clear" w:color="auto" w:fill="D9F2D0" w:themeFill="accent6" w:themeFillTint="33"/>
            <w:vAlign w:val="center"/>
          </w:tcPr>
          <w:p w14:paraId="604A27AB" w14:textId="62CF7382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Criar analisador portátil para monitorar qualidade de frutas</w:t>
            </w:r>
          </w:p>
        </w:tc>
        <w:tc>
          <w:tcPr>
            <w:tcW w:w="2798" w:type="dxa"/>
            <w:shd w:val="clear" w:color="auto" w:fill="D9F2D0" w:themeFill="accent6" w:themeFillTint="33"/>
            <w:vAlign w:val="center"/>
          </w:tcPr>
          <w:p w14:paraId="75AE2278" w14:textId="4DC6FF64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Sistema embarcado com STM32, comunicação Bluetooth/USB, medições programadas e calibração por faixa</w:t>
            </w:r>
          </w:p>
        </w:tc>
        <w:tc>
          <w:tcPr>
            <w:tcW w:w="2941" w:type="dxa"/>
            <w:shd w:val="clear" w:color="auto" w:fill="D9F2D0" w:themeFill="accent6" w:themeFillTint="33"/>
            <w:vAlign w:val="center"/>
          </w:tcPr>
          <w:p w14:paraId="18387579" w14:textId="21D595AB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Frequência: 10 Hz–100 kHz; ajuste de tensão, ganho (PGA), RFB e settling time; erro: ~1–7%</w:t>
            </w:r>
          </w:p>
        </w:tc>
        <w:tc>
          <w:tcPr>
            <w:tcW w:w="4111" w:type="dxa"/>
            <w:shd w:val="clear" w:color="auto" w:fill="D9F2D0" w:themeFill="accent6" w:themeFillTint="33"/>
            <w:vAlign w:val="center"/>
          </w:tcPr>
          <w:p w14:paraId="401AA49D" w14:textId="59B95E84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Calibração complexa; necessidade de múltiplas faixas; ruído fora da faixa calibrada; limitação de impedâncias baixas</w:t>
            </w:r>
          </w:p>
        </w:tc>
      </w:tr>
      <w:tr w:rsidR="004B44CA" w14:paraId="5E75FADC" w14:textId="77777777" w:rsidTr="0083332B">
        <w:trPr>
          <w:trHeight w:val="1827"/>
        </w:trPr>
        <w:tc>
          <w:tcPr>
            <w:tcW w:w="2798" w:type="dxa"/>
            <w:shd w:val="clear" w:color="auto" w:fill="F2F2F2" w:themeFill="background1" w:themeFillShade="F2"/>
            <w:vAlign w:val="center"/>
          </w:tcPr>
          <w:p w14:paraId="3C921898" w14:textId="75F857C5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Development of an AD5933-based impedance calibration and measurement technology</w:t>
            </w:r>
          </w:p>
        </w:tc>
        <w:tc>
          <w:tcPr>
            <w:tcW w:w="2798" w:type="dxa"/>
            <w:shd w:val="clear" w:color="auto" w:fill="F2F2F2" w:themeFill="background1" w:themeFillShade="F2"/>
            <w:vAlign w:val="center"/>
          </w:tcPr>
          <w:p w14:paraId="2195327D" w14:textId="4B8F2090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Melhorar medição para monitoramento estrutural com auto-calibração</w:t>
            </w:r>
          </w:p>
        </w:tc>
        <w:tc>
          <w:tcPr>
            <w:tcW w:w="2798" w:type="dxa"/>
            <w:shd w:val="clear" w:color="auto" w:fill="F2F2F2" w:themeFill="background1" w:themeFillShade="F2"/>
            <w:vAlign w:val="center"/>
          </w:tcPr>
          <w:p w14:paraId="5E736808" w14:textId="6640866D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Técnica EMI com sensores piezoelétricos, seleção automática de parâmetros, análise por DFT</w:t>
            </w:r>
          </w:p>
        </w:tc>
        <w:tc>
          <w:tcPr>
            <w:tcW w:w="2941" w:type="dxa"/>
            <w:shd w:val="clear" w:color="auto" w:fill="F2F2F2" w:themeFill="background1" w:themeFillShade="F2"/>
            <w:vAlign w:val="center"/>
          </w:tcPr>
          <w:p w14:paraId="058CDE8B" w14:textId="19DB91F9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Ajuste automático de RFB, ganho e fator GF; uso de DFT interno; múltiplas frequências</w:t>
            </w:r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3A7034DE" w14:textId="376BD07C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Forte dependência de calibração; requer instrumento externo; sensível à escolha de parâmetros; descontinuidade de dados</w:t>
            </w:r>
          </w:p>
        </w:tc>
      </w:tr>
      <w:tr w:rsidR="004B44CA" w14:paraId="3B356C4A" w14:textId="77777777" w:rsidTr="004B44CA">
        <w:trPr>
          <w:trHeight w:val="1833"/>
        </w:trPr>
        <w:tc>
          <w:tcPr>
            <w:tcW w:w="2798" w:type="dxa"/>
            <w:vAlign w:val="center"/>
          </w:tcPr>
          <w:p w14:paraId="14AC569B" w14:textId="534C1ED2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Simple-Z: A Low-Cost Portable Impedance Analyzer</w:t>
            </w:r>
          </w:p>
        </w:tc>
        <w:tc>
          <w:tcPr>
            <w:tcW w:w="2798" w:type="dxa"/>
            <w:vAlign w:val="center"/>
          </w:tcPr>
          <w:p w14:paraId="735ABE5B" w14:textId="4CE10216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Desenvolver analisador portátil de baixo custo (~US$100)</w:t>
            </w:r>
          </w:p>
        </w:tc>
        <w:tc>
          <w:tcPr>
            <w:tcW w:w="2798" w:type="dxa"/>
            <w:vAlign w:val="center"/>
          </w:tcPr>
          <w:p w14:paraId="7BAC7B52" w14:textId="54720167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AD5933 com circuitos externos (amplificação, multiplexação), GUI para controle, processamento digital</w:t>
            </w:r>
          </w:p>
        </w:tc>
        <w:tc>
          <w:tcPr>
            <w:tcW w:w="2941" w:type="dxa"/>
            <w:vAlign w:val="center"/>
          </w:tcPr>
          <w:p w14:paraId="70434019" w14:textId="00F2C582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Frequência até ~100 kHz; impedância: ~100 Ω a </w:t>
            </w:r>
            <w:r w:rsidR="00762036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MΩ; ajuste de amplitude (10 mV–1 V); múltiplos RFB</w:t>
            </w:r>
          </w:p>
        </w:tc>
        <w:tc>
          <w:tcPr>
            <w:tcW w:w="4111" w:type="dxa"/>
            <w:vAlign w:val="center"/>
          </w:tcPr>
          <w:p w14:paraId="58893ECE" w14:textId="3E29F96B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Limitações nativas (amplitude e faixa); necessidade de hardware adicional; limitação do ADC; calibração obrigatória</w:t>
            </w:r>
          </w:p>
        </w:tc>
      </w:tr>
      <w:tr w:rsidR="004B44CA" w14:paraId="58A7E1D2" w14:textId="77777777" w:rsidTr="004B44CA">
        <w:trPr>
          <w:trHeight w:val="1972"/>
        </w:trPr>
        <w:tc>
          <w:tcPr>
            <w:tcW w:w="2798" w:type="dxa"/>
            <w:shd w:val="clear" w:color="auto" w:fill="CAEDFB" w:themeFill="accent4" w:themeFillTint="33"/>
            <w:vAlign w:val="center"/>
          </w:tcPr>
          <w:p w14:paraId="6DC34939" w14:textId="2A473AAD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Portable impedance tomography system based on AD5933</w:t>
            </w:r>
          </w:p>
        </w:tc>
        <w:tc>
          <w:tcPr>
            <w:tcW w:w="2798" w:type="dxa"/>
            <w:shd w:val="clear" w:color="auto" w:fill="CAEDFB" w:themeFill="accent4" w:themeFillTint="33"/>
            <w:vAlign w:val="center"/>
          </w:tcPr>
          <w:p w14:paraId="39CEC8D9" w14:textId="6F19F4A9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Sistema de tomografia por impedância multicanal</w:t>
            </w:r>
          </w:p>
        </w:tc>
        <w:tc>
          <w:tcPr>
            <w:tcW w:w="2798" w:type="dxa"/>
            <w:shd w:val="clear" w:color="auto" w:fill="CAEDFB" w:themeFill="accent4" w:themeFillTint="33"/>
            <w:vAlign w:val="center"/>
          </w:tcPr>
          <w:p w14:paraId="6837F3AE" w14:textId="34ACA549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Multiplexação de eletrodos, varredura de frequência, reconstrução de imagem</w:t>
            </w:r>
          </w:p>
        </w:tc>
        <w:tc>
          <w:tcPr>
            <w:tcW w:w="2941" w:type="dxa"/>
            <w:shd w:val="clear" w:color="auto" w:fill="CAEDFB" w:themeFill="accent4" w:themeFillTint="33"/>
            <w:vAlign w:val="center"/>
          </w:tcPr>
          <w:p w14:paraId="74EB23FD" w14:textId="7F313324" w:rsidR="004B44CA" w:rsidRPr="0083332B" w:rsidRDefault="004B44CA" w:rsidP="004B44CA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Sistema multi-canais (ex: 8); matrizes de impedância; aquisição sequencial</w:t>
            </w:r>
          </w:p>
        </w:tc>
        <w:tc>
          <w:tcPr>
            <w:tcW w:w="4111" w:type="dxa"/>
            <w:shd w:val="clear" w:color="auto" w:fill="CAEDFB" w:themeFill="accent4" w:themeFillTint="33"/>
            <w:vAlign w:val="center"/>
          </w:tcPr>
          <w:p w14:paraId="48FDB638" w14:textId="77777777" w:rsidR="004B44CA" w:rsidRPr="0083332B" w:rsidRDefault="004B44CA" w:rsidP="004B44CA">
            <w:pPr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83332B"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  <w:t>Não suporta multicanal nativo; baixa velocidade; sensível a ruído; resolução limitada para imagem</w:t>
            </w:r>
          </w:p>
          <w:p w14:paraId="00F8EF9B" w14:textId="77777777" w:rsidR="0083332B" w:rsidRPr="0083332B" w:rsidRDefault="0083332B" w:rsidP="0083332B">
            <w:pPr>
              <w:rPr>
                <w:rFonts w:asciiTheme="majorHAnsi" w:eastAsia="Times New Roman" w:hAnsiTheme="majorHAnsi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108CBCC3" w14:textId="6B524593" w:rsidR="0083332B" w:rsidRPr="0083332B" w:rsidRDefault="0083332B" w:rsidP="0083332B">
            <w:pPr>
              <w:rPr>
                <w:rFonts w:asciiTheme="majorHAnsi" w:hAnsiTheme="majorHAnsi" w:cs="Arial"/>
                <w:sz w:val="20"/>
                <w:szCs w:val="20"/>
              </w:rPr>
            </w:pPr>
          </w:p>
        </w:tc>
      </w:tr>
    </w:tbl>
    <w:p w14:paraId="68CB3F75" w14:textId="77777777" w:rsidR="004B44CA" w:rsidRDefault="004B44CA" w:rsidP="0083332B"/>
    <w:sectPr w:rsidR="004B44CA" w:rsidSect="004B44CA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CF0"/>
    <w:rsid w:val="000B6C3A"/>
    <w:rsid w:val="00177CF0"/>
    <w:rsid w:val="004B44CA"/>
    <w:rsid w:val="00762036"/>
    <w:rsid w:val="0083332B"/>
    <w:rsid w:val="00BA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4F042"/>
  <w15:chartTrackingRefBased/>
  <w15:docId w15:val="{3154A6D2-8A95-4C05-9820-838005882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7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7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7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7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7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7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7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7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7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7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7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7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7C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7C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7C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7C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7C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7C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7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7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7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7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7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7C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7C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7C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7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7C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7CF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B4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347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Fiergs</Company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Moraes de Mattos</dc:creator>
  <cp:keywords/>
  <dc:description/>
  <cp:lastModifiedBy>Pablo Moraes de Mattos</cp:lastModifiedBy>
  <cp:revision>2</cp:revision>
  <dcterms:created xsi:type="dcterms:W3CDTF">2026-05-06T17:55:00Z</dcterms:created>
  <dcterms:modified xsi:type="dcterms:W3CDTF">2026-05-07T01:23:00Z</dcterms:modified>
</cp:coreProperties>
</file>