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b/>
          <w:bCs/>
          <w:color w:val="1B2A4A"/>
          <w:sz w:val="52"/>
          <w:szCs w:val="52"/>
        </w:rPr>
        <w:t xml:space="preserve">PUNY 2026 INTEGRAL</w:t>
      </w:r>
    </w:p>
    <w:p>
      <w:pPr>
        <w:spacing w:after="120" w:before="120"/>
      </w:pPr>
      <w:r>
        <w:rPr>
          <w:b/>
          <w:bCs/>
          <w:color w:val="7A5C0A"/>
          <w:sz w:val="34"/>
          <w:szCs w:val="34"/>
        </w:rPr>
        <w:t xml:space="preserve">Especificación Funcional, Arquitectura de Datos y UX</w:t>
      </w:r>
    </w:p>
    <w:p>
      <w:pPr>
        <w:spacing w:after="600"/>
      </w:pPr>
      <w:r>
        <w:rPr>
          <w:color w:val="666666"/>
          <w:sz w:val="26"/>
          <w:szCs w:val="26"/>
        </w:rPr>
        <w:t xml:space="preserve">Credenciales: Usuario Maestro y Usuario Dueño</w:t>
      </w:r>
    </w:p>
    <w:p>
      <w:r>
        <w:rPr>
          <w:color w:val="666666"/>
          <w:sz w:val="19"/>
          <w:szCs w:val="19"/>
        </w:rPr>
        <w:t xml:space="preserve">Preparado por: Claude (Asistente de Pablo Mugherli)</w:t>
      </w:r>
    </w:p>
    <w:p>
      <w:r>
        <w:rPr>
          <w:color w:val="666666"/>
          <w:sz w:val="19"/>
          <w:szCs w:val="19"/>
        </w:rPr>
        <w:t xml:space="preserve">Fecha: 20 de agosto de 2026</w:t>
      </w:r>
    </w:p>
    <w:p>
      <w:r>
        <w:rPr>
          <w:color w:val="666666"/>
          <w:sz w:val="19"/>
          <w:szCs w:val="19"/>
        </w:rPr>
        <w:t xml:space="preserve">Sistema base: PUNY 2026 INTEGRAL — Next.js 14 (export estático) + Supabase + Netlify</w:t>
      </w:r>
    </w:p>
    <w:p>
      <w:r>
        <w:br w:type="page"/>
      </w:r>
    </w:p>
    <w:p>
      <w:pPr>
        <w:pStyle w:val="Heading1"/>
        <w:spacing w:after="160" w:before="360"/>
      </w:pPr>
      <w:r>
        <w:t xml:space="preserve">1. Resumen ejecutivo</w:t>
      </w:r>
    </w:p>
    <w:p>
      <w:pPr>
        <w:spacing w:after="140"/>
      </w:pPr>
      <w:r>
        <w:rPr>
          <w:sz w:val="21"/>
          <w:szCs w:val="21"/>
        </w:rPr>
        <w:t xml:space="preserve">Este documento reformula y estructura, con criterio de Arquitecto de Software Senior y Diseñador UX/UI, las especificaciones funcionales, la arquitectura de datos y la experiencia de usuario para dos credenciales del sistema PUNY 2026 INTEGRAL: Usuario Maestro (super-admin global del SaaS) y Usuario Dueño (admin de cada distribuidora / tenant).</w:t>
      </w:r>
    </w:p>
    <w:p>
      <w:pPr>
        <w:spacing w:after="140"/>
      </w:pPr>
      <w:r>
        <w:rPr>
          <w:sz w:val="21"/>
          <w:szCs w:val="21"/>
        </w:rPr>
        <w:t xml:space="preserve">A diferencia de un diseño en blanco, esta reformulación parte de un sistema en producción: se auditó el código actual (paneles, tablas de base de datos, RLS, roles) para cada requerimiento pedido, y cada punto queda etiquetado con su estado real.</w:t>
      </w:r>
    </w:p>
    <w:p>
      <w:pPr>
        <w:pStyle w:val="Heading3"/>
        <w:spacing w:after="100" w:before="220"/>
      </w:pPr>
      <w:r>
        <w:t xml:space="preserve">Convención de estados usada en todo el documento</w:t>
      </w:r>
    </w:p>
    <w:p>
      <w:pPr>
        <w:spacing w:after="100"/>
      </w:pPr>
      <w:r>
        <w:rPr>
          <w:b/>
          <w:bCs/>
          <w:color w:val="2E7D32"/>
          <w:sz w:val="19"/>
          <w:szCs w:val="19"/>
        </w:rPr>
        <w:t xml:space="preserve">[EXISTE]  </w:t>
      </w:r>
      <w:r>
        <w:rPr>
          <w:sz w:val="21"/>
          <w:szCs w:val="21"/>
        </w:rPr>
        <w:t xml:space="preserve">— ya está implementado y desplegado en producción tal como se pide.</w:t>
      </w:r>
    </w:p>
    <w:p>
      <w:pPr>
        <w:spacing w:after="100"/>
      </w:pPr>
      <w:r>
        <w:rPr>
          <w:b/>
          <w:bCs/>
          <w:color w:val="B8860B"/>
          <w:sz w:val="19"/>
          <w:szCs w:val="19"/>
        </w:rPr>
        <w:t xml:space="preserve">[AMPLIAR]  </w:t>
      </w:r>
      <w:r>
        <w:rPr>
          <w:sz w:val="21"/>
          <w:szCs w:val="21"/>
        </w:rPr>
        <w:t xml:space="preserve">— existe una base funcional relacionada, pero no cubre el requerimiento completo; se detalla la brecha puntual.</w:t>
      </w:r>
    </w:p>
    <w:p>
      <w:pPr>
        <w:spacing w:after="100"/>
      </w:pPr>
      <w:r>
        <w:rPr>
          <w:b/>
          <w:bCs/>
          <w:color w:val="9C2B2B"/>
          <w:sz w:val="19"/>
          <w:szCs w:val="19"/>
        </w:rPr>
        <w:t xml:space="preserve">[NUEVO]  </w:t>
      </w:r>
      <w:r>
        <w:rPr>
          <w:sz w:val="21"/>
          <w:szCs w:val="21"/>
        </w:rPr>
        <w:t xml:space="preserve">— no existe ninguna base; requiere modelo de datos y pantalla desde cero.</w:t>
      </w:r>
    </w:p>
    <w:p>
      <w:pPr>
        <w:spacing w:after="100"/>
      </w:pPr>
      <w:r>
        <w:rPr>
          <w:b/>
          <w:bCs/>
          <w:color w:val="9C2B2B"/>
          <w:sz w:val="19"/>
          <w:szCs w:val="19"/>
        </w:rPr>
        <w:t xml:space="preserve">[RIESGO]  </w:t>
      </w:r>
      <w:r>
        <w:rPr>
          <w:sz w:val="21"/>
          <w:szCs w:val="21"/>
        </w:rPr>
        <w:t xml:space="preserve">— el requerimiento, tal como está redactado, tiene una implicancia de seguridad u operativa que conviene resolver antes de construirlo.</w:t>
      </w:r>
    </w:p>
    <w:p>
      <w:pPr>
        <w:spacing w:after="140"/>
      </w:pPr>
      <w:r>
        <w:rPr>
          <w:sz w:val="21"/>
          <w:szCs w:val="21"/>
        </w:rPr>
        <w:t xml:space="preserve">El detalle de arquitectura de datos (tablas, campos) se da únicamente para lo etiquetado AMPLIAR o NUEVO. Lo etiquetado EXISTE ya tiene su modelo de datos estable en producción y no se reformula acá para no introducir inconsistencias con lo que ya funciona.</w:t>
      </w:r>
    </w:p>
    <w:p>
      <w:pPr>
        <w:pStyle w:val="Heading1"/>
        <w:spacing w:after="160" w:before="360"/>
      </w:pPr>
      <w:r>
        <w:t xml:space="preserve">2. Arquitectura general (contexto)</w:t>
      </w:r>
    </w:p>
    <w:p>
      <w:pPr>
        <w:spacing w:after="100"/>
      </w:pPr>
      <w:r>
        <w:rPr>
          <w:b/>
          <w:bCs/>
          <w:color w:val="2E7D32"/>
          <w:sz w:val="19"/>
          <w:szCs w:val="19"/>
        </w:rPr>
        <w:t xml:space="preserve">[EXISTE]  </w:t>
      </w:r>
      <w:r>
        <w:rPr>
          <w:sz w:val="21"/>
          <w:szCs w:val="21"/>
        </w:rPr>
        <w:t xml:space="preserve">Modelo multi-tenant: tabla tenants (una fila por distribuidora) + tenant_id en todas las tablas de negocio + Row-Level Security (RLS) en Supabase/Postgres, que aísla los datos de cada distribuidora a nivel de base de datos, no solo de interfaz.</w:t>
      </w:r>
    </w:p>
    <w:p>
      <w:pPr>
        <w:spacing w:after="100"/>
      </w:pPr>
      <w:r>
        <w:rPr>
          <w:b/>
          <w:bCs/>
          <w:color w:val="2E7D32"/>
          <w:sz w:val="19"/>
          <w:szCs w:val="19"/>
        </w:rPr>
        <w:t xml:space="preserve">[EXISTE]  </w:t>
      </w:r>
      <w:r>
        <w:rPr>
          <w:sz w:val="21"/>
          <w:szCs w:val="21"/>
        </w:rPr>
        <w:t xml:space="preserve">RBAC dinámico: catalogo_permisos (catálogo de permisos con módulo asociado), rol_permisos_default (plantilla por rol), usuario_permisos (excepciones por usuario), función SQL tengo_permiso(), consumido en el cliente vía useAuth().permisos. El Dueño da de alta usuarios de su distribuidora y les asigna permisos finos sin tocar código.</w:t>
      </w:r>
    </w:p>
    <w:p>
      <w:pPr>
        <w:spacing w:after="140"/>
      </w:pPr>
      <w:r>
        <w:rPr>
          <w:sz w:val="21"/>
          <w:szCs w:val="21"/>
        </w:rPr>
        <w:t xml:space="preserve">Master no tiene tenant_id: opera fuera del aislamiento multi-tenant, con su propia tabla y su propia Edge Function (master-cuentas) para las acciones administrativas sobre distribuidoras, evitando que su credencial tenga, aunque sea por error, visibilidad de pedidos/clientes de ningún tenant.</w:t>
      </w:r>
    </w:p>
    <w:p>
      <w:pPr>
        <w:pStyle w:val="Heading1"/>
        <w:spacing w:after="160" w:before="360"/>
      </w:pPr>
      <w:r>
        <w:t xml:space="preserve">3. Credencial: Usuario Maestro (Super Admin Global)</w:t>
      </w:r>
    </w:p>
    <w:p>
      <w:pPr>
        <w:pStyle w:val="Heading2"/>
        <w:spacing w:after="140" w:before="280"/>
      </w:pPr>
      <w:r>
        <w:t xml:space="preserve">3.1 Concepto y alcance</w:t>
      </w:r>
    </w:p>
    <w:p>
      <w:pPr>
        <w:spacing w:after="100"/>
      </w:pPr>
      <w:r>
        <w:rPr>
          <w:b/>
          <w:bCs/>
          <w:color w:val="2E7D32"/>
          <w:sz w:val="19"/>
          <w:szCs w:val="19"/>
        </w:rPr>
        <w:t xml:space="preserve">[EXISTE]  </w:t>
      </w:r>
      <w:r>
        <w:rPr>
          <w:sz w:val="21"/>
          <w:szCs w:val="21"/>
        </w:rPr>
        <w:t xml:space="preserve">Pantalla única en /dashboard/master, orientada exclusivamente a gestión de cuenta y licenciamiento de cada distribuidora — sin acceso a pedidos, clientes, stock ni usuarios operativos de ningún tenant. Esta restricción es deliberada (evita que el proveedor del SaaS tenga visibilidad del negocio de sus clientes) y se mantiene en esta reformulación.</w:t>
      </w:r>
    </w:p>
    <w:p>
      <w:pPr>
        <w:pStyle w:val="Heading2"/>
        <w:spacing w:after="140" w:before="280"/>
      </w:pPr>
      <w:r>
        <w:t xml:space="preserve">3.2 Arquitectura de datos</w:t>
      </w:r>
    </w:p>
    <w:p>
      <w:pPr>
        <w:spacing w:after="80" w:before="180"/>
      </w:pPr>
      <w:r>
        <w:rPr>
          <w:b/>
          <w:bCs/>
          <w:color w:val="1B2A4A"/>
          <w:sz w:val="21"/>
          <w:szCs w:val="21"/>
        </w:rPr>
        <w:t xml:space="preserve">Existente — tabla tenants (columnas relevantes a licenciamiento)</w:t>
      </w:r>
    </w:p>
    <w:p>
      <w:pPr>
        <w:pStyle w:val="ListParagraph"/>
        <w:numPr>
          <w:ilvl w:val="0"/>
          <w:numId w:val="2"/>
        </w:numPr>
        <w:spacing w:after="60"/>
      </w:pPr>
      <w:r>
        <w:t xml:space="preserve">nombre, slug, estado (activo / pausado / suspendido)</w:t>
      </w:r>
    </w:p>
    <w:p>
      <w:pPr>
        <w:pStyle w:val="ListParagraph"/>
        <w:numPr>
          <w:ilvl w:val="0"/>
          <w:numId w:val="2"/>
        </w:numPr>
        <w:spacing w:after="60"/>
      </w:pPr>
      <w:r>
        <w:t xml:space="preserve">esquema_cobro (abono_mensual / pago_unico), monto_licencia, moneda</w:t>
      </w:r>
    </w:p>
    <w:p>
      <w:pPr>
        <w:pStyle w:val="ListParagraph"/>
        <w:numPr>
          <w:ilvl w:val="0"/>
          <w:numId w:val="2"/>
        </w:numPr>
        <w:spacing w:after="60"/>
      </w:pPr>
      <w:r>
        <w:t xml:space="preserve">dia_vencimiento_mensual (para abono mensual) o plan_vencimiento (fecha fija, para pago único)</w:t>
      </w:r>
    </w:p>
    <w:p>
      <w:pPr>
        <w:pStyle w:val="ListParagraph"/>
        <w:numPr>
          <w:ilvl w:val="0"/>
          <w:numId w:val="2"/>
        </w:numPr>
        <w:spacing w:after="60"/>
      </w:pPr>
      <w:r>
        <w:t xml:space="preserve">proximo_aumento_monto, proximo_aumento_vigencia (aviso de aumento con 30 días de anticipación)</w:t>
      </w:r>
    </w:p>
    <w:p>
      <w:pPr>
        <w:spacing w:after="80" w:before="180"/>
      </w:pPr>
      <w:r>
        <w:rPr>
          <w:b/>
          <w:bCs/>
          <w:color w:val="1B2A4A"/>
          <w:sz w:val="21"/>
          <w:szCs w:val="21"/>
        </w:rPr>
        <w:t xml:space="preserve">Nueva — pagos_licencia  [NUEVO]</w:t>
      </w:r>
    </w:p>
    <w:p>
      <w:pPr>
        <w:spacing w:after="140"/>
      </w:pPr>
      <w:r>
        <w:rPr>
          <w:sz w:val="21"/>
          <w:szCs w:val="21"/>
        </w:rPr>
        <w:t xml:space="preserve">Hoy el sistema calcula el próximo vencimiento matemáticamente (lib/licencia.ts), pero no registra el historial de pagos efectivamente recibidos. Esta tabla lo resuelve:</w:t>
      </w:r>
    </w:p>
    <w:p>
      <w:pPr>
        <w:pStyle w:val="ListParagraph"/>
        <w:numPr>
          <w:ilvl w:val="0"/>
          <w:numId w:val="2"/>
        </w:numPr>
        <w:spacing w:after="60"/>
      </w:pPr>
      <w:r>
        <w:t xml:space="preserve">id, tenant_id, fecha_pago, monto, moneda, periodo_cubierto (ej. "2026-09"), registrado_por (usuario Master), notas</w:t>
      </w:r>
    </w:p>
    <w:p>
      <w:pPr>
        <w:spacing w:after="140"/>
      </w:pPr>
      <w:r>
        <w:rPr>
          <w:sz w:val="21"/>
          <w:szCs w:val="21"/>
        </w:rPr>
        <w:t xml:space="preserve">El botón "Marcar pago recibido" del checklist inserta una fila acá; el listado de distribuidoras muestra el último pago y el historial completo queda disponible por distribuidora.</w:t>
      </w:r>
    </w:p>
    <w:p>
      <w:pPr>
        <w:spacing w:after="80" w:before="180"/>
      </w:pPr>
      <w:r>
        <w:rPr>
          <w:b/>
          <w:bCs/>
          <w:color w:val="1B2A4A"/>
          <w:sz w:val="21"/>
          <w:szCs w:val="21"/>
        </w:rPr>
        <w:t xml:space="preserve">Nueva — avisos_master  [NUEVO]</w:t>
      </w:r>
    </w:p>
    <w:p>
      <w:pPr>
        <w:pStyle w:val="ListParagraph"/>
        <w:numPr>
          <w:ilvl w:val="0"/>
          <w:numId w:val="2"/>
        </w:numPr>
        <w:spacing w:after="60"/>
      </w:pPr>
      <w:r>
        <w:t xml:space="preserve">id, creado_por, destinatarios (todos / lista de tenant_id), titulo, mensaje, tipo (info / advertencia / urgente), fecha_envio, expira_en</w:t>
      </w:r>
    </w:p>
    <w:p>
      <w:pPr>
        <w:pStyle w:val="ListParagraph"/>
        <w:numPr>
          <w:ilvl w:val="0"/>
          <w:numId w:val="2"/>
        </w:numPr>
        <w:spacing w:after="60"/>
      </w:pPr>
      <w:r>
        <w:t xml:space="preserve">avisos_master_lecturas: aviso_id, tenant_id, profile_id, leido_en — para saber quién ya vio el modal y poder dejar de mostrarlo</w:t>
      </w:r>
    </w:p>
    <w:p>
      <w:pPr>
        <w:spacing w:after="80" w:before="180"/>
      </w:pPr>
      <w:r>
        <w:rPr>
          <w:b/>
          <w:bCs/>
          <w:color w:val="1B2A4A"/>
          <w:sz w:val="21"/>
          <w:szCs w:val="21"/>
        </w:rPr>
        <w:t xml:space="preserve">Ampliar — mantenimiento_ejecuciones  [AMPLIAR]</w:t>
      </w:r>
    </w:p>
    <w:p>
      <w:pPr>
        <w:spacing w:after="140"/>
      </w:pPr>
      <w:r>
        <w:rPr>
          <w:sz w:val="21"/>
          <w:szCs w:val="21"/>
        </w:rPr>
        <w:t xml:space="preserve">Ya existe una tarea programada diaria de backup y health-check (ver Fase de Monitoreo de meses anteriores). Se amplía para dejar registro estructurado de cada corrida:</w:t>
      </w:r>
    </w:p>
    <w:p>
      <w:pPr>
        <w:pStyle w:val="ListParagraph"/>
        <w:numPr>
          <w:ilvl w:val="0"/>
          <w:numId w:val="2"/>
        </w:numPr>
        <w:spacing w:after="60"/>
      </w:pPr>
      <w:r>
        <w:t xml:space="preserve">id, fecha, tipo (health_check / auditoria_licencias / backup / deploy), resultado (ok / error), detalle, duracion_ms</w:t>
      </w:r>
    </w:p>
    <w:p>
      <w:pPr>
        <w:pStyle w:val="Heading2"/>
        <w:spacing w:after="140" w:before="280"/>
      </w:pPr>
      <w:r>
        <w:t xml:space="preserve">3.3 Especificación funcional</w:t>
      </w:r>
    </w:p>
    <w:p>
      <w:pPr>
        <w:pStyle w:val="Heading3"/>
        <w:spacing w:after="100" w:before="220"/>
      </w:pPr>
      <w:r>
        <w:t xml:space="preserve">a) Gestión e inspección de licencias</w:t>
      </w:r>
    </w:p>
    <w:p>
      <w:pPr>
        <w:pStyle w:val="ListParagraph"/>
        <w:numPr>
          <w:ilvl w:val="0"/>
          <w:numId w:val="2"/>
        </w:numPr>
        <w:spacing w:after="80"/>
      </w:pPr>
      <w:r>
        <w:rPr>
          <w:b/>
          <w:bCs/>
          <w:color w:val="2E7D32"/>
          <w:sz w:val="19"/>
          <w:szCs w:val="19"/>
        </w:rPr>
        <w:t xml:space="preserve">[EXISTE]  </w:t>
      </w:r>
      <w:r>
        <w:rPr>
          <w:sz w:val="21"/>
          <w:szCs w:val="21"/>
        </w:rPr>
        <w:t xml:space="preserve">Listado unificado de distribuidoras con nombre/razón social, estado, esquema y monto de licencia, y fecha de vencimiento (tabla en /dashboard/master).</w:t>
      </w:r>
    </w:p>
    <w:p>
      <w:pPr>
        <w:pStyle w:val="ListParagraph"/>
        <w:numPr>
          <w:ilvl w:val="0"/>
          <w:numId w:val="2"/>
        </w:numPr>
        <w:spacing w:after="80"/>
      </w:pPr>
      <w:r>
        <w:rPr>
          <w:b/>
          <w:bCs/>
          <w:color w:val="9C2B2B"/>
          <w:sz w:val="19"/>
          <w:szCs w:val="19"/>
        </w:rPr>
        <w:t xml:space="preserve">[NUEVO]  </w:t>
      </w:r>
      <w:r>
        <w:rPr>
          <w:sz w:val="21"/>
          <w:szCs w:val="21"/>
        </w:rPr>
        <w:t xml:space="preserve">Checklist de confirmación manual de pago: botón por fila "Marcar pago recibido" → abre un mini-formulario (monto, período cubierto, fecha) → inserta en pagos_licencia → recalcula el vencimiento visible.</w:t>
      </w:r>
    </w:p>
    <w:p>
      <w:pPr>
        <w:pStyle w:val="ListParagraph"/>
        <w:numPr>
          <w:ilvl w:val="0"/>
          <w:numId w:val="2"/>
        </w:numPr>
        <w:spacing w:after="80"/>
      </w:pPr>
      <w:r>
        <w:rPr>
          <w:b/>
          <w:bCs/>
          <w:color w:val="9C2B2B"/>
          <w:sz w:val="19"/>
          <w:szCs w:val="19"/>
        </w:rPr>
        <w:t xml:space="preserve">[NUEVO]  </w:t>
      </w:r>
      <w:r>
        <w:rPr>
          <w:sz w:val="21"/>
          <w:szCs w:val="21"/>
        </w:rPr>
        <w:t xml:space="preserve">Historial de fechas de cobro por distribuidora: al expandir la fila (ya existe el patrón "Gestionar" expandible), agregar una sub-tabla con todos los pagos registrados en pagos_licencia.</w:t>
      </w:r>
    </w:p>
    <w:p>
      <w:pPr>
        <w:pStyle w:val="Heading3"/>
        <w:spacing w:after="100" w:before="220"/>
      </w:pPr>
      <w:r>
        <w:t xml:space="preserve">b) Alta y administración de credenciales</w:t>
      </w:r>
    </w:p>
    <w:p>
      <w:pPr>
        <w:pStyle w:val="ListParagraph"/>
        <w:numPr>
          <w:ilvl w:val="0"/>
          <w:numId w:val="2"/>
        </w:numPr>
        <w:spacing w:after="80"/>
      </w:pPr>
      <w:r>
        <w:rPr>
          <w:b/>
          <w:bCs/>
          <w:color w:val="2E7D32"/>
          <w:sz w:val="19"/>
          <w:szCs w:val="19"/>
        </w:rPr>
        <w:t xml:space="preserve">[EXISTE]  </w:t>
      </w:r>
      <w:r>
        <w:rPr>
          <w:sz w:val="21"/>
          <w:szCs w:val="21"/>
        </w:rPr>
        <w:t xml:space="preserve">Generador de licencias: formulario de alta con nombre, slug, email del Dueño y contraseña provisoria, vía Edge Function master-cuentas → crear_distribuidora. Hoy la contraseña se muestra en pantalla para que Master se la entregue manualmente.</w:t>
      </w:r>
    </w:p>
    <w:p>
      <w:pPr>
        <w:pStyle w:val="ListParagraph"/>
        <w:numPr>
          <w:ilvl w:val="0"/>
          <w:numId w:val="2"/>
        </w:numPr>
        <w:spacing w:after="80"/>
      </w:pPr>
      <w:r>
        <w:rPr>
          <w:b/>
          <w:bCs/>
          <w:color w:val="9C2B2B"/>
          <w:sz w:val="19"/>
          <w:szCs w:val="19"/>
        </w:rPr>
        <w:t xml:space="preserve">[NUEVO]  </w:t>
      </w:r>
      <w:r>
        <w:rPr>
          <w:sz w:val="21"/>
          <w:szCs w:val="21"/>
        </w:rPr>
        <w:t xml:space="preserve">Autogestión de clave por email: en vez de (o además de) mostrar la contraseña en pantalla, disparar un email automático al Dueño con un link de invitación de Supabase Auth (magic link / recovery link) para que fije su propia contraseña en el primer ingreso. Requiere tener un proveedor de email transaccional configurado (hoy el sistema no envía emails salientes propios, solo WhatsApp).</w:t>
      </w:r>
    </w:p>
    <w:p>
      <w:pPr>
        <w:pStyle w:val="ListParagraph"/>
        <w:numPr>
          <w:ilvl w:val="0"/>
          <w:numId w:val="2"/>
        </w:numPr>
        <w:spacing w:after="80"/>
      </w:pPr>
      <w:r>
        <w:rPr>
          <w:b/>
          <w:bCs/>
          <w:color w:val="2E7D32"/>
          <w:sz w:val="19"/>
          <w:szCs w:val="19"/>
        </w:rPr>
        <w:t xml:space="preserve">[EXISTE]  </w:t>
      </w:r>
      <w:r>
        <w:rPr>
          <w:sz w:val="21"/>
          <w:szCs w:val="21"/>
        </w:rPr>
        <w:t xml:space="preserve">Blanqueo/reseteo manual de contraseña por Master: ya implementado (botón "Restablecer" por distribuidora, vía resetear_password_dueno).</w:t>
      </w:r>
    </w:p>
    <w:p>
      <w:pPr>
        <w:pStyle w:val="Heading3"/>
        <w:spacing w:after="100" w:before="220"/>
      </w:pPr>
      <w:r>
        <w:t xml:space="preserve">c) Centro de notificaciones y alertas globales</w:t>
      </w:r>
    </w:p>
    <w:p>
      <w:pPr>
        <w:pStyle w:val="ListParagraph"/>
        <w:numPr>
          <w:ilvl w:val="0"/>
          <w:numId w:val="2"/>
        </w:numPr>
        <w:spacing w:after="80"/>
      </w:pPr>
      <w:r>
        <w:rPr>
          <w:b/>
          <w:bCs/>
          <w:color w:val="B8860B"/>
          <w:sz w:val="19"/>
          <w:szCs w:val="19"/>
        </w:rPr>
        <w:t xml:space="preserve">[AMPLIAR]  </w:t>
      </w:r>
      <w:r>
        <w:rPr>
          <w:sz w:val="21"/>
          <w:szCs w:val="21"/>
        </w:rPr>
        <w:t xml:space="preserve">Alertas de vencimiento e impago: hoy el Dueño ve su propia alerta (componente AlertaLicencia) calculada en el cliente; falta el espejo del lado de Master — una vista consolidada "Licencias por vencer esta semana / impagas" en la portada de /dashboard/master, calculada server-side sobre todos los tenants.</w:t>
      </w:r>
    </w:p>
    <w:p>
      <w:pPr>
        <w:pStyle w:val="ListParagraph"/>
        <w:numPr>
          <w:ilvl w:val="0"/>
          <w:numId w:val="2"/>
        </w:numPr>
        <w:spacing w:after="80"/>
      </w:pPr>
      <w:r>
        <w:rPr>
          <w:b/>
          <w:bCs/>
          <w:color w:val="9C2B2B"/>
          <w:sz w:val="19"/>
          <w:szCs w:val="19"/>
        </w:rPr>
        <w:t xml:space="preserve">[NUEVO]  </w:t>
      </w:r>
      <w:r>
        <w:rPr>
          <w:sz w:val="21"/>
          <w:szCs w:val="21"/>
        </w:rPr>
        <w:t xml:space="preserve">Mensajería masiva o selectiva: formulario en el panel Master (destinatarios: todos / selección de distribuidoras, título, mensaje, tipo) que inserta en avisos_master.</w:t>
      </w:r>
    </w:p>
    <w:p>
      <w:pPr>
        <w:pStyle w:val="ListParagraph"/>
        <w:numPr>
          <w:ilvl w:val="0"/>
          <w:numId w:val="2"/>
        </w:numPr>
        <w:spacing w:after="80"/>
      </w:pPr>
      <w:r>
        <w:rPr>
          <w:b/>
          <w:bCs/>
          <w:color w:val="9C2B2B"/>
          <w:sz w:val="19"/>
          <w:szCs w:val="19"/>
        </w:rPr>
        <w:t xml:space="preserve">[NUEVO]  </w:t>
      </w:r>
      <w:r>
        <w:rPr>
          <w:sz w:val="21"/>
          <w:szCs w:val="21"/>
        </w:rPr>
        <w:t xml:space="preserve">Modal overlay en pantalla del Dueño: al iniciar sesión (o vía polling liviano), el layout del Dueño consulta avisos_master pendientes de lectura para su tenant y muestra un modal bloqueante; al cerrarlo, se marca como leído en avisos_master_lecturas.</w:t>
      </w:r>
    </w:p>
    <w:p>
      <w:pPr>
        <w:pStyle w:val="Heading3"/>
        <w:spacing w:after="100" w:before="220"/>
      </w:pPr>
      <w:r>
        <w:t xml:space="preserve">d) Proceso automático de mantenimiento (cron 00:00 hs)</w:t>
      </w:r>
    </w:p>
    <w:p>
      <w:pPr>
        <w:pStyle w:val="ListParagraph"/>
        <w:numPr>
          <w:ilvl w:val="0"/>
          <w:numId w:val="2"/>
        </w:numPr>
        <w:spacing w:after="80"/>
      </w:pPr>
      <w:r>
        <w:rPr>
          <w:b/>
          <w:bCs/>
          <w:color w:val="2E7D32"/>
          <w:sz w:val="19"/>
          <w:szCs w:val="19"/>
        </w:rPr>
        <w:t xml:space="preserve">[EXISTE]  </w:t>
      </w:r>
      <w:r>
        <w:rPr>
          <w:sz w:val="21"/>
          <w:szCs w:val="21"/>
        </w:rPr>
        <w:t xml:space="preserve">Health-check y backup diario: ya configurados como tarea programada.</w:t>
      </w:r>
    </w:p>
    <w:p>
      <w:pPr>
        <w:pStyle w:val="ListParagraph"/>
        <w:numPr>
          <w:ilvl w:val="0"/>
          <w:numId w:val="2"/>
        </w:numPr>
        <w:spacing w:after="80"/>
      </w:pPr>
      <w:r>
        <w:rPr>
          <w:b/>
          <w:bCs/>
          <w:color w:val="B8860B"/>
          <w:sz w:val="19"/>
          <w:szCs w:val="19"/>
        </w:rPr>
        <w:t xml:space="preserve">[AMPLIAR]  </w:t>
      </w:r>
      <w:r>
        <w:rPr>
          <w:sz w:val="21"/>
          <w:szCs w:val="21"/>
        </w:rPr>
        <w:t xml:space="preserve">Auditoría de vencimientos: agregar al mismo job un paso que recorra tenants, calcule alertaVencimiento()/alertaAumento() (lógica ya existente en lib/licencia.ts) y genere las alertas consolidadas del punto c).</w:t>
      </w:r>
    </w:p>
    <w:p>
      <w:pPr>
        <w:spacing w:after="100"/>
      </w:pPr>
      <w:r>
        <w:rPr>
          <w:b/>
          <w:bCs/>
          <w:color w:val="9C2B2B"/>
          <w:sz w:val="19"/>
          <w:szCs w:val="19"/>
        </w:rPr>
        <w:t xml:space="preserve">[RIESGO]  </w:t>
      </w:r>
      <w:r>
        <w:rPr>
          <w:sz w:val="21"/>
          <w:szCs w:val="21"/>
        </w:rPr>
        <w:t xml:space="preserve">Despliegue automático de reformas/parches a producción sin supervisión, disparado por cron: no se recomienda tal cual está planteado. Un deploy fallido a las 00:00 sin nadie mirando puede dejar el sistema caído para todas las distribuidoras hasta la mañana siguiente. Propuesta: el cron arma y prueba el build en un entorno de staging (el script de preview/staging ya existe) y notifica a Master el resultado; el swap a producción lo confirma Master manualmente desde el panel, con un botón "Aprobar y publicar". Si preferís automatizarlo igual sin ese gate, dejalo indicado y lo armamos así, pero quería marcarte el riesgo antes de construirlo.</w:t>
      </w:r>
    </w:p>
    <w:p>
      <w:pPr>
        <w:pStyle w:val="Heading2"/>
        <w:spacing w:after="140" w:before="280"/>
      </w:pPr>
      <w:r>
        <w:t xml:space="preserve">3.4 UX — Pantalla única</w:t>
      </w:r>
    </w:p>
    <w:p>
      <w:pPr>
        <w:spacing w:after="140"/>
      </w:pPr>
      <w:r>
        <w:rPr>
          <w:sz w:val="21"/>
          <w:szCs w:val="21"/>
        </w:rPr>
        <w:t xml:space="preserve">Se mantiene el patrón actual (una sola pantalla, sin sub-navegación) y se agregan tres bloques nuevos por encima de la tabla de distribuidoras existente:</w:t>
      </w:r>
    </w:p>
    <w:p>
      <w:pPr>
        <w:pStyle w:val="ListParagraph"/>
        <w:numPr>
          <w:ilvl w:val="0"/>
          <w:numId w:val="2"/>
        </w:numPr>
        <w:spacing w:after="60"/>
      </w:pPr>
      <w:r>
        <w:t xml:space="preserve">Franja superior de alertas consolidadas (vencimientos e impagos de la semana) — mismo estilo visual que el banner de alertas operativas del Dueño, para consistencia.</w:t>
      </w:r>
    </w:p>
    <w:p>
      <w:pPr>
        <w:pStyle w:val="ListParagraph"/>
        <w:numPr>
          <w:ilvl w:val="0"/>
          <w:numId w:val="2"/>
        </w:numPr>
        <w:spacing w:after="60"/>
      </w:pPr>
      <w:r>
        <w:t xml:space="preserve">Botón "Nuevo aviso" que abre el formulario de mensajería masiva/selectiva en un panel lateral.</w:t>
      </w:r>
    </w:p>
    <w:p>
      <w:pPr>
        <w:pStyle w:val="ListParagraph"/>
        <w:numPr>
          <w:ilvl w:val="0"/>
          <w:numId w:val="2"/>
        </w:numPr>
        <w:spacing w:after="60"/>
      </w:pPr>
      <w:r>
        <w:t xml:space="preserve">Cada fila de distribuidora suma, dentro del "Gestionar" expandible ya existente, el checklist de pago y su historial.</w:t>
      </w:r>
    </w:p>
    <w:p>
      <w:pPr>
        <w:spacing w:after="140"/>
      </w:pPr>
      <w:r>
        <w:rPr>
          <w:sz w:val="21"/>
          <w:szCs w:val="21"/>
        </w:rPr>
        <w:t xml:space="preserve">No se propone splitear esto en pestañas: el volumen de datos (una fila por distribuidora, probablemente decenas, no miles) no lo justifica, y el valor del panel Master está precisamente en verlo todo de un vistazo.</w:t>
      </w:r>
    </w:p>
    <w:p>
      <w:r>
        <w:br w:type="page"/>
      </w:r>
    </w:p>
    <w:p>
      <w:pPr>
        <w:pStyle w:val="Heading1"/>
        <w:spacing w:after="160" w:before="360"/>
      </w:pPr>
      <w:r>
        <w:t xml:space="preserve">4. Credencial: Usuario Dueño (Tenant Admin)</w:t>
      </w:r>
    </w:p>
    <w:p>
      <w:pPr>
        <w:pStyle w:val="Heading2"/>
        <w:spacing w:after="140" w:before="280"/>
      </w:pPr>
      <w:r>
        <w:t xml:space="preserve">4.1 Concepto y alcance</w:t>
      </w:r>
    </w:p>
    <w:p>
      <w:pPr>
        <w:spacing w:after="140"/>
      </w:pPr>
      <w:r>
        <w:rPr>
          <w:sz w:val="21"/>
          <w:szCs w:val="21"/>
        </w:rPr>
        <w:t xml:space="preserve">Panel de control ejecutivo con visibilidad 360° del negocio (13 KPIs) más las solapas operativas ya organizadas en el Ribbon (Ventas, Finanzas, Stock, Personal, Comunicación, Informes, Comercial, Sistema). Esta sección reformula específicamente el Panel Principal de portada y detecta qué solapas adicionales pedidas faltan.</w:t>
      </w:r>
    </w:p>
    <w:p>
      <w:pPr>
        <w:pStyle w:val="Heading2"/>
        <w:spacing w:after="140" w:before="280"/>
      </w:pPr>
      <w:r>
        <w:t xml:space="preserve">4.2 Panel Principal — matriz de los 13 KPIs pedidos</w:t>
      </w:r>
    </w:p>
    <w:p>
      <w:pPr>
        <w:spacing w:after="140"/>
      </w:pPr>
      <w:r>
        <w:rPr>
          <w:sz w:val="21"/>
          <w:szCs w:val="21"/>
        </w:rPr>
        <w:t xml:space="preserve">Hoy existe un "Dashboard Ejecutivo" (Informes y Reportes → Dashboard Ejecutivo) con 5 KPIs configurables por el usuario (facturación, cobranza, stock crítico, pedidos pendientes, ticket promedio) más un comparativo de facturación. La reformulación no descarta ese componente: lo convierte en la base del nuevo Panel Principal de 13 KPIs, con acceso directo a cada módulo de origen.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626"/>
      </w:tblGrid>
      <w:tr>
        <w:trPr>
          <w:tblHeader/>
        </w:trPr>
        <w:tc>
          <w:tcPr>
            <w:tcW w:type="dxa" w:w="2100"/>
            <w:shd w:fill="1B2A4A" w:val="clear"/>
            <w:tcMar>
              <w:top w:type="dxa" w:w="80"/>
              <w:left w:type="dxa" w:w="100"/>
              <w:bottom w:type="dxa" w:w="80"/>
              <w:right w:type="dxa" w:w="100"/>
            </w:tcMar>
          </w:tcPr>
          <w:p>
            <w:r>
              <w:rPr>
                <w:b/>
                <w:bCs/>
                <w:color w:val="FFFFFF"/>
                <w:sz w:val="19"/>
                <w:szCs w:val="19"/>
              </w:rPr>
              <w:t xml:space="preserve">KPI / Módulo del panel</w:t>
            </w:r>
          </w:p>
        </w:tc>
        <w:tc>
          <w:tcPr>
            <w:tcW w:type="dxa" w:w="1300"/>
            <w:shd w:fill="1B2A4A" w:val="clear"/>
            <w:tcMar>
              <w:top w:type="dxa" w:w="80"/>
              <w:left w:type="dxa" w:w="100"/>
              <w:bottom w:type="dxa" w:w="80"/>
              <w:right w:type="dxa" w:w="100"/>
            </w:tcMar>
          </w:tcPr>
          <w:p>
            <w:r>
              <w:rPr>
                <w:b/>
                <w:bCs/>
                <w:color w:val="FFFFFF"/>
                <w:sz w:val="19"/>
                <w:szCs w:val="19"/>
              </w:rPr>
              <w:t xml:space="preserve">Estado</w:t>
            </w:r>
          </w:p>
        </w:tc>
        <w:tc>
          <w:tcPr>
            <w:tcW w:type="dxa" w:w="5626"/>
            <w:shd w:fill="1B2A4A" w:val="clear"/>
            <w:tcMar>
              <w:top w:type="dxa" w:w="80"/>
              <w:left w:type="dxa" w:w="100"/>
              <w:bottom w:type="dxa" w:w="80"/>
              <w:right w:type="dxa" w:w="100"/>
            </w:tcMar>
          </w:tcPr>
          <w:p>
            <w:r>
              <w:rPr>
                <w:b/>
                <w:bCs/>
                <w:color w:val="FFFFFF"/>
                <w:sz w:val="19"/>
                <w:szCs w:val="19"/>
              </w:rPr>
              <w:t xml:space="preserve">Fuente actual y qué falta</w:t>
            </w:r>
          </w:p>
        </w:tc>
      </w:tr>
      <w:tr>
        <w:tc>
          <w:tcPr>
            <w:tcW w:type="dxa" w:w="2100"/>
            <w:tcMar>
              <w:top w:type="dxa" w:w="80"/>
              <w:left w:type="dxa" w:w="100"/>
              <w:bottom w:type="dxa" w:w="80"/>
              <w:right w:type="dxa" w:w="100"/>
            </w:tcMar>
          </w:tcPr>
          <w:p>
            <w:r>
              <w:rPr>
                <w:b/>
                <w:bCs/>
                <w:color w:val="1B2A4A"/>
                <w:sz w:val="19"/>
                <w:szCs w:val="19"/>
              </w:rPr>
              <w:t xml:space="preserve">1. Ventas del mes vs. meta (drill-down por vendedor)</w:t>
            </w:r>
          </w:p>
        </w:tc>
        <w:tc>
          <w:tcPr>
            <w:tcW w:type="dxa" w:w="1300"/>
            <w:shd w:fill="F5F0E4" w:val="clear"/>
            <w:tcMar>
              <w:top w:type="dxa" w:w="80"/>
              <w:left w:type="dxa" w:w="100"/>
              <w:bottom w:type="dxa" w:w="80"/>
              <w:right w:type="dxa" w:w="100"/>
            </w:tcMar>
          </w:tcPr>
          <w:p>
            <w:r>
              <w:rPr>
                <w:b/>
                <w:bCs/>
                <w:color w:val="B8860B"/>
                <w:sz w:val="19"/>
                <w:szCs w:val="19"/>
              </w:rPr>
              <w:t xml:space="preserve">[AMPLIAR]</w:t>
            </w:r>
          </w:p>
        </w:tc>
        <w:tc>
          <w:tcPr>
            <w:tcW w:type="dxa" w:w="5626"/>
            <w:tcMar>
              <w:top w:type="dxa" w:w="80"/>
              <w:left w:type="dxa" w:w="100"/>
              <w:bottom w:type="dxa" w:w="80"/>
              <w:right w:type="dxa" w:w="100"/>
            </w:tcMar>
          </w:tcPr>
          <w:p>
            <w:r>
              <w:rPr>
                <w:b w:val="false"/>
                <w:bCs w:val="false"/>
                <w:color w:val="000000"/>
                <w:sz w:val="19"/>
                <w:szCs w:val="19"/>
              </w:rPr>
              <w:t xml:space="preserve">Existen objetivos comerciales por vendedor y un panel "Mis Comisiones y Objetivos" del lado del vendedor. Falta: el gráfico real-vs-meta en la portada del Dueño y el drill-down consolidado (hoy hay que entrar a Comercial → Objetivos y mirar vendedor por vendedor).</w:t>
            </w:r>
          </w:p>
        </w:tc>
      </w:tr>
      <w:tr>
        <w:tc>
          <w:tcPr>
            <w:tcW w:type="dxa" w:w="2100"/>
            <w:tcMar>
              <w:top w:type="dxa" w:w="80"/>
              <w:left w:type="dxa" w:w="100"/>
              <w:bottom w:type="dxa" w:w="80"/>
              <w:right w:type="dxa" w:w="100"/>
            </w:tcMar>
          </w:tcPr>
          <w:p>
            <w:r>
              <w:rPr>
                <w:b/>
                <w:bCs/>
                <w:color w:val="1B2A4A"/>
                <w:sz w:val="19"/>
                <w:szCs w:val="19"/>
              </w:rPr>
              <w:t xml:space="preserve">2. Saldo a proveedores</w:t>
            </w:r>
          </w:p>
        </w:tc>
        <w:tc>
          <w:tcPr>
            <w:tcW w:type="dxa" w:w="1300"/>
            <w:shd w:fill="F5F0E4" w:val="clear"/>
            <w:tcMar>
              <w:top w:type="dxa" w:w="80"/>
              <w:left w:type="dxa" w:w="100"/>
              <w:bottom w:type="dxa" w:w="80"/>
              <w:right w:type="dxa" w:w="100"/>
            </w:tcMar>
          </w:tcPr>
          <w:p>
            <w:r>
              <w:rPr>
                <w:b/>
                <w:bCs/>
                <w:color w:val="2E7D32"/>
                <w:sz w:val="19"/>
                <w:szCs w:val="19"/>
              </w:rPr>
              <w:t xml:space="preserve">[EXISTE]</w:t>
            </w:r>
          </w:p>
        </w:tc>
        <w:tc>
          <w:tcPr>
            <w:tcW w:type="dxa" w:w="5626"/>
            <w:tcMar>
              <w:top w:type="dxa" w:w="80"/>
              <w:left w:type="dxa" w:w="100"/>
              <w:bottom w:type="dxa" w:w="80"/>
              <w:right w:type="dxa" w:w="100"/>
            </w:tcMar>
          </w:tcPr>
          <w:p>
            <w:r>
              <w:rPr>
                <w:b w:val="false"/>
                <w:bCs w:val="false"/>
                <w:color w:val="000000"/>
                <w:sz w:val="19"/>
                <w:szCs w:val="19"/>
              </w:rPr>
              <w:t xml:space="preserve">Finanzas → Proveedores ya tiene cuenta corriente con detalle de compras, pagos y vencimientos. Falta exponer el saldo total como tarjeta KPI de portada con acceso directo.</w:t>
            </w:r>
          </w:p>
        </w:tc>
      </w:tr>
      <w:tr>
        <w:tc>
          <w:tcPr>
            <w:tcW w:type="dxa" w:w="2100"/>
            <w:tcMar>
              <w:top w:type="dxa" w:w="80"/>
              <w:left w:type="dxa" w:w="100"/>
              <w:bottom w:type="dxa" w:w="80"/>
              <w:right w:type="dxa" w:w="100"/>
            </w:tcMar>
          </w:tcPr>
          <w:p>
            <w:r>
              <w:rPr>
                <w:b/>
                <w:bCs/>
                <w:color w:val="1B2A4A"/>
                <w:sz w:val="19"/>
                <w:szCs w:val="19"/>
              </w:rPr>
              <w:t xml:space="preserve">3. Cuenta corriente a cobrar</w:t>
            </w:r>
          </w:p>
        </w:tc>
        <w:tc>
          <w:tcPr>
            <w:tcW w:type="dxa" w:w="1300"/>
            <w:shd w:fill="F5F0E4" w:val="clear"/>
            <w:tcMar>
              <w:top w:type="dxa" w:w="80"/>
              <w:left w:type="dxa" w:w="100"/>
              <w:bottom w:type="dxa" w:w="80"/>
              <w:right w:type="dxa" w:w="100"/>
            </w:tcMar>
          </w:tcPr>
          <w:p>
            <w:r>
              <w:rPr>
                <w:b/>
                <w:bCs/>
                <w:color w:val="2E7D32"/>
                <w:sz w:val="19"/>
                <w:szCs w:val="19"/>
              </w:rPr>
              <w:t xml:space="preserve">[EXISTE]</w:t>
            </w:r>
          </w:p>
        </w:tc>
        <w:tc>
          <w:tcPr>
            <w:tcW w:type="dxa" w:w="5626"/>
            <w:tcMar>
              <w:top w:type="dxa" w:w="80"/>
              <w:left w:type="dxa" w:w="100"/>
              <w:bottom w:type="dxa" w:w="80"/>
              <w:right w:type="dxa" w:w="100"/>
            </w:tcMar>
          </w:tcPr>
          <w:p>
            <w:r>
              <w:rPr>
                <w:b w:val="false"/>
                <w:bCs w:val="false"/>
                <w:color w:val="000000"/>
                <w:sz w:val="19"/>
                <w:szCs w:val="19"/>
              </w:rPr>
              <w:t xml:space="preserve">Ventas → Cuenta Corriente ya tiene saldo y morosidad por cliente. Falta la tarjeta KPI de portada.</w:t>
            </w:r>
          </w:p>
        </w:tc>
      </w:tr>
      <w:tr>
        <w:tc>
          <w:tcPr>
            <w:tcW w:type="dxa" w:w="2100"/>
            <w:tcMar>
              <w:top w:type="dxa" w:w="80"/>
              <w:left w:type="dxa" w:w="100"/>
              <w:bottom w:type="dxa" w:w="80"/>
              <w:right w:type="dxa" w:w="100"/>
            </w:tcMar>
          </w:tcPr>
          <w:p>
            <w:r>
              <w:rPr>
                <w:b/>
                <w:bCs/>
                <w:color w:val="1B2A4A"/>
                <w:sz w:val="19"/>
                <w:szCs w:val="19"/>
              </w:rPr>
              <w:t xml:space="preserve">4. Dinero en caja (multimoneda, hasta 3 divisas)</w:t>
            </w:r>
          </w:p>
        </w:tc>
        <w:tc>
          <w:tcPr>
            <w:tcW w:type="dxa" w:w="1300"/>
            <w:shd w:fill="F5F0E4" w:val="clear"/>
            <w:tcMar>
              <w:top w:type="dxa" w:w="80"/>
              <w:left w:type="dxa" w:w="100"/>
              <w:bottom w:type="dxa" w:w="80"/>
              <w:right w:type="dxa" w:w="100"/>
            </w:tcMar>
          </w:tcPr>
          <w:p>
            <w:r>
              <w:rPr>
                <w:b/>
                <w:bCs/>
                <w:color w:val="B8860B"/>
                <w:sz w:val="19"/>
                <w:szCs w:val="19"/>
              </w:rPr>
              <w:t xml:space="preserve">[AMPLIAR]</w:t>
            </w:r>
          </w:p>
        </w:tc>
        <w:tc>
          <w:tcPr>
            <w:tcW w:type="dxa" w:w="5626"/>
            <w:tcMar>
              <w:top w:type="dxa" w:w="80"/>
              <w:left w:type="dxa" w:w="100"/>
              <w:bottom w:type="dxa" w:w="80"/>
              <w:right w:type="dxa" w:w="100"/>
            </w:tcMar>
          </w:tcPr>
          <w:p>
            <w:r>
              <w:rPr>
                <w:b w:val="false"/>
                <w:bCs w:val="false"/>
                <w:color w:val="000000"/>
                <w:sz w:val="19"/>
                <w:szCs w:val="19"/>
              </w:rPr>
              <w:t xml:space="preserve">Cajas diarias múltiples ya existen (Personal/Finanzas → Caja Diaria) con resumen general. Falta soporte multimoneda: hoy el arqueo asume una sola moneda por caja. Además, la tarjeta "Saldo consolidado" de Bancos hoy solo muestra las primeras 2 monedas (límite de UI, no de diseño) — se corrige a la vez.</w:t>
            </w:r>
          </w:p>
        </w:tc>
      </w:tr>
      <w:tr>
        <w:tc>
          <w:tcPr>
            <w:tcW w:type="dxa" w:w="2100"/>
            <w:tcMar>
              <w:top w:type="dxa" w:w="80"/>
              <w:left w:type="dxa" w:w="100"/>
              <w:bottom w:type="dxa" w:w="80"/>
              <w:right w:type="dxa" w:w="100"/>
            </w:tcMar>
          </w:tcPr>
          <w:p>
            <w:r>
              <w:rPr>
                <w:b/>
                <w:bCs/>
                <w:color w:val="1B2A4A"/>
                <w:sz w:val="19"/>
                <w:szCs w:val="19"/>
              </w:rPr>
              <w:t xml:space="preserve">5. Dinero en billeteras virtuales (sin límite de entidades)</w:t>
            </w:r>
          </w:p>
        </w:tc>
        <w:tc>
          <w:tcPr>
            <w:tcW w:type="dxa" w:w="1300"/>
            <w:shd w:fill="F5F0E4" w:val="clear"/>
            <w:tcMar>
              <w:top w:type="dxa" w:w="80"/>
              <w:left w:type="dxa" w:w="100"/>
              <w:bottom w:type="dxa" w:w="80"/>
              <w:right w:type="dxa" w:w="100"/>
            </w:tcMar>
          </w:tcPr>
          <w:p>
            <w:r>
              <w:rPr>
                <w:b/>
                <w:bCs/>
                <w:color w:val="9C2B2B"/>
                <w:sz w:val="19"/>
                <w:szCs w:val="19"/>
              </w:rPr>
              <w:t xml:space="preserve">[NUEVO]</w:t>
            </w:r>
          </w:p>
        </w:tc>
        <w:tc>
          <w:tcPr>
            <w:tcW w:type="dxa" w:w="5626"/>
            <w:tcMar>
              <w:top w:type="dxa" w:w="80"/>
              <w:left w:type="dxa" w:w="100"/>
              <w:bottom w:type="dxa" w:w="80"/>
              <w:right w:type="dxa" w:w="100"/>
            </w:tcMar>
          </w:tcPr>
          <w:p>
            <w:r>
              <w:rPr>
                <w:b w:val="false"/>
                <w:bCs w:val="false"/>
                <w:color w:val="000000"/>
                <w:sz w:val="19"/>
                <w:szCs w:val="19"/>
              </w:rPr>
              <w:t xml:space="preserve">No existe tracking de saldo en MercadoPago/MODO/etc. Hoy esos medios solo están registrados como método de cobro (config de retención/acreditación), no como una cuenta con saldo propio.</w:t>
            </w:r>
          </w:p>
        </w:tc>
      </w:tr>
      <w:tr>
        <w:tc>
          <w:tcPr>
            <w:tcW w:type="dxa" w:w="2100"/>
            <w:tcMar>
              <w:top w:type="dxa" w:w="80"/>
              <w:left w:type="dxa" w:w="100"/>
              <w:bottom w:type="dxa" w:w="80"/>
              <w:right w:type="dxa" w:w="100"/>
            </w:tcMar>
          </w:tcPr>
          <w:p>
            <w:r>
              <w:rPr>
                <w:b/>
                <w:bCs/>
                <w:color w:val="1B2A4A"/>
                <w:sz w:val="19"/>
                <w:szCs w:val="19"/>
              </w:rPr>
              <w:t xml:space="preserve">6. Dinero en tarjetas de crédito (liquidado / pendiente)</w:t>
            </w:r>
          </w:p>
        </w:tc>
        <w:tc>
          <w:tcPr>
            <w:tcW w:type="dxa" w:w="1300"/>
            <w:shd w:fill="F5F0E4" w:val="clear"/>
            <w:tcMar>
              <w:top w:type="dxa" w:w="80"/>
              <w:left w:type="dxa" w:w="100"/>
              <w:bottom w:type="dxa" w:w="80"/>
              <w:right w:type="dxa" w:w="100"/>
            </w:tcMar>
          </w:tcPr>
          <w:p>
            <w:r>
              <w:rPr>
                <w:b/>
                <w:bCs/>
                <w:color w:val="B8860B"/>
                <w:sz w:val="19"/>
                <w:szCs w:val="19"/>
              </w:rPr>
              <w:t xml:space="preserve">[AMPLIAR]</w:t>
            </w:r>
          </w:p>
        </w:tc>
        <w:tc>
          <w:tcPr>
            <w:tcW w:type="dxa" w:w="5626"/>
            <w:tcMar>
              <w:top w:type="dxa" w:w="80"/>
              <w:left w:type="dxa" w:w="100"/>
              <w:bottom w:type="dxa" w:w="80"/>
              <w:right w:type="dxa" w:w="100"/>
            </w:tcMar>
          </w:tcPr>
          <w:p>
            <w:r>
              <w:rPr>
                <w:b w:val="false"/>
                <w:bCs w:val="false"/>
                <w:color w:val="000000"/>
                <w:sz w:val="19"/>
                <w:szCs w:val="19"/>
              </w:rPr>
              <w:t xml:space="preserve">Existe el tracking de retención y fecha estimada de acreditación por medio de pago, y la pantalla de "Acreditaciones bancarias" ya distingue pendiente vs. acreditado. Falta agruparlo como saldo consolidado por liquidadora, sin límite de cantidad de liquidadoras dadas de alta.</w:t>
            </w:r>
          </w:p>
        </w:tc>
      </w:tr>
      <w:tr>
        <w:tc>
          <w:tcPr>
            <w:tcW w:type="dxa" w:w="2100"/>
            <w:tcMar>
              <w:top w:type="dxa" w:w="80"/>
              <w:left w:type="dxa" w:w="100"/>
              <w:bottom w:type="dxa" w:w="80"/>
              <w:right w:type="dxa" w:w="100"/>
            </w:tcMar>
          </w:tcPr>
          <w:p>
            <w:r>
              <w:rPr>
                <w:b/>
                <w:bCs/>
                <w:color w:val="1B2A4A"/>
                <w:sz w:val="19"/>
                <w:szCs w:val="19"/>
              </w:rPr>
              <w:t xml:space="preserve">7. Dinero en bancos (sin límite de entidades)</w:t>
            </w:r>
          </w:p>
        </w:tc>
        <w:tc>
          <w:tcPr>
            <w:tcW w:type="dxa" w:w="1300"/>
            <w:shd w:fill="F5F0E4" w:val="clear"/>
            <w:tcMar>
              <w:top w:type="dxa" w:w="80"/>
              <w:left w:type="dxa" w:w="100"/>
              <w:bottom w:type="dxa" w:w="80"/>
              <w:right w:type="dxa" w:w="100"/>
            </w:tcMar>
          </w:tcPr>
          <w:p>
            <w:r>
              <w:rPr>
                <w:b/>
                <w:bCs/>
                <w:color w:val="2E7D32"/>
                <w:sz w:val="19"/>
                <w:szCs w:val="19"/>
              </w:rPr>
              <w:t xml:space="preserve">[EXISTE]</w:t>
            </w:r>
          </w:p>
        </w:tc>
        <w:tc>
          <w:tcPr>
            <w:tcW w:type="dxa" w:w="5626"/>
            <w:tcMar>
              <w:top w:type="dxa" w:w="80"/>
              <w:left w:type="dxa" w:w="100"/>
              <w:bottom w:type="dxa" w:w="80"/>
              <w:right w:type="dxa" w:w="100"/>
            </w:tcMar>
          </w:tcPr>
          <w:p>
            <w:r>
              <w:rPr>
                <w:b w:val="false"/>
                <w:bCs w:val="false"/>
                <w:color w:val="000000"/>
                <w:sz w:val="19"/>
                <w:szCs w:val="19"/>
              </w:rPr>
              <w:t xml:space="preserve">Ya soporta alta ilimitada de cuentas bancarias con saldo consolidado por moneda.</w:t>
            </w:r>
          </w:p>
        </w:tc>
      </w:tr>
      <w:tr>
        <w:tc>
          <w:tcPr>
            <w:tcW w:type="dxa" w:w="2100"/>
            <w:tcMar>
              <w:top w:type="dxa" w:w="80"/>
              <w:left w:type="dxa" w:w="100"/>
              <w:bottom w:type="dxa" w:w="80"/>
              <w:right w:type="dxa" w:w="100"/>
            </w:tcMar>
          </w:tcPr>
          <w:p>
            <w:r>
              <w:rPr>
                <w:b/>
                <w:bCs/>
                <w:color w:val="1B2A4A"/>
                <w:sz w:val="19"/>
                <w:szCs w:val="19"/>
              </w:rPr>
              <w:t xml:space="preserve">8. Total consolidado de liquidez</w:t>
            </w:r>
          </w:p>
        </w:tc>
        <w:tc>
          <w:tcPr>
            <w:tcW w:type="dxa" w:w="1300"/>
            <w:shd w:fill="F5F0E4" w:val="clear"/>
            <w:tcMar>
              <w:top w:type="dxa" w:w="80"/>
              <w:left w:type="dxa" w:w="100"/>
              <w:bottom w:type="dxa" w:w="80"/>
              <w:right w:type="dxa" w:w="100"/>
            </w:tcMar>
          </w:tcPr>
          <w:p>
            <w:r>
              <w:rPr>
                <w:b/>
                <w:bCs/>
                <w:color w:val="9C2B2B"/>
                <w:sz w:val="19"/>
                <w:szCs w:val="19"/>
              </w:rPr>
              <w:t xml:space="preserve">[NUEVO]</w:t>
            </w:r>
          </w:p>
        </w:tc>
        <w:tc>
          <w:tcPr>
            <w:tcW w:type="dxa" w:w="5626"/>
            <w:tcMar>
              <w:top w:type="dxa" w:w="80"/>
              <w:left w:type="dxa" w:w="100"/>
              <w:bottom w:type="dxa" w:w="80"/>
              <w:right w:type="dxa" w:w="100"/>
            </w:tcMar>
          </w:tcPr>
          <w:p>
            <w:r>
              <w:rPr>
                <w:b w:val="false"/>
                <w:bCs w:val="false"/>
                <w:color w:val="000000"/>
                <w:sz w:val="19"/>
                <w:szCs w:val="19"/>
              </w:rPr>
              <w:t xml:space="preserve">No existe el cálculo agregado. Es una suma en tiempo real de los KPI 4+5+6+7, agrupada por moneda (con conversión a moneda base solo si el Dueño la pide explícitamente — sumar divisas distintas sin convertir sería engañoso).</w:t>
            </w:r>
          </w:p>
        </w:tc>
      </w:tr>
      <w:tr>
        <w:tc>
          <w:tcPr>
            <w:tcW w:type="dxa" w:w="2100"/>
            <w:tcMar>
              <w:top w:type="dxa" w:w="80"/>
              <w:left w:type="dxa" w:w="100"/>
              <w:bottom w:type="dxa" w:w="80"/>
              <w:right w:type="dxa" w:w="100"/>
            </w:tcMar>
          </w:tcPr>
          <w:p>
            <w:r>
              <w:rPr>
                <w:b/>
                <w:bCs/>
                <w:color w:val="1B2A4A"/>
                <w:sz w:val="19"/>
                <w:szCs w:val="19"/>
              </w:rPr>
              <w:t xml:space="preserve">9. Cheques librados (propios, emitidos)</w:t>
            </w:r>
          </w:p>
        </w:tc>
        <w:tc>
          <w:tcPr>
            <w:tcW w:type="dxa" w:w="1300"/>
            <w:shd w:fill="F5F0E4" w:val="clear"/>
            <w:tcMar>
              <w:top w:type="dxa" w:w="80"/>
              <w:left w:type="dxa" w:w="100"/>
              <w:bottom w:type="dxa" w:w="80"/>
              <w:right w:type="dxa" w:w="100"/>
            </w:tcMar>
          </w:tcPr>
          <w:p>
            <w:r>
              <w:rPr>
                <w:b/>
                <w:bCs/>
                <w:color w:val="9C2B2B"/>
                <w:sz w:val="19"/>
                <w:szCs w:val="19"/>
              </w:rPr>
              <w:t xml:space="preserve">[NUEVO]</w:t>
            </w:r>
          </w:p>
        </w:tc>
        <w:tc>
          <w:tcPr>
            <w:tcW w:type="dxa" w:w="5626"/>
            <w:tcMar>
              <w:top w:type="dxa" w:w="80"/>
              <w:left w:type="dxa" w:w="100"/>
              <w:bottom w:type="dxa" w:w="80"/>
              <w:right w:type="dxa" w:w="100"/>
            </w:tcMar>
          </w:tcPr>
          <w:p>
            <w:r>
              <w:rPr>
                <w:b w:val="false"/>
                <w:bCs w:val="false"/>
                <w:color w:val="000000"/>
                <w:sz w:val="19"/>
                <w:szCs w:val="19"/>
              </w:rPr>
              <w:t xml:space="preserve">El módulo actual de "Cartera de Valores" registra cheques y eCheqs recibidos de terceros, no cheques propios emitidos por la distribuidora. Es un concepto de datos distinto (pasivo vs. activo) y falta por completo.</w:t>
            </w:r>
          </w:p>
        </w:tc>
      </w:tr>
      <w:tr>
        <w:tc>
          <w:tcPr>
            <w:tcW w:type="dxa" w:w="2100"/>
            <w:tcMar>
              <w:top w:type="dxa" w:w="80"/>
              <w:left w:type="dxa" w:w="100"/>
              <w:bottom w:type="dxa" w:w="80"/>
              <w:right w:type="dxa" w:w="100"/>
            </w:tcMar>
          </w:tcPr>
          <w:p>
            <w:r>
              <w:rPr>
                <w:b/>
                <w:bCs/>
                <w:color w:val="1B2A4A"/>
                <w:sz w:val="19"/>
                <w:szCs w:val="19"/>
              </w:rPr>
              <w:t xml:space="preserve">10. Cheques de terceros (cartera física y electrónica)</w:t>
            </w:r>
          </w:p>
        </w:tc>
        <w:tc>
          <w:tcPr>
            <w:tcW w:type="dxa" w:w="1300"/>
            <w:shd w:fill="F5F0E4" w:val="clear"/>
            <w:tcMar>
              <w:top w:type="dxa" w:w="80"/>
              <w:left w:type="dxa" w:w="100"/>
              <w:bottom w:type="dxa" w:w="80"/>
              <w:right w:type="dxa" w:w="100"/>
            </w:tcMar>
          </w:tcPr>
          <w:p>
            <w:r>
              <w:rPr>
                <w:b/>
                <w:bCs/>
                <w:color w:val="2E7D32"/>
                <w:sz w:val="19"/>
                <w:szCs w:val="19"/>
              </w:rPr>
              <w:t xml:space="preserve">[EXISTE]</w:t>
            </w:r>
          </w:p>
        </w:tc>
        <w:tc>
          <w:tcPr>
            <w:tcW w:type="dxa" w:w="5626"/>
            <w:tcMar>
              <w:top w:type="dxa" w:w="80"/>
              <w:left w:type="dxa" w:w="100"/>
              <w:bottom w:type="dxa" w:w="80"/>
              <w:right w:type="dxa" w:w="100"/>
            </w:tcMar>
          </w:tcPr>
          <w:p>
            <w:r>
              <w:rPr>
                <w:b w:val="false"/>
                <w:bCs w:val="false"/>
                <w:color w:val="000000"/>
                <w:sz w:val="19"/>
                <w:szCs w:val="19"/>
              </w:rPr>
              <w:t xml:space="preserve">Finanzas → Cartera de Valores ya cubre esto: alta, estados (en cartera / depositado / endosado / rechazado / cobrado), banco emisor y librador.</w:t>
            </w:r>
          </w:p>
        </w:tc>
      </w:tr>
      <w:tr>
        <w:tc>
          <w:tcPr>
            <w:tcW w:type="dxa" w:w="2100"/>
            <w:tcMar>
              <w:top w:type="dxa" w:w="80"/>
              <w:left w:type="dxa" w:w="100"/>
              <w:bottom w:type="dxa" w:w="80"/>
              <w:right w:type="dxa" w:w="100"/>
            </w:tcMar>
          </w:tcPr>
          <w:p>
            <w:r>
              <w:rPr>
                <w:b/>
                <w:bCs/>
                <w:color w:val="1B2A4A"/>
                <w:sz w:val="19"/>
                <w:szCs w:val="19"/>
              </w:rPr>
              <w:t xml:space="preserve">11. Libro IVA (compras y ventas, saldo técnico)</w:t>
            </w:r>
          </w:p>
        </w:tc>
        <w:tc>
          <w:tcPr>
            <w:tcW w:type="dxa" w:w="1300"/>
            <w:shd w:fill="F5F0E4" w:val="clear"/>
            <w:tcMar>
              <w:top w:type="dxa" w:w="80"/>
              <w:left w:type="dxa" w:w="100"/>
              <w:bottom w:type="dxa" w:w="80"/>
              <w:right w:type="dxa" w:w="100"/>
            </w:tcMar>
          </w:tcPr>
          <w:p>
            <w:r>
              <w:rPr>
                <w:b/>
                <w:bCs/>
                <w:color w:val="2E7D32"/>
                <w:sz w:val="19"/>
                <w:szCs w:val="19"/>
              </w:rPr>
              <w:t xml:space="preserve">[EXISTE]</w:t>
            </w:r>
          </w:p>
        </w:tc>
        <w:tc>
          <w:tcPr>
            <w:tcW w:type="dxa" w:w="5626"/>
            <w:tcMar>
              <w:top w:type="dxa" w:w="80"/>
              <w:left w:type="dxa" w:w="100"/>
              <w:bottom w:type="dxa" w:w="80"/>
              <w:right w:type="dxa" w:w="100"/>
            </w:tcMar>
          </w:tcPr>
          <w:p>
            <w:r>
              <w:rPr>
                <w:b w:val="false"/>
                <w:bCs w:val="false"/>
                <w:color w:val="000000"/>
                <w:sz w:val="19"/>
                <w:szCs w:val="19"/>
              </w:rPr>
              <w:t xml:space="preserve">Personal/Finanzas → Libro de IVA.</w:t>
            </w:r>
          </w:p>
        </w:tc>
      </w:tr>
      <w:tr>
        <w:tc>
          <w:tcPr>
            <w:tcW w:type="dxa" w:w="2100"/>
            <w:tcMar>
              <w:top w:type="dxa" w:w="80"/>
              <w:left w:type="dxa" w:w="100"/>
              <w:bottom w:type="dxa" w:w="80"/>
              <w:right w:type="dxa" w:w="100"/>
            </w:tcMar>
          </w:tcPr>
          <w:p>
            <w:r>
              <w:rPr>
                <w:b/>
                <w:bCs/>
                <w:color w:val="1B2A4A"/>
                <w:sz w:val="19"/>
                <w:szCs w:val="19"/>
              </w:rPr>
              <w:t xml:space="preserve">12. Control de ausentismo diario</w:t>
            </w:r>
          </w:p>
        </w:tc>
        <w:tc>
          <w:tcPr>
            <w:tcW w:type="dxa" w:w="1300"/>
            <w:shd w:fill="F5F0E4" w:val="clear"/>
            <w:tcMar>
              <w:top w:type="dxa" w:w="80"/>
              <w:left w:type="dxa" w:w="100"/>
              <w:bottom w:type="dxa" w:w="80"/>
              <w:right w:type="dxa" w:w="100"/>
            </w:tcMar>
          </w:tcPr>
          <w:p>
            <w:r>
              <w:rPr>
                <w:b/>
                <w:bCs/>
                <w:color w:val="B8860B"/>
                <w:sz w:val="19"/>
                <w:szCs w:val="19"/>
              </w:rPr>
              <w:t xml:space="preserve">[AMPLIAR]</w:t>
            </w:r>
          </w:p>
        </w:tc>
        <w:tc>
          <w:tcPr>
            <w:tcW w:type="dxa" w:w="5626"/>
            <w:tcMar>
              <w:top w:type="dxa" w:w="80"/>
              <w:left w:type="dxa" w:w="100"/>
              <w:bottom w:type="dxa" w:w="80"/>
              <w:right w:type="dxa" w:w="100"/>
            </w:tcMar>
          </w:tcPr>
          <w:p>
            <w:r>
              <w:rPr>
                <w:b w:val="false"/>
                <w:bCs w:val="false"/>
                <w:color w:val="000000"/>
                <w:sz w:val="19"/>
                <w:szCs w:val="19"/>
              </w:rPr>
              <w:t xml:space="preserve">Existe el módulo de licencias y vacaciones con flujo de solicitud/aprobación. Falta un panel diario dedicado tipo "quién falta hoy" con motivo (falta, licencia médica, vacaciones), consolidado en un vistazo — hoy hay que consultarlo por empleado.</w:t>
            </w:r>
          </w:p>
        </w:tc>
      </w:tr>
      <w:tr>
        <w:tc>
          <w:tcPr>
            <w:tcW w:type="dxa" w:w="2100"/>
            <w:tcMar>
              <w:top w:type="dxa" w:w="80"/>
              <w:left w:type="dxa" w:w="100"/>
              <w:bottom w:type="dxa" w:w="80"/>
              <w:right w:type="dxa" w:w="100"/>
            </w:tcMar>
          </w:tcPr>
          <w:p>
            <w:r>
              <w:rPr>
                <w:b/>
                <w:bCs/>
                <w:color w:val="1B2A4A"/>
                <w:sz w:val="19"/>
                <w:szCs w:val="19"/>
              </w:rPr>
              <w:t xml:space="preserve">13. Centro de alertas, recordatorios e informes gerenciales</w:t>
            </w:r>
          </w:p>
        </w:tc>
        <w:tc>
          <w:tcPr>
            <w:tcW w:type="dxa" w:w="1300"/>
            <w:shd w:fill="F5F0E4" w:val="clear"/>
            <w:tcMar>
              <w:top w:type="dxa" w:w="80"/>
              <w:left w:type="dxa" w:w="100"/>
              <w:bottom w:type="dxa" w:w="80"/>
              <w:right w:type="dxa" w:w="100"/>
            </w:tcMar>
          </w:tcPr>
          <w:p>
            <w:r>
              <w:rPr>
                <w:b/>
                <w:bCs/>
                <w:color w:val="B8860B"/>
                <w:sz w:val="19"/>
                <w:szCs w:val="19"/>
              </w:rPr>
              <w:t xml:space="preserve">[AMPLIAR]</w:t>
            </w:r>
          </w:p>
        </w:tc>
        <w:tc>
          <w:tcPr>
            <w:tcW w:type="dxa" w:w="5626"/>
            <w:tcMar>
              <w:top w:type="dxa" w:w="80"/>
              <w:left w:type="dxa" w:w="100"/>
              <w:bottom w:type="dxa" w:w="80"/>
              <w:right w:type="dxa" w:w="100"/>
            </w:tcMar>
          </w:tcPr>
          <w:p>
            <w:r>
              <w:rPr>
                <w:b w:val="false"/>
                <w:bCs w:val="false"/>
                <w:color w:val="000000"/>
                <w:sz w:val="19"/>
                <w:szCs w:val="19"/>
              </w:rPr>
              <w:t xml:space="preserve">Ya existen alertas operativas (incumplimiento de visita, pedido fuera de zona) mostradas como banner en Finanzas. Falta: consolidarlas en la portada del Panel Principal (no solo en Finanzas) y sumar alertas financieras (cheques por vencer, saldo de liquidez bajo un umbral configurable).</w:t>
            </w:r>
          </w:p>
        </w:tc>
      </w:tr>
    </w:tbl>
    <w:p>
      <w:pPr>
        <w:spacing w:after="140"/>
      </w:pPr>
      <w:r>
        <w:rPr>
          <w:sz w:val="21"/>
          <w:szCs w:val="21"/>
        </w:rPr>
        <w:t xml:space="preserve"> </w:t>
      </w:r>
    </w:p>
    <w:p>
      <w:pPr>
        <w:pStyle w:val="Heading2"/>
        <w:spacing w:after="140" w:before="280"/>
      </w:pPr>
      <w:r>
        <w:t xml:space="preserve">4.3 Arquitectura de datos — solo ítems NUEVO / AMPLIAR</w:t>
      </w:r>
    </w:p>
    <w:p>
      <w:pPr>
        <w:spacing w:after="80" w:before="180"/>
      </w:pPr>
      <w:r>
        <w:rPr>
          <w:b/>
          <w:bCs/>
          <w:color w:val="1B2A4A"/>
          <w:sz w:val="21"/>
          <w:szCs w:val="21"/>
        </w:rPr>
        <w:t xml:space="preserve">billeteras_virtuales  [NUEVO]</w:t>
      </w:r>
    </w:p>
    <w:p>
      <w:pPr>
        <w:pStyle w:val="ListParagraph"/>
        <w:numPr>
          <w:ilvl w:val="0"/>
          <w:numId w:val="2"/>
        </w:numPr>
        <w:spacing w:after="60"/>
      </w:pPr>
      <w:r>
        <w:t xml:space="preserve">id, tenant_id, entidad (texto libre: "Mercado Pago", "MODO", etc.), alias_cuenta, saldo_actual, moneda</w:t>
      </w:r>
    </w:p>
    <w:p>
      <w:pPr>
        <w:spacing w:after="80" w:before="180"/>
      </w:pPr>
      <w:r>
        <w:rPr>
          <w:b/>
          <w:bCs/>
          <w:color w:val="1B2A4A"/>
          <w:sz w:val="21"/>
          <w:szCs w:val="21"/>
        </w:rPr>
        <w:t xml:space="preserve">movimientos_billetera  [NUEVO]</w:t>
      </w:r>
    </w:p>
    <w:p>
      <w:pPr>
        <w:pStyle w:val="ListParagraph"/>
        <w:numPr>
          <w:ilvl w:val="0"/>
          <w:numId w:val="2"/>
        </w:numPr>
        <w:spacing w:after="60"/>
      </w:pPr>
      <w:r>
        <w:t xml:space="preserve">id, billetera_id, tipo (ingreso/egreso), monto, concepto, fecha, comprobante_ref — mismo patrón que movimientos_bancarios, para reusar componentes de UI</w:t>
      </w:r>
    </w:p>
    <w:p>
      <w:pPr>
        <w:spacing w:after="80" w:before="180"/>
      </w:pPr>
      <w:r>
        <w:rPr>
          <w:b/>
          <w:bCs/>
          <w:color w:val="1B2A4A"/>
          <w:sz w:val="21"/>
          <w:szCs w:val="21"/>
        </w:rPr>
        <w:t xml:space="preserve">cheques_propios  [NUEVO]</w:t>
      </w:r>
    </w:p>
    <w:p>
      <w:pPr>
        <w:pStyle w:val="ListParagraph"/>
        <w:numPr>
          <w:ilvl w:val="0"/>
          <w:numId w:val="2"/>
        </w:numPr>
        <w:spacing w:after="60"/>
      </w:pPr>
      <w:r>
        <w:t xml:space="preserve">id, tenant_id, banco_id, numero, beneficiario, monto, fecha_emision, fecha_pago, estado (pendiente / pagado / rechazado / anulado), notas</w:t>
      </w:r>
    </w:p>
    <w:p>
      <w:pPr>
        <w:spacing w:after="80" w:before="180"/>
      </w:pPr>
      <w:r>
        <w:rPr>
          <w:b/>
          <w:bCs/>
          <w:color w:val="1B2A4A"/>
          <w:sz w:val="21"/>
          <w:szCs w:val="21"/>
        </w:rPr>
        <w:t xml:space="preserve">saldo_liquidez_consolidado  [NUEVO — vista calculada, sin tabla física]</w:t>
      </w:r>
    </w:p>
    <w:p>
      <w:pPr>
        <w:pStyle w:val="ListParagraph"/>
        <w:numPr>
          <w:ilvl w:val="0"/>
          <w:numId w:val="2"/>
        </w:numPr>
        <w:spacing w:after="60"/>
      </w:pPr>
      <w:r>
        <w:t xml:space="preserve">Suma en tiempo real, agrupada por moneda: SUM(cajas.saldo) + SUM(billeteras_virtuales.saldo_actual) + SUM(tarjetas pendientes/liquidadas) + SUM(bancos.saldo_actual)</w:t>
      </w:r>
    </w:p>
    <w:p>
      <w:pPr>
        <w:spacing w:after="80" w:before="180"/>
      </w:pPr>
      <w:r>
        <w:rPr>
          <w:b/>
          <w:bCs/>
          <w:color w:val="1B2A4A"/>
          <w:sz w:val="21"/>
          <w:szCs w:val="21"/>
        </w:rPr>
        <w:t xml:space="preserve">ausentismo_diario  [AMPLIAR — vista sobre tablas existentes]</w:t>
      </w:r>
    </w:p>
    <w:p>
      <w:pPr>
        <w:pStyle w:val="ListParagraph"/>
        <w:numPr>
          <w:ilvl w:val="0"/>
          <w:numId w:val="2"/>
        </w:numPr>
        <w:spacing w:after="60"/>
      </w:pPr>
      <w:r>
        <w:t xml:space="preserve">Query del día actual sobre la tabla de licencias/solicitudes ya existente, filtrando estado=aprobada y rango de fechas que incluya hoy, unida a profiles para nombre y rol</w:t>
      </w:r>
    </w:p>
    <w:p>
      <w:pPr>
        <w:spacing w:after="80" w:before="180"/>
      </w:pPr>
      <w:r>
        <w:rPr>
          <w:b/>
          <w:bCs/>
          <w:color w:val="1B2A4A"/>
          <w:sz w:val="21"/>
          <w:szCs w:val="21"/>
        </w:rPr>
        <w:t xml:space="preserve">Multi-moneda en cajas_diarias  [AMPLIAR]</w:t>
      </w:r>
    </w:p>
    <w:p>
      <w:pPr>
        <w:pStyle w:val="ListParagraph"/>
        <w:numPr>
          <w:ilvl w:val="0"/>
          <w:numId w:val="2"/>
        </w:numPr>
        <w:spacing w:after="60"/>
      </w:pPr>
      <w:r>
        <w:t xml:space="preserve">Agregar columna moneda a la tabla de cajas (hoy asume ARS); el arqueo y el resumen general agrupan por moneda igual que ya lo hace bancos</w:t>
      </w:r>
    </w:p>
    <w:p>
      <w:pPr>
        <w:spacing w:after="80" w:before="180"/>
      </w:pPr>
      <w:r>
        <w:rPr>
          <w:b/>
          <w:bCs/>
          <w:color w:val="1B2A4A"/>
          <w:sz w:val="21"/>
          <w:szCs w:val="21"/>
        </w:rPr>
        <w:t xml:space="preserve">alertas_liquidez  [NUEVO, opcional]</w:t>
      </w:r>
    </w:p>
    <w:p>
      <w:pPr>
        <w:pStyle w:val="ListParagraph"/>
        <w:numPr>
          <w:ilvl w:val="0"/>
          <w:numId w:val="2"/>
        </w:numPr>
        <w:spacing w:after="60"/>
      </w:pPr>
      <w:r>
        <w:t xml:space="preserve">id, tenant_id, umbral_minimo, moneda — el Dueño configura un piso; por debajo de eso, el Centro de Alertas (KPI 13) emite aviso</w:t>
      </w:r>
    </w:p>
    <w:p>
      <w:pPr>
        <w:pStyle w:val="Heading2"/>
        <w:spacing w:after="140" w:before="280"/>
      </w:pPr>
      <w:r>
        <w:t xml:space="preserve">4.4 Solapas y módulos adicionales</w:t>
      </w:r>
    </w:p>
    <w:p>
      <w:pPr>
        <w:pStyle w:val="Heading3"/>
        <w:spacing w:after="100" w:before="220"/>
      </w:pPr>
      <w:r>
        <w:t xml:space="preserve">a) Administración, Compras, Tesorería y RRHH</w:t>
      </w:r>
    </w:p>
    <w:p>
      <w:pPr>
        <w:spacing w:after="100"/>
      </w:pPr>
      <w:r>
        <w:rPr>
          <w:b/>
          <w:bCs/>
          <w:color w:val="2E7D32"/>
          <w:sz w:val="19"/>
          <w:szCs w:val="19"/>
        </w:rPr>
        <w:t xml:space="preserve">[EXISTE]  </w:t>
      </w:r>
      <w:r>
        <w:rPr>
          <w:sz w:val="21"/>
          <w:szCs w:val="21"/>
        </w:rPr>
        <w:t xml:space="preserve">Cubierto por Sistema, Stock → Compras y Personal en la navegación actual.</w:t>
      </w:r>
    </w:p>
    <w:p>
      <w:pPr>
        <w:pStyle w:val="Heading3"/>
        <w:spacing w:after="100" w:before="220"/>
      </w:pPr>
      <w:r>
        <w:t xml:space="preserve">b) Ventas, Stock y Logística</w:t>
      </w:r>
    </w:p>
    <w:p>
      <w:pPr>
        <w:spacing w:after="100"/>
      </w:pPr>
      <w:r>
        <w:rPr>
          <w:b/>
          <w:bCs/>
          <w:color w:val="2E7D32"/>
          <w:sz w:val="19"/>
          <w:szCs w:val="19"/>
        </w:rPr>
        <w:t xml:space="preserve">[EXISTE]  </w:t>
      </w:r>
      <w:r>
        <w:rPr>
          <w:sz w:val="21"/>
          <w:szCs w:val="21"/>
        </w:rPr>
        <w:t xml:space="preserve">Cubierto por las pestañas Ventas y Stock.</w:t>
      </w:r>
    </w:p>
    <w:p>
      <w:pPr>
        <w:pStyle w:val="Heading3"/>
        <w:spacing w:after="100" w:before="220"/>
      </w:pPr>
      <w:r>
        <w:t xml:space="preserve">c) Seguimiento satelital (GPS)</w:t>
      </w:r>
    </w:p>
    <w:p>
      <w:pPr>
        <w:pStyle w:val="ListParagraph"/>
        <w:numPr>
          <w:ilvl w:val="0"/>
          <w:numId w:val="2"/>
        </w:numPr>
        <w:spacing w:after="80"/>
      </w:pPr>
      <w:r>
        <w:rPr>
          <w:b/>
          <w:bCs/>
          <w:color w:val="2E7D32"/>
          <w:sz w:val="19"/>
          <w:szCs w:val="19"/>
        </w:rPr>
        <w:t xml:space="preserve">[EXISTE]  </w:t>
      </w:r>
      <w:r>
        <w:rPr>
          <w:sz w:val="21"/>
          <w:szCs w:val="21"/>
        </w:rPr>
        <w:t xml:space="preserve">Mapa en Vivo: última posición conocida de vendedores/repartidores/cobradores + geofence de clientes, con refresco cada 15 segundos.</w:t>
      </w:r>
    </w:p>
    <w:p>
      <w:pPr>
        <w:pStyle w:val="ListParagraph"/>
        <w:numPr>
          <w:ilvl w:val="0"/>
          <w:numId w:val="2"/>
        </w:numPr>
        <w:spacing w:after="80"/>
      </w:pPr>
      <w:r>
        <w:rPr>
          <w:b/>
          <w:bCs/>
          <w:color w:val="2E7D32"/>
          <w:sz w:val="19"/>
          <w:szCs w:val="19"/>
        </w:rPr>
        <w:t xml:space="preserve">[EXISTE]  </w:t>
      </w:r>
      <w:r>
        <w:rPr>
          <w:sz w:val="21"/>
          <w:szCs w:val="21"/>
        </w:rPr>
        <w:t xml:space="preserve">Vigiladores ya tienen "Mi Ronda" con checkpoints geolocalizados, reutilizable como base para choferes/logística.</w:t>
      </w:r>
    </w:p>
    <w:p>
      <w:pPr>
        <w:pStyle w:val="ListParagraph"/>
        <w:numPr>
          <w:ilvl w:val="0"/>
          <w:numId w:val="2"/>
        </w:numPr>
        <w:spacing w:after="80"/>
      </w:pPr>
      <w:r>
        <w:rPr>
          <w:b/>
          <w:bCs/>
          <w:color w:val="9C2B2B"/>
          <w:sz w:val="19"/>
          <w:szCs w:val="19"/>
        </w:rPr>
        <w:t xml:space="preserve">[NUEVO]  </w:t>
      </w:r>
      <w:r>
        <w:rPr>
          <w:sz w:val="21"/>
          <w:szCs w:val="21"/>
        </w:rPr>
        <w:t xml:space="preserve">Rutas planeadas vs. ruta real, con alertas de desvío configurables por rango Desde/Hasta: requiere una tabla rutas_planeadas (secuencia de paradas esperadas por usuario y fecha) y un cálculo de distancia entre la posición real (posiciones_gps) y el trazo esperado, disparando alerta cuando el desvío supere un umbral configurable por el Dueño. Es la pieza más compleja de esta lista — conviene tratarla como proyecto aparte con su propio diseño técnico antes de estimar.</w:t>
      </w:r>
    </w:p>
    <w:p>
      <w:pPr>
        <w:pStyle w:val="Heading3"/>
        <w:spacing w:after="100" w:before="220"/>
      </w:pPr>
      <w:r>
        <w:t xml:space="preserve">d) Intercomunicador (chat interno corporativo)</w:t>
      </w:r>
    </w:p>
    <w:p>
      <w:pPr>
        <w:spacing w:after="100"/>
      </w:pPr>
      <w:r>
        <w:rPr>
          <w:b/>
          <w:bCs/>
          <w:color w:val="9C2B2B"/>
          <w:sz w:val="19"/>
          <w:szCs w:val="19"/>
        </w:rPr>
        <w:t xml:space="preserve">[NUEVO]  </w:t>
      </w:r>
      <w:r>
        <w:rPr>
          <w:sz w:val="21"/>
          <w:szCs w:val="21"/>
        </w:rPr>
        <w:t xml:space="preserve">Distinto de PUNY WP (que es WhatsApp con clientes externos). Tabla mensajes_internos: id, tenant_id, emisor_id, destinatario_id o canal_id, texto, leido, created_at. Puede reusar gran parte de la UI ya construida para PUNY WP (bandeja de conversaciones), apuntando a una fuente de datos interna en vez de WhatsApp.</w:t>
      </w:r>
    </w:p>
    <w:p>
      <w:pPr>
        <w:pStyle w:val="Heading3"/>
        <w:spacing w:after="100" w:before="220"/>
      </w:pPr>
      <w:r>
        <w:t xml:space="preserve">e) Agenda personal</w:t>
      </w:r>
    </w:p>
    <w:p>
      <w:pPr>
        <w:spacing w:after="100"/>
      </w:pPr>
      <w:r>
        <w:rPr>
          <w:b/>
          <w:bCs/>
          <w:color w:val="9C2B2B"/>
          <w:sz w:val="19"/>
          <w:szCs w:val="19"/>
        </w:rPr>
        <w:t xml:space="preserve">[NUEVO]  </w:t>
      </w:r>
      <w:r>
        <w:rPr>
          <w:sz w:val="21"/>
          <w:szCs w:val="21"/>
        </w:rPr>
        <w:t xml:space="preserve">Tabla agenda_eventos: id, profile_id, titulo, fecha, hora, recordatorio_minutos_antes, tipo (reunión, llamada, tarea, otro), notas. Vista tipo calendario mensual/semanal, por usuario (no compartida entre roles salvo que se pida explícitamente).</w:t>
      </w:r>
    </w:p>
    <w:p>
      <w:pPr>
        <w:pStyle w:val="Heading3"/>
        <w:spacing w:after="100" w:before="220"/>
      </w:pPr>
      <w:r>
        <w:t xml:space="preserve">f) Gestor documental y folletería digital</w:t>
      </w:r>
    </w:p>
    <w:p>
      <w:pPr>
        <w:spacing w:after="100"/>
      </w:pPr>
      <w:r>
        <w:rPr>
          <w:b/>
          <w:bCs/>
          <w:color w:val="9C2B2B"/>
          <w:sz w:val="19"/>
          <w:szCs w:val="19"/>
        </w:rPr>
        <w:t xml:space="preserve">[NUEVO]  </w:t>
      </w:r>
      <w:r>
        <w:rPr>
          <w:sz w:val="21"/>
          <w:szCs w:val="21"/>
        </w:rPr>
        <w:t xml:space="preserve">Tabla documentos: id, tenant_id, categoria (folletería, contrato, manual, otro), nombre, archivo_url (Supabase Storage), visible_para_roles (array), subido_por, created_at. Folletería digital reutiliza el mismo modelo con categoria='folleteria', pensado para que Vendedores la compartan con clientes desde la app de campo.</w:t>
      </w:r>
    </w:p>
    <w:p>
      <w:pPr>
        <w:pStyle w:val="Heading3"/>
        <w:spacing w:after="100" w:before="220"/>
      </w:pPr>
      <w:r>
        <w:t xml:space="preserve">g) Archivos, reportes y estadísticas avanzadas</w:t>
      </w:r>
    </w:p>
    <w:p>
      <w:pPr>
        <w:spacing w:after="100"/>
      </w:pPr>
      <w:r>
        <w:rPr>
          <w:b/>
          <w:bCs/>
          <w:color w:val="2E7D32"/>
          <w:sz w:val="19"/>
          <w:szCs w:val="19"/>
        </w:rPr>
        <w:t xml:space="preserve">[EXISTE]  </w:t>
      </w:r>
      <w:r>
        <w:rPr>
          <w:sz w:val="21"/>
          <w:szCs w:val="21"/>
        </w:rPr>
        <w:t xml:space="preserve">Cubierto por Informes y Reportes: Dashboard Ejecutivo, PUNY BI, informes por módulo (Ventas, Cobranzas, Stock, RRHH) con exportación a PDF/Excel.</w:t>
      </w:r>
    </w:p>
    <w:p>
      <w:pPr>
        <w:pStyle w:val="Heading3"/>
        <w:spacing w:after="100" w:before="220"/>
      </w:pPr>
      <w:r>
        <w:t xml:space="preserve">h) Otras solapas operativas</w:t>
      </w:r>
    </w:p>
    <w:p>
      <w:pPr>
        <w:spacing w:after="100"/>
      </w:pPr>
      <w:r>
        <w:rPr>
          <w:b/>
          <w:bCs/>
          <w:color w:val="2E7D32"/>
          <w:sz w:val="19"/>
          <w:szCs w:val="19"/>
        </w:rPr>
        <w:t xml:space="preserve">[EXISTE]  </w:t>
      </w:r>
      <w:r>
        <w:rPr>
          <w:sz w:val="21"/>
          <w:szCs w:val="21"/>
        </w:rPr>
        <w:t xml:space="preserve">Comercial, Comunicación (WhatsApp, redes sociales, notificaciones) y Sistema ya cubren el resto de la operación diaria.</w:t>
      </w:r>
    </w:p>
    <w:p>
      <w:pPr>
        <w:pStyle w:val="Heading2"/>
        <w:spacing w:after="140" w:before="280"/>
      </w:pPr>
      <w:r>
        <w:t xml:space="preserve">4.5 UX del Panel Principal</w:t>
      </w:r>
    </w:p>
    <w:p>
      <w:pPr>
        <w:pStyle w:val="ListParagraph"/>
        <w:numPr>
          <w:ilvl w:val="0"/>
          <w:numId w:val="2"/>
        </w:numPr>
        <w:spacing w:after="60"/>
      </w:pPr>
      <w:r>
        <w:t xml:space="preserve">Grilla de 13 tarjetas KPI (mismo componente StatCard ya usado en todo el sistema), cada una con click → navega directo al módulo de origen (mismo patrón que ya usan los accesos rápidos de "Panorama del día").</w:t>
      </w:r>
    </w:p>
    <w:p>
      <w:pPr>
        <w:pStyle w:val="ListParagraph"/>
        <w:numPr>
          <w:ilvl w:val="0"/>
          <w:numId w:val="2"/>
        </w:numPr>
        <w:spacing w:after="60"/>
      </w:pPr>
      <w:r>
        <w:t xml:space="preserve">Franja superior fija: Centro de Alertas consolidado (hoy vive solo en Finanzas; pasa a la portada del Panel Principal y se alimenta también de las alertas financieras nuevas).</w:t>
      </w:r>
    </w:p>
    <w:p>
      <w:pPr>
        <w:pStyle w:val="ListParagraph"/>
        <w:numPr>
          <w:ilvl w:val="0"/>
          <w:numId w:val="2"/>
        </w:numPr>
        <w:spacing w:after="60"/>
      </w:pPr>
      <w:r>
        <w:t xml:space="preserve">El total de liquidez (KPI 8) se destaca visualmente como la tarjeta más grande de la grilla, por ser el número que un Dueño mira primero al abrir el sistema.</w:t>
      </w:r>
    </w:p>
    <w:p>
      <w:pPr>
        <w:pStyle w:val="ListParagraph"/>
        <w:numPr>
          <w:ilvl w:val="0"/>
          <w:numId w:val="2"/>
        </w:numPr>
        <w:spacing w:after="60"/>
      </w:pPr>
      <w:r>
        <w:t xml:space="preserve">Multi-moneda: cuando haya más de una moneda con saldo, cada tarjeta de dinero (caja, billeteras, tarjetas, bancos, liquidez) muestra un desglose por moneda en vez de un único número, para no ocultar información sumando divisas distintas.</w:t>
      </w:r>
    </w:p>
    <w:p>
      <w:r>
        <w:br w:type="page"/>
      </w:r>
    </w:p>
    <w:p>
      <w:pPr>
        <w:pStyle w:val="Heading1"/>
        <w:spacing w:after="160" w:before="360"/>
      </w:pPr>
      <w:r>
        <w:t xml:space="preserve">5. Plan de implementación sugerido</w:t>
      </w:r>
    </w:p>
    <w:p>
      <w:pPr>
        <w:spacing w:after="140"/>
      </w:pPr>
      <w:r>
        <w:rPr>
          <w:sz w:val="21"/>
          <w:szCs w:val="21"/>
        </w:rPr>
        <w:t xml:space="preserve">Orden propuesto por impacto y dependencia técnica. No implica fechas — la prioridad la definís 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1B2A4A" w:val="clear"/>
            <w:tcMar>
              <w:top w:type="dxa" w:w="80"/>
              <w:left w:type="dxa" w:w="100"/>
              <w:bottom w:type="dxa" w:w="80"/>
              <w:right w:type="dxa" w:w="100"/>
            </w:tcMar>
          </w:tcPr>
          <w:p>
            <w:r>
              <w:rPr>
                <w:b/>
                <w:bCs/>
                <w:color w:val="FFFFFF"/>
                <w:sz w:val="19"/>
                <w:szCs w:val="19"/>
              </w:rPr>
              <w:t xml:space="preserve">Fase</w:t>
            </w:r>
          </w:p>
        </w:tc>
        <w:tc>
          <w:tcPr>
            <w:tcW w:type="dxa" w:w="7326"/>
            <w:shd w:fill="1B2A4A" w:val="clear"/>
            <w:tcMar>
              <w:top w:type="dxa" w:w="80"/>
              <w:left w:type="dxa" w:w="100"/>
              <w:bottom w:type="dxa" w:w="80"/>
              <w:right w:type="dxa" w:w="100"/>
            </w:tcMar>
          </w:tcPr>
          <w:p>
            <w:r>
              <w:rPr>
                <w:b/>
                <w:bCs/>
                <w:color w:val="FFFFFF"/>
                <w:sz w:val="19"/>
                <w:szCs w:val="19"/>
              </w:rPr>
              <w:t xml:space="preserve">Contenido</w:t>
            </w:r>
          </w:p>
        </w:tc>
      </w:tr>
      <w:tr>
        <w:tc>
          <w:tcPr>
            <w:tcW w:type="dxa" w:w="1700"/>
            <w:shd w:fill="F5F0E4" w:val="clear"/>
            <w:tcMar>
              <w:top w:type="dxa" w:w="80"/>
              <w:left w:type="dxa" w:w="100"/>
              <w:bottom w:type="dxa" w:w="80"/>
              <w:right w:type="dxa" w:w="100"/>
            </w:tcMar>
          </w:tcPr>
          <w:p>
            <w:r>
              <w:rPr>
                <w:b/>
                <w:bCs/>
                <w:color w:val="1B2A4A"/>
                <w:sz w:val="19"/>
                <w:szCs w:val="19"/>
              </w:rPr>
              <w:t xml:space="preserve">Fase A</w:t>
            </w:r>
          </w:p>
        </w:tc>
        <w:tc>
          <w:tcPr>
            <w:tcW w:type="dxa" w:w="7326"/>
            <w:tcMar>
              <w:top w:type="dxa" w:w="80"/>
              <w:left w:type="dxa" w:w="100"/>
              <w:bottom w:type="dxa" w:w="80"/>
              <w:right w:type="dxa" w:w="100"/>
            </w:tcMar>
          </w:tcPr>
          <w:p>
            <w:r>
              <w:rPr>
                <w:b w:val="false"/>
                <w:bCs w:val="false"/>
                <w:color w:val="000000"/>
                <w:sz w:val="19"/>
                <w:szCs w:val="19"/>
              </w:rPr>
              <w:t xml:space="preserve">Multi-moneda real en Caja y corrección del límite de 2 monedas en Bancos + cálculo de Total Consolidado de Liquidez (KPI 4, 7, 8). Base para todo lo demás.</w:t>
            </w:r>
          </w:p>
        </w:tc>
      </w:tr>
      <w:tr>
        <w:tc>
          <w:tcPr>
            <w:tcW w:type="dxa" w:w="1700"/>
            <w:shd w:fill="F5F0E4" w:val="clear"/>
            <w:tcMar>
              <w:top w:type="dxa" w:w="80"/>
              <w:left w:type="dxa" w:w="100"/>
              <w:bottom w:type="dxa" w:w="80"/>
              <w:right w:type="dxa" w:w="100"/>
            </w:tcMar>
          </w:tcPr>
          <w:p>
            <w:r>
              <w:rPr>
                <w:b/>
                <w:bCs/>
                <w:color w:val="1B2A4A"/>
                <w:sz w:val="19"/>
                <w:szCs w:val="19"/>
              </w:rPr>
              <w:t xml:space="preserve">Fase B</w:t>
            </w:r>
          </w:p>
        </w:tc>
        <w:tc>
          <w:tcPr>
            <w:tcW w:type="dxa" w:w="7326"/>
            <w:tcMar>
              <w:top w:type="dxa" w:w="80"/>
              <w:left w:type="dxa" w:w="100"/>
              <w:bottom w:type="dxa" w:w="80"/>
              <w:right w:type="dxa" w:w="100"/>
            </w:tcMar>
          </w:tcPr>
          <w:p>
            <w:r>
              <w:rPr>
                <w:b w:val="false"/>
                <w:bCs w:val="false"/>
                <w:color w:val="000000"/>
                <w:sz w:val="19"/>
                <w:szCs w:val="19"/>
              </w:rPr>
              <w:t xml:space="preserve">Billeteras virtuales y Tarjetas de crédito con saldo consolidado (KPI 5 y 6).</w:t>
            </w:r>
          </w:p>
        </w:tc>
      </w:tr>
      <w:tr>
        <w:tc>
          <w:tcPr>
            <w:tcW w:type="dxa" w:w="1700"/>
            <w:shd w:fill="F5F0E4" w:val="clear"/>
            <w:tcMar>
              <w:top w:type="dxa" w:w="80"/>
              <w:left w:type="dxa" w:w="100"/>
              <w:bottom w:type="dxa" w:w="80"/>
              <w:right w:type="dxa" w:w="100"/>
            </w:tcMar>
          </w:tcPr>
          <w:p>
            <w:r>
              <w:rPr>
                <w:b/>
                <w:bCs/>
                <w:color w:val="1B2A4A"/>
                <w:sz w:val="19"/>
                <w:szCs w:val="19"/>
              </w:rPr>
              <w:t xml:space="preserve">Fase C</w:t>
            </w:r>
          </w:p>
        </w:tc>
        <w:tc>
          <w:tcPr>
            <w:tcW w:type="dxa" w:w="7326"/>
            <w:tcMar>
              <w:top w:type="dxa" w:w="80"/>
              <w:left w:type="dxa" w:w="100"/>
              <w:bottom w:type="dxa" w:w="80"/>
              <w:right w:type="dxa" w:w="100"/>
            </w:tcMar>
          </w:tcPr>
          <w:p>
            <w:r>
              <w:rPr>
                <w:b w:val="false"/>
                <w:bCs w:val="false"/>
                <w:color w:val="000000"/>
                <w:sz w:val="19"/>
                <w:szCs w:val="19"/>
              </w:rPr>
              <w:t xml:space="preserve">Cheques propios librados (KPI 9).</w:t>
            </w:r>
          </w:p>
        </w:tc>
      </w:tr>
      <w:tr>
        <w:tc>
          <w:tcPr>
            <w:tcW w:type="dxa" w:w="1700"/>
            <w:shd w:fill="F5F0E4" w:val="clear"/>
            <w:tcMar>
              <w:top w:type="dxa" w:w="80"/>
              <w:left w:type="dxa" w:w="100"/>
              <w:bottom w:type="dxa" w:w="80"/>
              <w:right w:type="dxa" w:w="100"/>
            </w:tcMar>
          </w:tcPr>
          <w:p>
            <w:r>
              <w:rPr>
                <w:b/>
                <w:bCs/>
                <w:color w:val="1B2A4A"/>
                <w:sz w:val="19"/>
                <w:szCs w:val="19"/>
              </w:rPr>
              <w:t xml:space="preserve">Fase D</w:t>
            </w:r>
          </w:p>
        </w:tc>
        <w:tc>
          <w:tcPr>
            <w:tcW w:type="dxa" w:w="7326"/>
            <w:tcMar>
              <w:top w:type="dxa" w:w="80"/>
              <w:left w:type="dxa" w:w="100"/>
              <w:bottom w:type="dxa" w:w="80"/>
              <w:right w:type="dxa" w:w="100"/>
            </w:tcMar>
          </w:tcPr>
          <w:p>
            <w:r>
              <w:rPr>
                <w:b w:val="false"/>
                <w:bCs w:val="false"/>
                <w:color w:val="000000"/>
                <w:sz w:val="19"/>
                <w:szCs w:val="19"/>
              </w:rPr>
              <w:t xml:space="preserve">Panel de Ausentismo Diario (KPI 12) y Centro de Alertas consolidado en portada (KPI 13).</w:t>
            </w:r>
          </w:p>
        </w:tc>
      </w:tr>
      <w:tr>
        <w:tc>
          <w:tcPr>
            <w:tcW w:type="dxa" w:w="1700"/>
            <w:shd w:fill="F5F0E4" w:val="clear"/>
            <w:tcMar>
              <w:top w:type="dxa" w:w="80"/>
              <w:left w:type="dxa" w:w="100"/>
              <w:bottom w:type="dxa" w:w="80"/>
              <w:right w:type="dxa" w:w="100"/>
            </w:tcMar>
          </w:tcPr>
          <w:p>
            <w:r>
              <w:rPr>
                <w:b/>
                <w:bCs/>
                <w:color w:val="1B2A4A"/>
                <w:sz w:val="19"/>
                <w:szCs w:val="19"/>
              </w:rPr>
              <w:t xml:space="preserve">Fase E</w:t>
            </w:r>
          </w:p>
        </w:tc>
        <w:tc>
          <w:tcPr>
            <w:tcW w:type="dxa" w:w="7326"/>
            <w:tcMar>
              <w:top w:type="dxa" w:w="80"/>
              <w:left w:type="dxa" w:w="100"/>
              <w:bottom w:type="dxa" w:w="80"/>
              <w:right w:type="dxa" w:w="100"/>
            </w:tcMar>
          </w:tcPr>
          <w:p>
            <w:r>
              <w:rPr>
                <w:b w:val="false"/>
                <w:bCs w:val="false"/>
                <w:color w:val="000000"/>
                <w:sz w:val="19"/>
                <w:szCs w:val="19"/>
              </w:rPr>
              <w:t xml:space="preserve">Panel Principal de 13 KPIs — armado final de portada del Dueño, uniendo lo construido en A-D con lo que ya existe (KPI 1, 2, 3, 10, 11).</w:t>
            </w:r>
          </w:p>
        </w:tc>
      </w:tr>
      <w:tr>
        <w:tc>
          <w:tcPr>
            <w:tcW w:type="dxa" w:w="1700"/>
            <w:shd w:fill="F5F0E4" w:val="clear"/>
            <w:tcMar>
              <w:top w:type="dxa" w:w="80"/>
              <w:left w:type="dxa" w:w="100"/>
              <w:bottom w:type="dxa" w:w="80"/>
              <w:right w:type="dxa" w:w="100"/>
            </w:tcMar>
          </w:tcPr>
          <w:p>
            <w:r>
              <w:rPr>
                <w:b/>
                <w:bCs/>
                <w:color w:val="1B2A4A"/>
                <w:sz w:val="19"/>
                <w:szCs w:val="19"/>
              </w:rPr>
              <w:t xml:space="preserve">Fase F</w:t>
            </w:r>
          </w:p>
        </w:tc>
        <w:tc>
          <w:tcPr>
            <w:tcW w:type="dxa" w:w="7326"/>
            <w:tcMar>
              <w:top w:type="dxa" w:w="80"/>
              <w:left w:type="dxa" w:w="100"/>
              <w:bottom w:type="dxa" w:w="80"/>
              <w:right w:type="dxa" w:w="100"/>
            </w:tcMar>
          </w:tcPr>
          <w:p>
            <w:r>
              <w:rPr>
                <w:b w:val="false"/>
                <w:bCs w:val="false"/>
                <w:color w:val="000000"/>
                <w:sz w:val="19"/>
                <w:szCs w:val="19"/>
              </w:rPr>
              <w:t xml:space="preserve">GPS — rutas planeadas y alertas de desvío configurable (el ítem más complejo; diseño técnico aparte antes de estimar).</w:t>
            </w:r>
          </w:p>
        </w:tc>
      </w:tr>
      <w:tr>
        <w:tc>
          <w:tcPr>
            <w:tcW w:type="dxa" w:w="1700"/>
            <w:shd w:fill="F5F0E4" w:val="clear"/>
            <w:tcMar>
              <w:top w:type="dxa" w:w="80"/>
              <w:left w:type="dxa" w:w="100"/>
              <w:bottom w:type="dxa" w:w="80"/>
              <w:right w:type="dxa" w:w="100"/>
            </w:tcMar>
          </w:tcPr>
          <w:p>
            <w:r>
              <w:rPr>
                <w:b/>
                <w:bCs/>
                <w:color w:val="1B2A4A"/>
                <w:sz w:val="19"/>
                <w:szCs w:val="19"/>
              </w:rPr>
              <w:t xml:space="preserve">Fase G</w:t>
            </w:r>
          </w:p>
        </w:tc>
        <w:tc>
          <w:tcPr>
            <w:tcW w:type="dxa" w:w="7326"/>
            <w:tcMar>
              <w:top w:type="dxa" w:w="80"/>
              <w:left w:type="dxa" w:w="100"/>
              <w:bottom w:type="dxa" w:w="80"/>
              <w:right w:type="dxa" w:w="100"/>
            </w:tcMar>
          </w:tcPr>
          <w:p>
            <w:r>
              <w:rPr>
                <w:b w:val="false"/>
                <w:bCs w:val="false"/>
                <w:color w:val="000000"/>
                <w:sz w:val="19"/>
                <w:szCs w:val="19"/>
              </w:rPr>
              <w:t xml:space="preserve">Intercomunicador, Agenda Personal, Gestor Documental y Folletería.</w:t>
            </w:r>
          </w:p>
        </w:tc>
      </w:tr>
      <w:tr>
        <w:tc>
          <w:tcPr>
            <w:tcW w:type="dxa" w:w="1700"/>
            <w:shd w:fill="F5F0E4" w:val="clear"/>
            <w:tcMar>
              <w:top w:type="dxa" w:w="80"/>
              <w:left w:type="dxa" w:w="100"/>
              <w:bottom w:type="dxa" w:w="80"/>
              <w:right w:type="dxa" w:w="100"/>
            </w:tcMar>
          </w:tcPr>
          <w:p>
            <w:r>
              <w:rPr>
                <w:b/>
                <w:bCs/>
                <w:color w:val="1B2A4A"/>
                <w:sz w:val="19"/>
                <w:szCs w:val="19"/>
              </w:rPr>
              <w:t xml:space="preserve">Fase H</w:t>
            </w:r>
          </w:p>
        </w:tc>
        <w:tc>
          <w:tcPr>
            <w:tcW w:type="dxa" w:w="7326"/>
            <w:tcMar>
              <w:top w:type="dxa" w:w="80"/>
              <w:left w:type="dxa" w:w="100"/>
              <w:bottom w:type="dxa" w:w="80"/>
              <w:right w:type="dxa" w:w="100"/>
            </w:tcMar>
          </w:tcPr>
          <w:p>
            <w:r>
              <w:rPr>
                <w:b w:val="false"/>
                <w:bCs w:val="false"/>
                <w:color w:val="000000"/>
                <w:sz w:val="19"/>
                <w:szCs w:val="19"/>
              </w:rPr>
              <w:t xml:space="preserve">Usuario Maestro — historial de pagos, checklist de confirmación, mensajería masiva con modal, ampliación del cron de auditoría de vencimientos.</w:t>
            </w:r>
          </w:p>
        </w:tc>
      </w:tr>
    </w:tbl>
    <w:p>
      <w:pPr>
        <w:spacing w:after="140"/>
      </w:pPr>
      <w:r>
        <w:rPr>
          <w:sz w:val="21"/>
          <w:szCs w:val="21"/>
        </w:rPr>
        <w:t xml:space="preserve"> </w:t>
      </w:r>
    </w:p>
    <w:p>
      <w:pPr>
        <w:pStyle w:val="Heading1"/>
        <w:spacing w:after="160" w:before="360"/>
      </w:pPr>
      <w:r>
        <w:t xml:space="preserve">6. Riesgos y decisiones que requieren tu confirmación</w:t>
      </w:r>
    </w:p>
    <w:p>
      <w:pPr>
        <w:pStyle w:val="ListParagraph"/>
        <w:numPr>
          <w:ilvl w:val="0"/>
          <w:numId w:val="2"/>
        </w:numPr>
        <w:spacing w:after="80"/>
      </w:pPr>
      <w:r>
        <w:rPr>
          <w:b/>
          <w:bCs/>
          <w:color w:val="9C2B2B"/>
          <w:sz w:val="19"/>
          <w:szCs w:val="19"/>
        </w:rPr>
        <w:t xml:space="preserve">[RIESGO]  </w:t>
      </w:r>
      <w:r>
        <w:rPr>
          <w:sz w:val="21"/>
          <w:szCs w:val="21"/>
        </w:rPr>
        <w:t xml:space="preserve">Despliegue automático a producción por cron sin supervisión (punto 3.3.d): propongo staging + aprobación manual de Master. Confirmame si preferís que lo dejemos totalmente automático de todas formas.</w:t>
      </w:r>
    </w:p>
    <w:p>
      <w:pPr>
        <w:pStyle w:val="ListParagraph"/>
        <w:numPr>
          <w:ilvl w:val="0"/>
          <w:numId w:val="2"/>
        </w:numPr>
        <w:spacing w:after="60"/>
      </w:pPr>
      <w:r>
        <w:rPr>
          <w:sz w:val="21"/>
          <w:szCs w:val="21"/>
        </w:rPr>
        <w:t xml:space="preserve">Envío de emails desde el sistema (autogestión de clave, punto 3.3.b): </w:t>
      </w:r>
      <w:r>
        <w:rPr>
          <w:sz w:val="21"/>
          <w:szCs w:val="21"/>
        </w:rPr>
        <w:t xml:space="preserve">hoy no hay integración de email transaccional (solo WhatsApp). Hace falta dar de alta un proveedor (ej. Resend, SendGrid) con sus credenciales antes de construir este flujo.</w:t>
      </w:r>
    </w:p>
    <w:p>
      <w:pPr>
        <w:pStyle w:val="ListParagraph"/>
        <w:numPr>
          <w:ilvl w:val="0"/>
          <w:numId w:val="2"/>
        </w:numPr>
        <w:spacing w:after="60"/>
      </w:pPr>
      <w:r>
        <w:rPr>
          <w:sz w:val="21"/>
          <w:szCs w:val="21"/>
        </w:rPr>
        <w:t xml:space="preserve">Límite de 3 divisas en Caja: </w:t>
      </w:r>
      <w:r>
        <w:rPr>
          <w:sz w:val="21"/>
          <w:szCs w:val="21"/>
        </w:rPr>
        <w:t xml:space="preserve">el límite actual de 2 monedas visibles es un recorte de interfaz (.slice(0,2) en el código), no una limitación de diseño. Al corregirlo, ¿confirmás que el tope real de negocio es 3, o preferís dejarlo sin límite técnico (igual que Bancos y Billeteras, que ya piden "sin límite de entidades")?</w:t>
      </w:r>
    </w:p>
    <w:p>
      <w:pPr>
        <w:pStyle w:val="ListParagraph"/>
        <w:numPr>
          <w:ilvl w:val="0"/>
          <w:numId w:val="2"/>
        </w:numPr>
        <w:spacing w:after="60"/>
      </w:pPr>
      <w:r>
        <w:rPr>
          <w:sz w:val="21"/>
          <w:szCs w:val="21"/>
        </w:rPr>
        <w:t xml:space="preserve">Billeteras y tarjetas "sin límite de entidades/liquidadoras": </w:t>
      </w:r>
      <w:r>
        <w:rPr>
          <w:sz w:val="21"/>
          <w:szCs w:val="21"/>
        </w:rPr>
        <w:t xml:space="preserve">se van a modelar como catálogo abierto — el propio Dueño da de alta cualquier entidad nueva desde la pantalla, sin que Master ni nadie del lado del proveedor del SaaS tenga que habilitarla primero.</w:t>
      </w:r>
    </w:p>
    <w:p>
      <w:pPr>
        <w:pStyle w:val="ListParagraph"/>
        <w:numPr>
          <w:ilvl w:val="0"/>
          <w:numId w:val="2"/>
        </w:numPr>
        <w:spacing w:after="60"/>
      </w:pPr>
      <w:r>
        <w:rPr>
          <w:sz w:val="21"/>
          <w:szCs w:val="21"/>
        </w:rPr>
        <w:t xml:space="preserve">GPS con alertas de desvío de ruta: </w:t>
      </w:r>
      <w:r>
        <w:rPr>
          <w:sz w:val="21"/>
          <w:szCs w:val="21"/>
        </w:rPr>
        <w:t xml:space="preserve">es el ítem de mayor complejidad técnica de todo el documento (requiere definir qué es una "ruta planeada", tolerancia de desvío, y evitar falsos positivos por errores normales de GPS). Antes de estimarlo en fases, conviene una sesión aparte solo para ese punto.</w:t>
      </w:r>
    </w:p>
    <w:p>
      <w:pPr>
        <w:pStyle w:val="Heading1"/>
        <w:spacing w:after="160" w:before="360"/>
      </w:pPr>
      <w:r>
        <w:t xml:space="preserve">7. Próximo paso</w:t>
      </w:r>
    </w:p>
    <w:p>
      <w:pPr>
        <w:spacing w:after="140"/>
      </w:pPr>
      <w:r>
        <w:rPr>
          <w:sz w:val="21"/>
          <w:szCs w:val="21"/>
        </w:rPr>
        <w:t xml:space="preserve">Decime qué fase priorizar (o si querés que arranque por la A en orden) y empiezo la implementación. Si preferís primero resolver los puntos de la sección 6, los charlamos antes de tocar código.</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7A5C0A" w:sz="8" w:space="4"/>
      </w:pBdr>
      <w:spacing w:after="160" w:before="360"/>
    </w:pPr>
    <w:rPr>
      <w:b/>
      <w:bCs/>
      <w:color w:val="1B2A4A"/>
      <w:sz w:val="30"/>
      <w:szCs w:val="30"/>
    </w:rPr>
  </w:style>
  <w:style w:type="paragraph" w:styleId="Heading2">
    <w:name w:val="Heading 2"/>
    <w:basedOn w:val="Normal"/>
    <w:next w:val="Normal"/>
    <w:pPr>
      <w:spacing w:after="140" w:before="280"/>
    </w:pPr>
    <w:rPr>
      <w:b/>
      <w:bCs/>
      <w:color w:val="7A5C0A"/>
      <w:sz w:val="25"/>
      <w:szCs w:val="25"/>
    </w:rPr>
  </w:style>
  <w:style w:type="paragraph" w:styleId="Heading3">
    <w:name w:val="Heading 3"/>
    <w:basedOn w:val="Normal"/>
    <w:next w:val="Normal"/>
    <w:pPr>
      <w:spacing w:after="100" w:before="220"/>
    </w:pPr>
    <w:rPr>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2026-08-20T23:21:52.451Z</dcterms:created>
  <dcterms:modified xsi:type="dcterms:W3CDTF">2026-08-20T23:21:52.459Z</dcterms:modified>
</cp:coreProperties>
</file>

<file path=docProps/custom.xml><?xml version="1.0" encoding="utf-8"?>
<Properties xmlns="http://schemas.openxmlformats.org/officeDocument/2006/custom-properties" xmlns:vt="http://schemas.openxmlformats.org/officeDocument/2006/docPropsVTypes"/>
</file>