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5A0E24"/>
          <w:sz w:val="40"/>
          <w:szCs w:val="40"/>
        </w:rPr>
        <w:t xml:space="preserve">PUNY 2026 INTEGRAL</w:t>
      </w:r>
    </w:p>
    <w:p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 xml:space="preserve">Sistema integral de distribución mayorista y multicanal</w:t>
      </w:r>
    </w:p>
    <w:p>
      <w:pPr>
        <w:spacing w:after="200"/>
        <w:jc w:val="center"/>
      </w:pPr>
      <w:r>
        <w:rPr>
          <w:b/>
          <w:bCs/>
          <w:color w:val="5A0E24"/>
          <w:sz w:val="32"/>
          <w:szCs w:val="32"/>
        </w:rPr>
        <w:t xml:space="preserve">Manual de Usuario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Usuario Maestro (gestión de la plataforma)</w:t>
      </w:r>
    </w:p>
    <w:p>
      <w:pPr>
        <w:spacing w:after="100" w:before="300"/>
        <w:jc w:val="center"/>
      </w:pPr>
      <w:r>
        <w:rPr>
          <w:b/>
          <w:bCs/>
          <w:color w:val="B8860B"/>
          <w:sz w:val="20"/>
          <w:szCs w:val="20"/>
        </w:rPr>
        <w:t xml:space="preserve">Rol: Usuario Maestro</w:t>
      </w:r>
    </w:p>
    <w:p>
      <w:pPr>
        <w:spacing w:before="1200"/>
        <w:jc w:val="center"/>
      </w:pPr>
      <w:r>
        <w:rPr>
          <w:color w:val="666666"/>
          <w:sz w:val="16"/>
          <w:szCs w:val="16"/>
        </w:rPr>
        <w:t xml:space="preserve">Desarrollado por Pablo M. Mugherli · © 2026</w:t>
      </w:r>
    </w:p>
    <w:p>
      <w:r>
        <w:br w:type="page"/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1. Qué es el Usuario Maestro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Usuario Maestro es el rol de más alto nivel de PUNY 2026 INTEGRAL. Administra la plataforma completa a nivel de todas las distribuidoras (tenants) que la usan, pero NO tiene acceso a los datos de negocio de ninguna de ellas: no ve pedidos, clientes, stock, finanzas ni ningún dato comercial. Su función es exclusivamente administrativa y de licenciamiento.</w:t>
      </w:r>
    </w:p>
    <w:tbl>
      <w:tblPr>
        <w:tblW w:type="pct" w:w="100%"/>
        <w:tblBorders>
          <w:top w:val="single" w:color="5A0E24" w:sz="4"/>
          <w:left w:val="single" w:color="5A0E24" w:sz="24"/>
          <w:bottom w:val="single" w:color="5A0E24" w:sz="4"/>
          <w:right w:val="single" w:color="5A0E2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E9C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Restricción de diseño: esta separación es intencional y está reforzada por las políticas de seguridad de la base de datos (RLS). El Usuario Maestro no puede ver información de negocio aunque lo intente desde la URL directa.</w:t>
            </w:r>
          </w:p>
        </w:tc>
      </w:tr>
    </w:tbl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2. Panel de Distribuidoras (Tenants)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Desde /dashboard/master se administra el listado completo de distribuidoras dadas de alta en la plataforma.</w:t>
      </w:r>
    </w:p>
    <w:p>
      <w:pPr>
        <w:pStyle w:val="Heading2"/>
        <w:spacing w:after="150" w:before="300"/>
      </w:pPr>
      <w:r>
        <w:rPr>
          <w:b/>
          <w:bCs/>
          <w:color w:val="5A0E24"/>
          <w:sz w:val="24"/>
          <w:szCs w:val="24"/>
        </w:rPr>
        <w:t xml:space="preserve">2.1 Alta de una nueva distribuidora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Nombre comercial, razón social, CUIT, dirección, teléfono, email de contacto y sitio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Slug único (identifica la URL/base de datos lógica de la distribuidora).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Datos de marca: logo, color de fondo y color de texto — se reflejan automáticamente en toda la interfaz de esa distribuidora.</w:t>
      </w:r>
    </w:p>
    <w:p>
      <w:pPr>
        <w:pStyle w:val="Heading2"/>
        <w:spacing w:after="150" w:before="300"/>
      </w:pPr>
      <w:r>
        <w:rPr>
          <w:b/>
          <w:bCs/>
          <w:color w:val="5A0E24"/>
          <w:sz w:val="24"/>
          <w:szCs w:val="24"/>
        </w:rPr>
        <w:t xml:space="preserve">2.2 Estado de la cuenta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Estado</w:t>
            </w:r>
          </w:p>
        </w:tc>
        <w:tc>
          <w:tcPr>
            <w:tcW w:type="dxa" w:w="45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Operación normal, todos los usuarios de la distribuidora pueden ingresar.</w:t>
            </w:r>
          </w:p>
        </w:tc>
      </w:tr>
      <w:tr>
        <w:trPr>
          <w:cantSplit/>
        </w:trPr>
        <w:tc>
          <w:tcPr>
            <w:tcW w:type="dxa" w:w="45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Pausado</w:t>
            </w:r>
          </w:p>
        </w:tc>
        <w:tc>
          <w:tcPr>
            <w:tcW w:type="dxa" w:w="45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Acceso bloqueado temporalmente (por ejemplo, atraso de pago en revisión). Se recomienda registrar el motivo.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Suspendido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Bloqueo definitivo hasta nueva decisión del Usuario Maestro.</w:t>
            </w:r>
          </w:p>
        </w:tc>
      </w:tr>
    </w:tbl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3. Licenciamiento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Cada distribuidora tiene un esquema de cobro configurable de forma independiente: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Pago único (fecha fija): </w:t>
      </w:r>
      <w:r>
        <w:rPr>
          <w:color w:val="222222"/>
          <w:sz w:val="21"/>
          <w:szCs w:val="21"/>
        </w:rPr>
        <w:t xml:space="preserve">vencimiento en una fecha determinada, sin recurrencia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Abono / mantenimiento mensual: </w:t>
      </w:r>
      <w:r>
        <w:rPr>
          <w:color w:val="222222"/>
          <w:sz w:val="21"/>
          <w:szCs w:val="21"/>
        </w:rPr>
        <w:t xml:space="preserve">se define un día de vencimiento mensual (1–31) y el sistema calcula automáticamente el próximo vencimiento.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Campos configurables por distribuidora: monto de licencia, moneda, día de vencimiento mensual, y valores de aumento programado (próximo monto y fecha de vigencia) para anticipar incrementos ya pactados.</w:t>
      </w:r>
    </w:p>
    <w:p>
      <w:pPr>
        <w:pStyle w:val="Heading2"/>
        <w:spacing w:after="150" w:before="300"/>
      </w:pPr>
      <w:r>
        <w:rPr>
          <w:b/>
          <w:bCs/>
          <w:color w:val="5A0E24"/>
          <w:sz w:val="24"/>
          <w:szCs w:val="24"/>
        </w:rPr>
        <w:t xml:space="preserve">3.1 Alertas de vencimiento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sistema calcula automáticamente el estado de vencimiento de cada distribuidora y muestra una alerta visual (componente AlertaLicencia) dentro del panel de esa distribuidora cuando se acerca o se cumple la fecha de pago — sin necesidad de que el Usuario Maestro revise manualmente cada cuenta.</w:t>
      </w:r>
    </w:p>
    <w:p>
      <w:pPr>
        <w:pStyle w:val="Heading2"/>
        <w:spacing w:after="150" w:before="300"/>
      </w:pPr>
      <w:r>
        <w:rPr>
          <w:b/>
          <w:bCs/>
          <w:color w:val="5A0E24"/>
          <w:sz w:val="24"/>
          <w:szCs w:val="24"/>
        </w:rPr>
        <w:t xml:space="preserve">3.2 Actualizar licencia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acción "actualizar_licencia" permite registrar un pago o renovación: actualiza la fecha de próximo vencimiento según el esquema de cobro configurado, y limpia la alerta de vencimiento vigente.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4. Buenas prácticas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Revisar el estado de las distribuidoras con licencia próxima a vencer antes de que el sistema las bloquee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Usar "Pausado" en vez de "Suspendido" para atrasos que se esperan resolver en el corto plazo, dejando registrado el motivo.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No compartir las credenciales de Usuario Maestro: es el único rol con visibilidad sobre todas las distribuidoras a la vez.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2"/>
        <w:szCs w:val="12"/>
      </w:rPr>
      <w:t xml:space="preserve">PUNY 2026 INTEGRAL · Desarrollado por Pablo M. Mugherli · Todos los derechos reservados · +54 3442 503007 · pablomugherli@gmail.com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2026-08-16T17:22:22.200Z</dcterms:created>
  <dcterms:modified xsi:type="dcterms:W3CDTF">2026-08-16T17:22:22.211Z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