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5A0E24"/>
          <w:sz w:val="40"/>
          <w:szCs w:val="40"/>
        </w:rPr>
        <w:t xml:space="preserve">PUNY 2026 INTEGRAL</w:t>
      </w:r>
    </w:p>
    <w:p>
      <w:pPr>
        <w:spacing w:after="600"/>
        <w:jc w:val="center"/>
      </w:pPr>
      <w:r>
        <w:rPr>
          <w:i/>
          <w:iCs/>
          <w:color w:val="B8860B"/>
          <w:sz w:val="22"/>
          <w:szCs w:val="22"/>
        </w:rPr>
        <w:t xml:space="preserve">Sistema integral de distribución mayorista y multicanal</w:t>
      </w:r>
    </w:p>
    <w:p>
      <w:pPr>
        <w:spacing w:after="200"/>
        <w:jc w:val="center"/>
      </w:pPr>
      <w:r>
        <w:rPr>
          <w:b/>
          <w:bCs/>
          <w:color w:val="5A0E24"/>
          <w:sz w:val="32"/>
          <w:szCs w:val="32"/>
        </w:rPr>
        <w:t xml:space="preserve">Manual de Usuario</w:t>
      </w:r>
    </w:p>
    <w:p>
      <w:pPr>
        <w:spacing w:after="100"/>
        <w:jc w:val="center"/>
      </w:pPr>
      <w:r>
        <w:rPr>
          <w:color w:val="444444"/>
          <w:sz w:val="22"/>
          <w:szCs w:val="22"/>
        </w:rPr>
        <w:t xml:space="preserve">Dueño / Administrador — Panel completo del sistema</w:t>
      </w:r>
    </w:p>
    <w:p>
      <w:pPr>
        <w:spacing w:after="100" w:before="300"/>
        <w:jc w:val="center"/>
      </w:pPr>
      <w:r>
        <w:rPr>
          <w:b/>
          <w:bCs/>
          <w:color w:val="B8860B"/>
          <w:sz w:val="20"/>
          <w:szCs w:val="20"/>
        </w:rPr>
        <w:t xml:space="preserve">Rol: Dueño / Administrador</w:t>
      </w:r>
    </w:p>
    <w:p>
      <w:pPr>
        <w:spacing w:before="1200"/>
        <w:jc w:val="center"/>
      </w:pPr>
      <w:r>
        <w:rPr>
          <w:color w:val="666666"/>
          <w:sz w:val="16"/>
          <w:szCs w:val="16"/>
        </w:rPr>
        <w:t xml:space="preserve">Desarrollado por Pablo M. Mugherli · © 2026</w:t>
      </w:r>
    </w:p>
    <w:p>
      <w:r>
        <w:br w:type="page"/>
      </w:r>
    </w:p>
    <w:p>
      <w:pPr>
        <w:pStyle w:val="Heading1"/>
        <w:pBdr>
          <w:bottom w:val="single" w:color="5A0E24" w:sz="12" w:space="4"/>
        </w:pBdr>
        <w:spacing w:after="200" w:before="400"/>
      </w:pPr>
      <w:r>
        <w:rPr>
          <w:b/>
          <w:bCs/>
          <w:color w:val="5A0E24"/>
          <w:sz w:val="30"/>
          <w:szCs w:val="30"/>
        </w:rPr>
        <w:t xml:space="preserve">1. Introducción</w:t>
      </w:r>
    </w:p>
    <w:p>
      <w:pPr>
        <w:spacing w:after="140"/>
      </w:pPr>
      <w:r>
        <w:rPr>
          <w:b w:val="false"/>
          <w:bCs w:val="false"/>
          <w:i w:val="false"/>
          <w:iCs w:val="false"/>
          <w:color w:val="222222"/>
          <w:sz w:val="21"/>
          <w:szCs w:val="21"/>
        </w:rPr>
        <w:t xml:space="preserve">El Dueño (o Administrador con todos los permisos delegados) tiene acceso completo al panel de gestión de su distribuidora: los tres canales de venta (Mayorista, Masivo/POS e Inmuner), finanzas, contabilidad, stock, RRHH, seguridad, marketing y las integraciones externas. Los permisos administrativos (finanzas, RRHH, stock, seguridad, marketing) se pueden delegar a usuarios que no sean Dueño desde "Usuarios y Permisos", sin darles el rol completo.</w:t>
      </w:r>
    </w:p>
    <w:p>
      <w:pPr>
        <w:pStyle w:val="Heading1"/>
        <w:pBdr>
          <w:bottom w:val="single" w:color="5A0E24" w:sz="12" w:space="4"/>
        </w:pBdr>
        <w:spacing w:after="200" w:before="400"/>
      </w:pPr>
      <w:r>
        <w:rPr>
          <w:b/>
          <w:bCs/>
          <w:color w:val="5A0E24"/>
          <w:sz w:val="30"/>
          <w:szCs w:val="30"/>
        </w:rPr>
        <w:t xml:space="preserve">2. Dashboard y PUNY BI</w:t>
      </w:r>
    </w:p>
    <w:p>
      <w:pPr>
        <w:spacing w:after="140"/>
      </w:pPr>
      <w:r>
        <w:rPr>
          <w:b w:val="false"/>
          <w:bCs w:val="false"/>
          <w:i w:val="false"/>
          <w:iCs w:val="false"/>
          <w:color w:val="222222"/>
          <w:sz w:val="21"/>
          <w:szCs w:val="21"/>
        </w:rPr>
        <w:t xml:space="preserve">El Dashboard principal (/dashboard/admin) resume la actividad reciente. PUNY BI (Unificado) agrega la facturación, cantidad de pedidos y ticket promedio de los tres canales de venta (mayorista, masivo, inmuner) mes a mes, con gráfico de barras apiladas por canal y de torta de participación.</w:t>
      </w:r>
    </w:p>
    <w:p>
      <w:pPr>
        <w:pStyle w:val="Heading1"/>
        <w:pBdr>
          <w:bottom w:val="single" w:color="5A0E24" w:sz="12" w:space="4"/>
        </w:pBdr>
        <w:spacing w:after="200" w:before="400"/>
      </w:pPr>
      <w:r>
        <w:rPr>
          <w:b/>
          <w:bCs/>
          <w:color w:val="5A0E24"/>
          <w:sz w:val="30"/>
          <w:szCs w:val="30"/>
        </w:rPr>
        <w:t xml:space="preserve">3. Ventas — los tres canales</w:t>
      </w:r>
    </w:p>
    <w:p>
      <w:pPr>
        <w:pStyle w:val="Heading2"/>
        <w:spacing w:after="150" w:before="300"/>
      </w:pPr>
      <w:r>
        <w:rPr>
          <w:b/>
          <w:bCs/>
          <w:color w:val="5A0E24"/>
          <w:sz w:val="24"/>
          <w:szCs w:val="24"/>
        </w:rPr>
        <w:t xml:space="preserve">3.1 Mayorista (Pedidos)</w:t>
      </w:r>
    </w:p>
    <w:p>
      <w:pPr>
        <w:pStyle w:val="ListParagraph"/>
        <w:numPr>
          <w:ilvl w:val="0"/>
          <w:numId w:val="2"/>
        </w:numPr>
        <w:spacing w:after="80"/>
      </w:pPr>
      <w:r>
        <w:rPr>
          <w:color w:val="222222"/>
          <w:sz w:val="21"/>
          <w:szCs w:val="21"/>
        </w:rPr>
        <w:t xml:space="preserve">Gestión de pedidos, doble circuito de precios (lista 1 / lista 2 / consolidado) según el perfil del vendedor o cliente.</w:t>
      </w:r>
    </w:p>
    <w:p>
      <w:pPr>
        <w:pStyle w:val="ListParagraph"/>
        <w:numPr>
          <w:ilvl w:val="0"/>
          <w:numId w:val="2"/>
        </w:numPr>
        <w:spacing w:after="80"/>
      </w:pPr>
      <w:r>
        <w:rPr>
          <w:color w:val="222222"/>
          <w:sz w:val="21"/>
          <w:szCs w:val="21"/>
        </w:rPr>
        <w:t xml:space="preserve">Catálogo con productos combo y fraccionados, y generación de código QR / código de barras por producto.</w:t>
      </w:r>
    </w:p>
    <w:p>
      <w:pPr>
        <w:pStyle w:val="ListParagraph"/>
        <w:numPr>
          <w:ilvl w:val="0"/>
          <w:numId w:val="2"/>
        </w:numPr>
        <w:spacing w:after="80"/>
      </w:pPr>
      <w:r>
        <w:rPr>
          <w:color w:val="222222"/>
          <w:sz w:val="21"/>
          <w:szCs w:val="21"/>
        </w:rPr>
        <w:t xml:space="preserve">Ofertas vigentes: alta y gestión de promociones con vigencia por fecha.</w:t>
      </w:r>
    </w:p>
    <w:p>
      <w:pPr>
        <w:pStyle w:val="Heading2"/>
        <w:spacing w:after="150" w:before="300"/>
      </w:pPr>
      <w:r>
        <w:rPr>
          <w:b/>
          <w:bCs/>
          <w:color w:val="5A0E24"/>
          <w:sz w:val="24"/>
          <w:szCs w:val="24"/>
        </w:rPr>
        <w:t xml:space="preserve">3.2 PUNY Masivo (Punto de Venta / B2C)</w:t>
      </w:r>
    </w:p>
    <w:p>
      <w:pPr>
        <w:spacing w:after="140"/>
      </w:pPr>
      <w:r>
        <w:rPr>
          <w:b w:val="false"/>
          <w:bCs w:val="false"/>
          <w:i w:val="false"/>
          <w:iCs w:val="false"/>
          <w:color w:val="222222"/>
          <w:sz w:val="21"/>
          <w:szCs w:val="21"/>
        </w:rPr>
        <w:t xml:space="preserve">Canal de venta directa mostrador (POS): búsqueda de producto, carrito, cobro inmediato. Al cobrar, el sistema busca o crea el cliente por teléfono, genera el pedido con canal_venta="masivo" y origen="pos", y emite el comprobante marcado como pagado en el momento — sin pasar por circuito de cuenta corriente.</w:t>
      </w:r>
    </w:p>
    <w:p>
      <w:pPr>
        <w:pStyle w:val="Heading2"/>
        <w:spacing w:after="150" w:before="300"/>
      </w:pPr>
      <w:r>
        <w:rPr>
          <w:b/>
          <w:bCs/>
          <w:color w:val="5A0E24"/>
          <w:sz w:val="24"/>
          <w:szCs w:val="24"/>
        </w:rPr>
        <w:t xml:space="preserve">3.3 PUNY Inmuner (Cuentas Clave)</w:t>
      </w:r>
    </w:p>
    <w:p>
      <w:pPr>
        <w:spacing w:after="140"/>
      </w:pPr>
      <w:r>
        <w:rPr>
          <w:b w:val="false"/>
          <w:bCs w:val="false"/>
          <w:i w:val="false"/>
          <w:iCs w:val="false"/>
          <w:color w:val="222222"/>
          <w:sz w:val="21"/>
          <w:szCs w:val="21"/>
        </w:rPr>
        <w:t xml:space="preserve">CRM táctico para clientes estratégicos (cuentas clave), con asesor asignado, prioridad (alta/media/baja) y evaluación de riesgo crediticio. Cada asesor ve únicamente las cuentas que tiene asignadas; el Dueño ve todas.</w:t>
      </w:r>
    </w:p>
    <w:p>
      <w:pPr>
        <w:pStyle w:val="Heading1"/>
        <w:pBdr>
          <w:bottom w:val="single" w:color="5A0E24" w:sz="12" w:space="4"/>
        </w:pBdr>
        <w:spacing w:after="200" w:before="400"/>
      </w:pPr>
      <w:r>
        <w:rPr>
          <w:b/>
          <w:bCs/>
          <w:color w:val="5A0E24"/>
          <w:sz w:val="30"/>
          <w:szCs w:val="30"/>
        </w:rPr>
        <w:t xml:space="preserve">4. Comunicación con clientes</w:t>
      </w:r>
    </w:p>
    <w:p>
      <w:pPr>
        <w:pStyle w:val="Heading2"/>
        <w:spacing w:after="150" w:before="300"/>
      </w:pPr>
      <w:r>
        <w:rPr>
          <w:b/>
          <w:bCs/>
          <w:color w:val="5A0E24"/>
          <w:sz w:val="24"/>
          <w:szCs w:val="24"/>
        </w:rPr>
        <w:t xml:space="preserve">4.1 PUNY WP (Gateway de WhatsApp)</w:t>
      </w:r>
    </w:p>
    <w:p>
      <w:pPr>
        <w:spacing w:after="140"/>
      </w:pPr>
      <w:r>
        <w:rPr>
          <w:b w:val="false"/>
          <w:bCs w:val="false"/>
          <w:i w:val="false"/>
          <w:iCs w:val="false"/>
          <w:color w:val="222222"/>
          <w:sz w:val="21"/>
          <w:szCs w:val="21"/>
        </w:rPr>
        <w:t xml:space="preserve">Bandeja centralizada de conversaciones entrantes por WhatsApp Business, con derivación manual o automática (por IA) al canal correspondiente (Masivo, Mayorista o Inmuner).</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shd w:fill="FFF3D6" w:val="clear"/>
            <w:tcMar>
              <w:top w:type="dxa" w:w="150"/>
              <w:left w:type="dxa" w:w="200"/>
              <w:bottom w:type="dxa" w:w="150"/>
              <w:right w:type="dxa" w:w="200"/>
            </w:tcMar>
          </w:tcPr>
          <w:p>
            <w:r>
              <w:rPr>
                <w:color w:val="333333"/>
                <w:sz w:val="20"/>
                <w:szCs w:val="20"/>
              </w:rPr>
              <w:t xml:space="preserve">Requiere credenciales reales de Meta (WhatsApp Business Cloud API: WHATSAPP_VERIFY_TOKEN, WHATSAPP_APP_SECRET, WHATSAPP_ACCESS_TOKEN) cargadas como secrets en Supabase. Sin ellas, el módulo queda visible pero inactivo — no requiere ningún cambio de código para activarse.</w:t>
            </w:r>
          </w:p>
        </w:tc>
      </w:tr>
    </w:tbl>
    <w:p>
      <w:pPr>
        <w:pStyle w:val="Heading2"/>
        <w:spacing w:after="150" w:before="300"/>
      </w:pPr>
      <w:r>
        <w:rPr>
          <w:b/>
          <w:bCs/>
          <w:color w:val="5A0E24"/>
          <w:sz w:val="24"/>
          <w:szCs w:val="24"/>
        </w:rPr>
        <w:t xml:space="preserve">4.2 PUNY Redes Sociales</w:t>
      </w:r>
    </w:p>
    <w:p>
      <w:pPr>
        <w:spacing w:after="140"/>
      </w:pPr>
      <w:r>
        <w:rPr>
          <w:b w:val="false"/>
          <w:bCs w:val="false"/>
          <w:i w:val="false"/>
          <w:iCs w:val="false"/>
          <w:color w:val="222222"/>
          <w:sz w:val="21"/>
          <w:szCs w:val="21"/>
        </w:rPr>
        <w:t xml:space="preserve">Panel unificado para Instagram, Facebook, YouTube y LinkedIn, con cuatro pestañas:</w:t>
      </w:r>
    </w:p>
    <w:p>
      <w:pPr>
        <w:pStyle w:val="ListParagraph"/>
        <w:numPr>
          <w:ilvl w:val="0"/>
          <w:numId w:val="2"/>
        </w:numPr>
        <w:spacing w:after="80"/>
      </w:pPr>
      <w:r>
        <w:rPr>
          <w:b/>
          <w:bCs/>
          <w:color w:val="5A0E24"/>
          <w:sz w:val="21"/>
          <w:szCs w:val="21"/>
        </w:rPr>
        <w:t xml:space="preserve">Cuentas: </w:t>
      </w:r>
      <w:r>
        <w:rPr>
          <w:color w:val="222222"/>
          <w:sz w:val="21"/>
          <w:szCs w:val="21"/>
        </w:rPr>
        <w:t xml:space="preserve">conexión de cada red social por tenant (ID de cuenta/página/canal, access token).</w:t>
      </w:r>
    </w:p>
    <w:p>
      <w:pPr>
        <w:pStyle w:val="ListParagraph"/>
        <w:numPr>
          <w:ilvl w:val="0"/>
          <w:numId w:val="2"/>
        </w:numPr>
        <w:spacing w:after="80"/>
      </w:pPr>
      <w:r>
        <w:rPr>
          <w:b/>
          <w:bCs/>
          <w:color w:val="5A0E24"/>
          <w:sz w:val="21"/>
          <w:szCs w:val="21"/>
        </w:rPr>
        <w:t xml:space="preserve">Bandeja: </w:t>
      </w:r>
      <w:r>
        <w:rPr>
          <w:color w:val="222222"/>
          <w:sz w:val="21"/>
          <w:szCs w:val="21"/>
        </w:rPr>
        <w:t xml:space="preserve">mensajes directos entrantes de Instagram y Facebook Messenger, derivables igual que WhatsApp.</w:t>
      </w:r>
    </w:p>
    <w:p>
      <w:pPr>
        <w:pStyle w:val="ListParagraph"/>
        <w:numPr>
          <w:ilvl w:val="0"/>
          <w:numId w:val="2"/>
        </w:numPr>
        <w:spacing w:after="80"/>
      </w:pPr>
      <w:r>
        <w:rPr>
          <w:b/>
          <w:bCs/>
          <w:color w:val="5A0E24"/>
          <w:sz w:val="21"/>
          <w:szCs w:val="21"/>
        </w:rPr>
        <w:t xml:space="preserve">Publicaciones: </w:t>
      </w:r>
      <w:r>
        <w:rPr>
          <w:color w:val="222222"/>
          <w:sz w:val="21"/>
          <w:szCs w:val="21"/>
        </w:rPr>
        <w:t xml:space="preserve">cola de contenido para publicar en las redes conectadas, con programación de fecha.</w:t>
      </w:r>
    </w:p>
    <w:p>
      <w:pPr>
        <w:pStyle w:val="ListParagraph"/>
        <w:numPr>
          <w:ilvl w:val="0"/>
          <w:numId w:val="2"/>
        </w:numPr>
        <w:spacing w:after="80"/>
      </w:pPr>
      <w:r>
        <w:rPr>
          <w:b/>
          <w:bCs/>
          <w:color w:val="5A0E24"/>
          <w:sz w:val="21"/>
          <w:szCs w:val="21"/>
        </w:rPr>
        <w:t xml:space="preserve">Métricas: </w:t>
      </w:r>
      <w:r>
        <w:rPr>
          <w:color w:val="222222"/>
          <w:sz w:val="21"/>
          <w:szCs w:val="21"/>
        </w:rPr>
        <w:t xml:space="preserve">seguidores, alcance y engagement por plataforma, sincronizables manualmente.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3400"/>
      </w:tblGrid>
      <w:tr>
        <w:tc>
          <w:tcPr>
            <w:tcW w:type="dxa" w:w="2200"/>
            <w:shd w:fill="5A0E24" w:val="clear"/>
            <w:tcMar>
              <w:top w:type="dxa" w:w="100"/>
              <w:left w:type="dxa" w:w="120"/>
              <w:bottom w:type="dxa" w:w="100"/>
              <w:right w:type="dxa" w:w="120"/>
            </w:tcMar>
          </w:tcPr>
          <w:p>
            <w:r>
              <w:rPr>
                <w:b/>
                <w:bCs/>
                <w:color w:val="F5E9CF"/>
                <w:sz w:val="19"/>
                <w:szCs w:val="19"/>
              </w:rPr>
              <w:t xml:space="preserve">Plataforma</w:t>
            </w:r>
          </w:p>
        </w:tc>
        <w:tc>
          <w:tcPr>
            <w:tcW w:type="dxa" w:w="2200"/>
            <w:shd w:fill="5A0E24" w:val="clear"/>
            <w:tcMar>
              <w:top w:type="dxa" w:w="100"/>
              <w:left w:type="dxa" w:w="120"/>
              <w:bottom w:type="dxa" w:w="100"/>
              <w:right w:type="dxa" w:w="120"/>
            </w:tcMar>
          </w:tcPr>
          <w:p>
            <w:r>
              <w:rPr>
                <w:b/>
                <w:bCs/>
                <w:color w:val="F5E9CF"/>
                <w:sz w:val="19"/>
                <w:szCs w:val="19"/>
              </w:rPr>
              <w:t xml:space="preserve">Mensajería directa</w:t>
            </w:r>
          </w:p>
        </w:tc>
        <w:tc>
          <w:tcPr>
            <w:tcW w:type="dxa" w:w="2700"/>
            <w:shd w:fill="5A0E24" w:val="clear"/>
            <w:tcMar>
              <w:top w:type="dxa" w:w="100"/>
              <w:left w:type="dxa" w:w="120"/>
              <w:bottom w:type="dxa" w:w="100"/>
              <w:right w:type="dxa" w:w="120"/>
            </w:tcMar>
          </w:tcPr>
          <w:p>
            <w:r>
              <w:rPr>
                <w:b/>
                <w:bCs/>
                <w:color w:val="F5E9CF"/>
                <w:sz w:val="19"/>
                <w:szCs w:val="19"/>
              </w:rPr>
              <w:t xml:space="preserve">Publicación de texto/imagen</w:t>
            </w:r>
          </w:p>
        </w:tc>
        <w:tc>
          <w:tcPr>
            <w:tcW w:type="dxa" w:w="3400"/>
            <w:shd w:fill="5A0E24" w:val="clear"/>
            <w:tcMar>
              <w:top w:type="dxa" w:w="100"/>
              <w:left w:type="dxa" w:w="120"/>
              <w:bottom w:type="dxa" w:w="100"/>
              <w:right w:type="dxa" w:w="120"/>
            </w:tcMar>
          </w:tcPr>
          <w:p>
            <w:r>
              <w:rPr>
                <w:b/>
                <w:bCs/>
                <w:color w:val="F5E9CF"/>
                <w:sz w:val="19"/>
                <w:szCs w:val="19"/>
              </w:rPr>
              <w:t xml:space="preserve">Notas</w:t>
            </w:r>
          </w:p>
        </w:tc>
      </w:tr>
      <w:tr>
        <w:trPr>
          <w:cantSplit/>
        </w:trPr>
        <w:tc>
          <w:tcPr>
            <w:tcW w:type="dxa" w:w="2200"/>
            <w:tcMar>
              <w:top w:type="dxa" w:w="100"/>
              <w:left w:type="dxa" w:w="120"/>
              <w:bottom w:type="dxa" w:w="100"/>
              <w:right w:type="dxa" w:w="120"/>
            </w:tcMar>
          </w:tcPr>
          <w:p>
            <w:r>
              <w:rPr>
                <w:b w:val="false"/>
                <w:bCs w:val="false"/>
                <w:color w:val="222222"/>
                <w:sz w:val="19"/>
                <w:szCs w:val="19"/>
              </w:rPr>
              <w:t xml:space="preserve">Instagram</w:t>
            </w:r>
          </w:p>
        </w:tc>
        <w:tc>
          <w:tcPr>
            <w:tcW w:type="dxa" w:w="2200"/>
            <w:tcMar>
              <w:top w:type="dxa" w:w="100"/>
              <w:left w:type="dxa" w:w="120"/>
              <w:bottom w:type="dxa" w:w="100"/>
              <w:right w:type="dxa" w:w="120"/>
            </w:tcMar>
          </w:tcPr>
          <w:p>
            <w:r>
              <w:rPr>
                <w:b w:val="false"/>
                <w:bCs w:val="false"/>
                <w:color w:val="222222"/>
                <w:sz w:val="19"/>
                <w:szCs w:val="19"/>
              </w:rPr>
              <w:t xml:space="preserve">Sí (Meta Graph API)</w:t>
            </w:r>
          </w:p>
        </w:tc>
        <w:tc>
          <w:tcPr>
            <w:tcW w:type="dxa" w:w="2700"/>
            <w:tcMar>
              <w:top w:type="dxa" w:w="100"/>
              <w:left w:type="dxa" w:w="120"/>
              <w:bottom w:type="dxa" w:w="100"/>
              <w:right w:type="dxa" w:w="120"/>
            </w:tcMar>
          </w:tcPr>
          <w:p>
            <w:r>
              <w:rPr>
                <w:b w:val="false"/>
                <w:bCs w:val="false"/>
                <w:color w:val="222222"/>
                <w:sz w:val="19"/>
                <w:szCs w:val="19"/>
              </w:rPr>
              <w:t xml:space="preserve">Solo con imagen — la API no admite texto solo</w:t>
            </w:r>
          </w:p>
        </w:tc>
        <w:tc>
          <w:tcPr>
            <w:tcW w:type="dxa" w:w="3400"/>
            <w:tcMar>
              <w:top w:type="dxa" w:w="100"/>
              <w:left w:type="dxa" w:w="120"/>
              <w:bottom w:type="dxa" w:w="100"/>
              <w:right w:type="dxa" w:w="120"/>
            </w:tcMar>
          </w:tcPr>
          <w:p>
            <w:r>
              <w:rPr>
                <w:b w:val="false"/>
                <w:bCs w:val="false"/>
                <w:color w:val="222222"/>
                <w:sz w:val="19"/>
                <w:szCs w:val="19"/>
              </w:rPr>
              <w:t xml:space="preserve">Requiere cuenta Business conectada a una página de Facebook</w:t>
            </w:r>
          </w:p>
        </w:tc>
      </w:tr>
      <w:tr>
        <w:trPr>
          <w:cantSplit/>
        </w:trPr>
        <w:tc>
          <w:tcPr>
            <w:tcW w:type="dxa" w:w="2200"/>
            <w:shd w:fill="FAF5EE" w:val="clear"/>
            <w:tcMar>
              <w:top w:type="dxa" w:w="100"/>
              <w:left w:type="dxa" w:w="120"/>
              <w:bottom w:type="dxa" w:w="100"/>
              <w:right w:type="dxa" w:w="120"/>
            </w:tcMar>
          </w:tcPr>
          <w:p>
            <w:r>
              <w:rPr>
                <w:b w:val="false"/>
                <w:bCs w:val="false"/>
                <w:color w:val="222222"/>
                <w:sz w:val="19"/>
                <w:szCs w:val="19"/>
              </w:rPr>
              <w:t xml:space="preserve">Facebook</w:t>
            </w:r>
          </w:p>
        </w:tc>
        <w:tc>
          <w:tcPr>
            <w:tcW w:type="dxa" w:w="2200"/>
            <w:shd w:fill="FAF5EE" w:val="clear"/>
            <w:tcMar>
              <w:top w:type="dxa" w:w="100"/>
              <w:left w:type="dxa" w:w="120"/>
              <w:bottom w:type="dxa" w:w="100"/>
              <w:right w:type="dxa" w:w="120"/>
            </w:tcMar>
          </w:tcPr>
          <w:p>
            <w:r>
              <w:rPr>
                <w:b w:val="false"/>
                <w:bCs w:val="false"/>
                <w:color w:val="222222"/>
                <w:sz w:val="19"/>
                <w:szCs w:val="19"/>
              </w:rPr>
              <w:t xml:space="preserve">Sí (Messenger)</w:t>
            </w:r>
          </w:p>
        </w:tc>
        <w:tc>
          <w:tcPr>
            <w:tcW w:type="dxa" w:w="2700"/>
            <w:shd w:fill="FAF5EE" w:val="clear"/>
            <w:tcMar>
              <w:top w:type="dxa" w:w="100"/>
              <w:left w:type="dxa" w:w="120"/>
              <w:bottom w:type="dxa" w:w="100"/>
              <w:right w:type="dxa" w:w="120"/>
            </w:tcMar>
          </w:tcPr>
          <w:p>
            <w:r>
              <w:rPr>
                <w:b w:val="false"/>
                <w:bCs w:val="false"/>
                <w:color w:val="222222"/>
                <w:sz w:val="19"/>
                <w:szCs w:val="19"/>
              </w:rPr>
              <w:t xml:space="preserve">Sí</w:t>
            </w:r>
          </w:p>
        </w:tc>
        <w:tc>
          <w:tcPr>
            <w:tcW w:type="dxa" w:w="3400"/>
            <w:shd w:fill="FAF5EE" w:val="clear"/>
            <w:tcMar>
              <w:top w:type="dxa" w:w="100"/>
              <w:left w:type="dxa" w:w="120"/>
              <w:bottom w:type="dxa" w:w="100"/>
              <w:right w:type="dxa" w:w="120"/>
            </w:tcMar>
          </w:tcPr>
          <w:p>
            <w:r>
              <w:rPr>
                <w:b w:val="false"/>
                <w:bCs w:val="false"/>
                <w:color w:val="222222"/>
                <w:sz w:val="19"/>
                <w:szCs w:val="19"/>
              </w:rPr>
              <w:t xml:space="preserve">Requiere página de Facebook conectada</w:t>
            </w:r>
          </w:p>
        </w:tc>
      </w:tr>
      <w:tr>
        <w:trPr>
          <w:cantSplit/>
        </w:trPr>
        <w:tc>
          <w:tcPr>
            <w:tcW w:type="dxa" w:w="2200"/>
            <w:tcMar>
              <w:top w:type="dxa" w:w="100"/>
              <w:left w:type="dxa" w:w="120"/>
              <w:bottom w:type="dxa" w:w="100"/>
              <w:right w:type="dxa" w:w="120"/>
            </w:tcMar>
          </w:tcPr>
          <w:p>
            <w:r>
              <w:rPr>
                <w:b w:val="false"/>
                <w:bCs w:val="false"/>
                <w:color w:val="222222"/>
                <w:sz w:val="19"/>
                <w:szCs w:val="19"/>
              </w:rPr>
              <w:t xml:space="preserve">YouTube</w:t>
            </w:r>
          </w:p>
        </w:tc>
        <w:tc>
          <w:tcPr>
            <w:tcW w:type="dxa" w:w="2200"/>
            <w:tcMar>
              <w:top w:type="dxa" w:w="100"/>
              <w:left w:type="dxa" w:w="120"/>
              <w:bottom w:type="dxa" w:w="100"/>
              <w:right w:type="dxa" w:w="120"/>
            </w:tcMar>
          </w:tcPr>
          <w:p>
            <w:r>
              <w:rPr>
                <w:b w:val="false"/>
                <w:bCs w:val="false"/>
                <w:color w:val="222222"/>
                <w:sz w:val="19"/>
                <w:szCs w:val="19"/>
              </w:rPr>
              <w:t xml:space="preserve">No existe API de mensajería comercial</w:t>
            </w:r>
          </w:p>
        </w:tc>
        <w:tc>
          <w:tcPr>
            <w:tcW w:type="dxa" w:w="2700"/>
            <w:tcMar>
              <w:top w:type="dxa" w:w="100"/>
              <w:left w:type="dxa" w:w="120"/>
              <w:bottom w:type="dxa" w:w="100"/>
              <w:right w:type="dxa" w:w="120"/>
            </w:tcMar>
          </w:tcPr>
          <w:p>
            <w:r>
              <w:rPr>
                <w:b w:val="false"/>
                <w:bCs w:val="false"/>
                <w:color w:val="222222"/>
                <w:sz w:val="19"/>
                <w:szCs w:val="19"/>
              </w:rPr>
              <w:t xml:space="preserve">No — la API solo permite subir video, no publicar texto</w:t>
            </w:r>
          </w:p>
        </w:tc>
        <w:tc>
          <w:tcPr>
            <w:tcW w:type="dxa" w:w="3400"/>
            <w:tcMar>
              <w:top w:type="dxa" w:w="100"/>
              <w:left w:type="dxa" w:w="120"/>
              <w:bottom w:type="dxa" w:w="100"/>
              <w:right w:type="dxa" w:w="120"/>
            </w:tcMar>
          </w:tcPr>
          <w:p>
            <w:r>
              <w:rPr>
                <w:b w:val="false"/>
                <w:bCs w:val="false"/>
                <w:color w:val="222222"/>
                <w:sz w:val="19"/>
                <w:szCs w:val="19"/>
              </w:rPr>
              <w:t xml:space="preserve">Se usan los comentarios de los videos como "bandeja" (respuesta automática o manual)</w:t>
            </w:r>
          </w:p>
        </w:tc>
      </w:tr>
      <w:tr>
        <w:trPr>
          <w:cantSplit/>
        </w:trPr>
        <w:tc>
          <w:tcPr>
            <w:tcW w:type="dxa" w:w="2200"/>
            <w:shd w:fill="FAF5EE" w:val="clear"/>
            <w:tcMar>
              <w:top w:type="dxa" w:w="100"/>
              <w:left w:type="dxa" w:w="120"/>
              <w:bottom w:type="dxa" w:w="100"/>
              <w:right w:type="dxa" w:w="120"/>
            </w:tcMar>
          </w:tcPr>
          <w:p>
            <w:r>
              <w:rPr>
                <w:b w:val="false"/>
                <w:bCs w:val="false"/>
                <w:color w:val="222222"/>
                <w:sz w:val="19"/>
                <w:szCs w:val="19"/>
              </w:rPr>
              <w:t xml:space="preserve">LinkedIn</w:t>
            </w:r>
          </w:p>
        </w:tc>
        <w:tc>
          <w:tcPr>
            <w:tcW w:type="dxa" w:w="2200"/>
            <w:shd w:fill="FAF5EE" w:val="clear"/>
            <w:tcMar>
              <w:top w:type="dxa" w:w="100"/>
              <w:left w:type="dxa" w:w="120"/>
              <w:bottom w:type="dxa" w:w="100"/>
              <w:right w:type="dxa" w:w="120"/>
            </w:tcMar>
          </w:tcPr>
          <w:p>
            <w:r>
              <w:rPr>
                <w:b w:val="false"/>
                <w:bCs w:val="false"/>
                <w:color w:val="222222"/>
                <w:sz w:val="19"/>
                <w:szCs w:val="19"/>
              </w:rPr>
              <w:t xml:space="preserve">No disponible vía API pública</w:t>
            </w:r>
          </w:p>
        </w:tc>
        <w:tc>
          <w:tcPr>
            <w:tcW w:type="dxa" w:w="2700"/>
            <w:shd w:fill="FAF5EE" w:val="clear"/>
            <w:tcMar>
              <w:top w:type="dxa" w:w="100"/>
              <w:left w:type="dxa" w:w="120"/>
              <w:bottom w:type="dxa" w:w="100"/>
              <w:right w:type="dxa" w:w="120"/>
            </w:tcMar>
          </w:tcPr>
          <w:p>
            <w:r>
              <w:rPr>
                <w:b w:val="false"/>
                <w:bCs w:val="false"/>
                <w:color w:val="222222"/>
                <w:sz w:val="19"/>
                <w:szCs w:val="19"/>
              </w:rPr>
              <w:t xml:space="preserve">Sí (requiere aprobación adicional)</w:t>
            </w:r>
          </w:p>
        </w:tc>
        <w:tc>
          <w:tcPr>
            <w:tcW w:type="dxa" w:w="3400"/>
            <w:shd w:fill="FAF5EE" w:val="clear"/>
            <w:tcMar>
              <w:top w:type="dxa" w:w="100"/>
              <w:left w:type="dxa" w:w="120"/>
              <w:bottom w:type="dxa" w:w="100"/>
              <w:right w:type="dxa" w:w="120"/>
            </w:tcMar>
          </w:tcPr>
          <w:p>
            <w:r>
              <w:rPr>
                <w:b w:val="false"/>
                <w:bCs w:val="false"/>
                <w:color w:val="222222"/>
                <w:sz w:val="19"/>
                <w:szCs w:val="19"/>
              </w:rPr>
              <w:t xml:space="preserve">Necesita que LinkedIn apruebe el Marketing Developer Platform de la app, además de las credenciales</w:t>
            </w:r>
          </w:p>
        </w:tc>
      </w:tr>
    </w:tbl>
    <w:p>
      <w:pPr>
        <w:pStyle w:val="Heading1"/>
        <w:pBdr>
          <w:bottom w:val="single" w:color="5A0E24" w:sz="12" w:space="4"/>
        </w:pBdr>
        <w:spacing w:after="200" w:before="400"/>
      </w:pPr>
      <w:r>
        <w:rPr>
          <w:b/>
          <w:bCs/>
          <w:color w:val="5A0E24"/>
          <w:sz w:val="30"/>
          <w:szCs w:val="30"/>
        </w:rPr>
        <w:t xml:space="preserve">5. Finanzas y contabilidad</w:t>
      </w:r>
    </w:p>
    <w:p>
      <w:pPr>
        <w:pStyle w:val="Heading2"/>
        <w:spacing w:after="150" w:before="300"/>
      </w:pPr>
      <w:r>
        <w:rPr>
          <w:b/>
          <w:bCs/>
          <w:color w:val="5A0E24"/>
          <w:sz w:val="24"/>
          <w:szCs w:val="24"/>
        </w:rPr>
        <w:t xml:space="preserve">5.1 Finanzas</w:t>
      </w:r>
    </w:p>
    <w:p>
      <w:pPr>
        <w:pStyle w:val="ListParagraph"/>
        <w:numPr>
          <w:ilvl w:val="0"/>
          <w:numId w:val="2"/>
        </w:numPr>
        <w:spacing w:after="80"/>
      </w:pPr>
      <w:r>
        <w:rPr>
          <w:color w:val="222222"/>
          <w:sz w:val="21"/>
          <w:szCs w:val="21"/>
        </w:rPr>
        <w:t xml:space="preserve">Bancos: cuentas bancarias, saldo, movimientos.</w:t>
      </w:r>
    </w:p>
    <w:p>
      <w:pPr>
        <w:pStyle w:val="ListParagraph"/>
        <w:numPr>
          <w:ilvl w:val="0"/>
          <w:numId w:val="2"/>
        </w:numPr>
        <w:spacing w:after="80"/>
      </w:pPr>
      <w:r>
        <w:rPr>
          <w:color w:val="222222"/>
          <w:sz w:val="21"/>
          <w:szCs w:val="21"/>
        </w:rPr>
        <w:t xml:space="preserve">Proveedores: alta, condición de pago, cuenta corriente por proveedor.</w:t>
      </w:r>
    </w:p>
    <w:p>
      <w:pPr>
        <w:pStyle w:val="ListParagraph"/>
        <w:numPr>
          <w:ilvl w:val="0"/>
          <w:numId w:val="2"/>
        </w:numPr>
        <w:spacing w:after="80"/>
      </w:pPr>
      <w:r>
        <w:rPr>
          <w:color w:val="222222"/>
          <w:sz w:val="21"/>
          <w:szCs w:val="21"/>
        </w:rPr>
        <w:t xml:space="preserve">Cartera de valores: cheques físicos y eCheq (en cartera, depositado, endosado, rechazado, cobrado).</w:t>
      </w:r>
    </w:p>
    <w:p>
      <w:pPr>
        <w:pStyle w:val="ListParagraph"/>
        <w:numPr>
          <w:ilvl w:val="0"/>
          <w:numId w:val="2"/>
        </w:numPr>
        <w:spacing w:after="80"/>
      </w:pPr>
      <w:r>
        <w:rPr>
          <w:color w:val="222222"/>
          <w:sz w:val="21"/>
          <w:szCs w:val="21"/>
        </w:rPr>
        <w:t xml:space="preserve">Escaneo de comprobantes con IA: carga múltiple de comprobantes de compra, con detección automática de duplicados (por proveedor + número de comprobante) y alícuota de IVA editable (21% / 10,5% / 27% / 0%) antes de confirmar.</w:t>
      </w:r>
    </w:p>
    <w:p>
      <w:pPr>
        <w:pStyle w:val="Heading2"/>
        <w:spacing w:after="150" w:before="300"/>
      </w:pPr>
      <w:r>
        <w:rPr>
          <w:b/>
          <w:bCs/>
          <w:color w:val="5A0E24"/>
          <w:sz w:val="24"/>
          <w:szCs w:val="24"/>
        </w:rPr>
        <w:t xml:space="preserve">5.2 Contabilidad</w:t>
      </w:r>
    </w:p>
    <w:p>
      <w:pPr>
        <w:pStyle w:val="ListParagraph"/>
        <w:numPr>
          <w:ilvl w:val="0"/>
          <w:numId w:val="2"/>
        </w:numPr>
        <w:spacing w:after="80"/>
      </w:pPr>
      <w:r>
        <w:rPr>
          <w:color w:val="222222"/>
          <w:sz w:val="21"/>
          <w:szCs w:val="21"/>
        </w:rPr>
        <w:t xml:space="preserve">Plan de cuentas, asientos contables (manuales y automáticos desde compras/ventas/cobros/pagos), libros.</w:t>
      </w:r>
    </w:p>
    <w:p>
      <w:pPr>
        <w:pStyle w:val="ListParagraph"/>
        <w:numPr>
          <w:ilvl w:val="0"/>
          <w:numId w:val="2"/>
        </w:numPr>
        <w:spacing w:after="80"/>
      </w:pPr>
      <w:r>
        <w:rPr>
          <w:color w:val="222222"/>
          <w:sz w:val="21"/>
          <w:szCs w:val="21"/>
        </w:rPr>
        <w:t xml:space="preserve">Panel de errores de automatización contable: cada asiento que no pudo generarse automáticamente queda registrado con motivo, y se puede marcar como resuelto una vez corregido. La Sidebar muestra un contador en rojo de errores pendientes.</w:t>
      </w:r>
    </w:p>
    <w:p>
      <w:pPr>
        <w:pStyle w:val="ListParagraph"/>
        <w:numPr>
          <w:ilvl w:val="0"/>
          <w:numId w:val="2"/>
        </w:numPr>
        <w:spacing w:after="80"/>
      </w:pPr>
      <w:r>
        <w:rPr>
          <w:color w:val="222222"/>
          <w:sz w:val="21"/>
          <w:szCs w:val="21"/>
        </w:rPr>
        <w:t xml:space="preserve">Activo Fijo y amortizaciones.</w:t>
      </w:r>
    </w:p>
    <w:p>
      <w:pPr>
        <w:pStyle w:val="Heading2"/>
        <w:spacing w:after="150" w:before="300"/>
      </w:pPr>
      <w:r>
        <w:rPr>
          <w:b/>
          <w:bCs/>
          <w:color w:val="5A0E24"/>
          <w:sz w:val="24"/>
          <w:szCs w:val="24"/>
        </w:rPr>
        <w:t xml:space="preserve">5.3 Cash Flow Proyectado</w:t>
      </w:r>
    </w:p>
    <w:p>
      <w:pPr>
        <w:spacing w:after="140"/>
      </w:pPr>
      <w:r>
        <w:rPr>
          <w:b w:val="false"/>
          <w:bCs w:val="false"/>
          <w:i w:val="false"/>
          <w:iCs w:val="false"/>
          <w:color w:val="222222"/>
          <w:sz w:val="21"/>
          <w:szCs w:val="21"/>
        </w:rPr>
        <w:t xml:space="preserve">Proyección de saldo a futuro por mes, con: saldo inicial (caja de hoy + saldo de bancos), cobranzas y pagos a proveedores proyectados, sueldo estimado, aguinaldo estimado (junio y diciembre, 50% del sueldo estimado), e IVA neto estimado (promedio débito−crédito de los últimos meses). Admite escenarios manuales (ingresos/egresos hipotéticos) para simular decisiones antes de tomarlas.</w:t>
      </w:r>
    </w:p>
    <w:p>
      <w:pPr>
        <w:pStyle w:val="Heading2"/>
        <w:spacing w:after="150" w:before="300"/>
      </w:pPr>
      <w:r>
        <w:rPr>
          <w:b/>
          <w:bCs/>
          <w:color w:val="5A0E24"/>
          <w:sz w:val="24"/>
          <w:szCs w:val="24"/>
        </w:rPr>
        <w:t xml:space="preserve">5.4 Tesorería y Sueldos</w:t>
      </w:r>
    </w:p>
    <w:p>
      <w:pPr>
        <w:pStyle w:val="ListParagraph"/>
        <w:numPr>
          <w:ilvl w:val="0"/>
          <w:numId w:val="2"/>
        </w:numPr>
        <w:spacing w:after="80"/>
      </w:pPr>
      <w:r>
        <w:rPr>
          <w:color w:val="222222"/>
          <w:sz w:val="21"/>
          <w:szCs w:val="21"/>
        </w:rPr>
        <w:t xml:space="preserve">Legajos de empleados, convenios laborales, liquidación de sueldos.</w:t>
      </w:r>
    </w:p>
    <w:p>
      <w:pPr>
        <w:pStyle w:val="ListParagraph"/>
        <w:numPr>
          <w:ilvl w:val="0"/>
          <w:numId w:val="2"/>
        </w:numPr>
        <w:spacing w:after="80"/>
      </w:pPr>
      <w:r>
        <w:rPr>
          <w:color w:val="222222"/>
          <w:sz w:val="21"/>
          <w:szCs w:val="21"/>
        </w:rPr>
        <w:t xml:space="preserve">Exportación SICOSS — requiere confirmación explícita antes de exportar (checkbox "no es el archivo oficial de AFIP, es una aproximación") para evitar que se use como presentación oficial sin revisión.</w:t>
      </w:r>
    </w:p>
    <w:p>
      <w:pPr>
        <w:pStyle w:val="ListParagraph"/>
        <w:numPr>
          <w:ilvl w:val="0"/>
          <w:numId w:val="2"/>
        </w:numPr>
        <w:spacing w:after="80"/>
      </w:pPr>
      <w:r>
        <w:rPr>
          <w:color w:val="222222"/>
          <w:sz w:val="21"/>
          <w:szCs w:val="21"/>
        </w:rPr>
        <w:t xml:space="preserve">Aprobación de Vacaciones y Licencias: bandeja de solicitudes pendientes de los empleados, con aprobar/rechazar y comentario.</w:t>
      </w:r>
    </w:p>
    <w:p>
      <w:pPr>
        <w:pStyle w:val="Heading1"/>
        <w:pBdr>
          <w:bottom w:val="single" w:color="5A0E24" w:sz="12" w:space="4"/>
        </w:pBdr>
        <w:spacing w:after="200" w:before="400"/>
      </w:pPr>
      <w:r>
        <w:rPr>
          <w:b/>
          <w:bCs/>
          <w:color w:val="5A0E24"/>
          <w:sz w:val="30"/>
          <w:szCs w:val="30"/>
        </w:rPr>
        <w:t xml:space="preserve">6. Stock e Importaciones</w:t>
      </w:r>
    </w:p>
    <w:p>
      <w:pPr>
        <w:pStyle w:val="ListParagraph"/>
        <w:numPr>
          <w:ilvl w:val="0"/>
          <w:numId w:val="2"/>
        </w:numPr>
        <w:spacing w:after="80"/>
      </w:pPr>
      <w:r>
        <w:rPr>
          <w:color w:val="222222"/>
          <w:sz w:val="21"/>
          <w:szCs w:val="21"/>
        </w:rPr>
        <w:t xml:space="preserve">Multi-depósito, transferencias entre depósitos.</w:t>
      </w:r>
    </w:p>
    <w:p>
      <w:pPr>
        <w:pStyle w:val="ListParagraph"/>
        <w:numPr>
          <w:ilvl w:val="0"/>
          <w:numId w:val="2"/>
        </w:numPr>
        <w:spacing w:after="80"/>
      </w:pPr>
      <w:r>
        <w:rPr>
          <w:color w:val="222222"/>
          <w:sz w:val="21"/>
          <w:szCs w:val="21"/>
        </w:rPr>
        <w:t xml:space="preserve">Trazabilidad por lote y vencimiento.</w:t>
      </w:r>
    </w:p>
    <w:p>
      <w:pPr>
        <w:pStyle w:val="ListParagraph"/>
        <w:numPr>
          <w:ilvl w:val="0"/>
          <w:numId w:val="2"/>
        </w:numPr>
        <w:spacing w:after="80"/>
      </w:pPr>
      <w:r>
        <w:rPr>
          <w:color w:val="222222"/>
          <w:sz w:val="21"/>
          <w:szCs w:val="21"/>
        </w:rPr>
        <w:t xml:space="preserve">Toma de inventario masiva.</w:t>
      </w:r>
    </w:p>
    <w:p>
      <w:pPr>
        <w:pStyle w:val="ListParagraph"/>
        <w:numPr>
          <w:ilvl w:val="0"/>
          <w:numId w:val="2"/>
        </w:numPr>
        <w:spacing w:after="80"/>
      </w:pPr>
      <w:r>
        <w:rPr>
          <w:color w:val="222222"/>
          <w:sz w:val="21"/>
          <w:szCs w:val="21"/>
        </w:rPr>
        <w:t xml:space="preserve">Costeo por costo promedio ponderado.</w:t>
      </w:r>
    </w:p>
    <w:p>
      <w:pPr>
        <w:pStyle w:val="ListParagraph"/>
        <w:numPr>
          <w:ilvl w:val="0"/>
          <w:numId w:val="2"/>
        </w:numPr>
        <w:spacing w:after="80"/>
      </w:pPr>
      <w:r>
        <w:rPr>
          <w:color w:val="222222"/>
          <w:sz w:val="21"/>
          <w:szCs w:val="21"/>
        </w:rPr>
        <w:t xml:space="preserve">Stock mínimo con auto-pedidos y alertas.</w:t>
      </w:r>
    </w:p>
    <w:p>
      <w:pPr>
        <w:pStyle w:val="ListParagraph"/>
        <w:numPr>
          <w:ilvl w:val="0"/>
          <w:numId w:val="2"/>
        </w:numPr>
        <w:spacing w:after="80"/>
      </w:pPr>
      <w:r>
        <w:rPr>
          <w:color w:val="222222"/>
          <w:sz w:val="21"/>
          <w:szCs w:val="21"/>
        </w:rPr>
        <w:t xml:space="preserve">Módulo de Importaciones (seguimiento de embarques y costos de importación).</w:t>
      </w:r>
    </w:p>
    <w:p>
      <w:pPr>
        <w:pStyle w:val="Heading1"/>
        <w:pBdr>
          <w:bottom w:val="single" w:color="5A0E24" w:sz="12" w:space="4"/>
        </w:pBdr>
        <w:spacing w:after="200" w:before="400"/>
      </w:pPr>
      <w:r>
        <w:rPr>
          <w:b/>
          <w:bCs/>
          <w:color w:val="5A0E24"/>
          <w:sz w:val="30"/>
          <w:szCs w:val="30"/>
        </w:rPr>
        <w:t xml:space="preserve">7. Seguridad y auditoría</w:t>
      </w:r>
    </w:p>
    <w:p>
      <w:pPr>
        <w:spacing w:after="140"/>
      </w:pPr>
      <w:r>
        <w:rPr>
          <w:b w:val="false"/>
          <w:bCs w:val="false"/>
          <w:i w:val="false"/>
          <w:iCs w:val="false"/>
          <w:color w:val="222222"/>
          <w:sz w:val="21"/>
          <w:szCs w:val="21"/>
        </w:rPr>
        <w:t xml:space="preserve">PUNY Seguridad centraliza el registro de auditoría (auditoria_seguridad): quién hizo qué, cuándo, sobre qué entidad (pedidos, comprobantes, movimientos de proveedores, asientos contables), con datos previos y nuevos. El registro de auditoría nunca bloquea la operación de negocio aunque falle — es un registro adicional, no un candado.</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shd w:fill="FFF3D6" w:val="clear"/>
            <w:tcMar>
              <w:top w:type="dxa" w:w="150"/>
              <w:left w:type="dxa" w:w="200"/>
              <w:bottom w:type="dxa" w:w="150"/>
              <w:right w:type="dxa" w:w="200"/>
            </w:tcMar>
          </w:tcPr>
          <w:p>
            <w:r>
              <w:rPr>
                <w:color w:val="333333"/>
                <w:sz w:val="20"/>
                <w:szCs w:val="20"/>
              </w:rPr>
              <w:t xml:space="preserve">Obligación de ubicación en dispositivos móviles: los roles de campo (Vendedor, Entrega, Cobrador) tienen bloqueado el uso de la app si no tienen el GPS del celular activo y con permiso otorgado — se verifica al ingresar y cada 60 segundos. Los roles de escritorio (Vendedor Masivo, Asesor Inmuner, Operador WP) no tienen esta exigencia por no operar en la calle; confirmar si corresponde extenderla.</w:t>
            </w:r>
          </w:p>
        </w:tc>
      </w:tr>
    </w:tbl>
    <w:p>
      <w:pPr>
        <w:pStyle w:val="Heading1"/>
        <w:pBdr>
          <w:bottom w:val="single" w:color="5A0E24" w:sz="12" w:space="4"/>
        </w:pBdr>
        <w:spacing w:after="200" w:before="400"/>
      </w:pPr>
      <w:r>
        <w:rPr>
          <w:b/>
          <w:bCs/>
          <w:color w:val="5A0E24"/>
          <w:sz w:val="30"/>
          <w:szCs w:val="30"/>
        </w:rPr>
        <w:t xml:space="preserve">8. Integraciones externas (arquitectura pluggable)</w:t>
      </w:r>
    </w:p>
    <w:p>
      <w:pPr>
        <w:spacing w:after="140"/>
      </w:pPr>
      <w:r>
        <w:rPr>
          <w:b w:val="false"/>
          <w:bCs w:val="false"/>
          <w:i w:val="false"/>
          <w:iCs w:val="false"/>
          <w:color w:val="222222"/>
          <w:sz w:val="21"/>
          <w:szCs w:val="21"/>
        </w:rPr>
        <w:t xml:space="preserve">AFIP, Tango, periféricos de balanza/impresión y las integraciones de WhatsApp/redes sociales siguen el mismo patrón: se pueden activar en cualquier momento cargando las credenciales correspondientes como secrets, sin requerir un cambio de código ni un nuevo despliegue. Mientras falten las credenciales, el módulo devuelve un aviso explícito indicando qué falta configurar.</w:t>
      </w:r>
    </w:p>
    <w:p>
      <w:pPr>
        <w:pStyle w:val="Heading1"/>
        <w:pBdr>
          <w:bottom w:val="single" w:color="5A0E24" w:sz="12" w:space="4"/>
        </w:pBdr>
        <w:spacing w:after="200" w:before="400"/>
      </w:pPr>
      <w:r>
        <w:rPr>
          <w:b/>
          <w:bCs/>
          <w:color w:val="5A0E24"/>
          <w:sz w:val="30"/>
          <w:szCs w:val="30"/>
        </w:rPr>
        <w:t xml:space="preserve">9. Usuarios y Permisos</w:t>
      </w:r>
    </w:p>
    <w:p>
      <w:pPr>
        <w:spacing w:after="140"/>
      </w:pPr>
      <w:r>
        <w:rPr>
          <w:b w:val="false"/>
          <w:bCs w:val="false"/>
          <w:i w:val="false"/>
          <w:iCs w:val="false"/>
          <w:color w:val="222222"/>
          <w:sz w:val="21"/>
          <w:szCs w:val="21"/>
        </w:rPr>
        <w:t xml:space="preserve">Desde "Usuarios y Permisos" se administran los roles de campo (Vendedor, Entrega, Cobrador), los roles de canal (Vendedor Masivo, Asesor Inmuner, Operador WP) y la delegación de permisos administrativos a cualquier usuario sin darle el rol de Dueño: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5A0E24" w:val="clear"/>
            <w:tcMar>
              <w:top w:type="dxa" w:w="100"/>
              <w:left w:type="dxa" w:w="120"/>
              <w:bottom w:type="dxa" w:w="100"/>
              <w:right w:type="dxa" w:w="120"/>
            </w:tcMar>
          </w:tcPr>
          <w:p>
            <w:r>
              <w:rPr>
                <w:b/>
                <w:bCs/>
                <w:color w:val="F5E9CF"/>
                <w:sz w:val="19"/>
                <w:szCs w:val="19"/>
              </w:rPr>
              <w:t xml:space="preserve">Permiso</w:t>
            </w:r>
          </w:p>
        </w:tc>
        <w:tc>
          <w:tcPr>
            <w:tcW w:type="dxa" w:w="4500"/>
            <w:shd w:fill="5A0E24" w:val="clear"/>
            <w:tcMar>
              <w:top w:type="dxa" w:w="100"/>
              <w:left w:type="dxa" w:w="120"/>
              <w:bottom w:type="dxa" w:w="100"/>
              <w:right w:type="dxa" w:w="120"/>
            </w:tcMar>
          </w:tcPr>
          <w:p>
            <w:r>
              <w:rPr>
                <w:b/>
                <w:bCs/>
                <w:color w:val="F5E9CF"/>
                <w:sz w:val="19"/>
                <w:szCs w:val="19"/>
              </w:rPr>
              <w:t xml:space="preserve">Habilita</w:t>
            </w:r>
          </w:p>
        </w:tc>
      </w:tr>
      <w:tr>
        <w:trPr>
          <w:cantSplit/>
        </w:trPr>
        <w:tc>
          <w:tcPr>
            <w:tcW w:type="dxa" w:w="4500"/>
            <w:tcMar>
              <w:top w:type="dxa" w:w="100"/>
              <w:left w:type="dxa" w:w="120"/>
              <w:bottom w:type="dxa" w:w="100"/>
              <w:right w:type="dxa" w:w="120"/>
            </w:tcMar>
          </w:tcPr>
          <w:p>
            <w:r>
              <w:rPr>
                <w:b w:val="false"/>
                <w:bCs w:val="false"/>
                <w:color w:val="222222"/>
                <w:sz w:val="19"/>
                <w:szCs w:val="19"/>
              </w:rPr>
              <w:t xml:space="preserve">permiso_finanzas</w:t>
            </w:r>
          </w:p>
        </w:tc>
        <w:tc>
          <w:tcPr>
            <w:tcW w:type="dxa" w:w="4500"/>
            <w:tcMar>
              <w:top w:type="dxa" w:w="100"/>
              <w:left w:type="dxa" w:w="120"/>
              <w:bottom w:type="dxa" w:w="100"/>
              <w:right w:type="dxa" w:w="120"/>
            </w:tcMar>
          </w:tcPr>
          <w:p>
            <w:r>
              <w:rPr>
                <w:b w:val="false"/>
                <w:bCs w:val="false"/>
                <w:color w:val="222222"/>
                <w:sz w:val="19"/>
                <w:szCs w:val="19"/>
              </w:rPr>
              <w:t xml:space="preserve">Finanzas y Contabilidad</w:t>
            </w:r>
          </w:p>
        </w:tc>
      </w:tr>
      <w:tr>
        <w:trPr>
          <w:cantSplit/>
        </w:trPr>
        <w:tc>
          <w:tcPr>
            <w:tcW w:type="dxa" w:w="4500"/>
            <w:shd w:fill="FAF5EE" w:val="clear"/>
            <w:tcMar>
              <w:top w:type="dxa" w:w="100"/>
              <w:left w:type="dxa" w:w="120"/>
              <w:bottom w:type="dxa" w:w="100"/>
              <w:right w:type="dxa" w:w="120"/>
            </w:tcMar>
          </w:tcPr>
          <w:p>
            <w:r>
              <w:rPr>
                <w:b w:val="false"/>
                <w:bCs w:val="false"/>
                <w:color w:val="222222"/>
                <w:sz w:val="19"/>
                <w:szCs w:val="19"/>
              </w:rPr>
              <w:t xml:space="preserve">permiso_stock</w:t>
            </w:r>
          </w:p>
        </w:tc>
        <w:tc>
          <w:tcPr>
            <w:tcW w:type="dxa" w:w="4500"/>
            <w:shd w:fill="FAF5EE" w:val="clear"/>
            <w:tcMar>
              <w:top w:type="dxa" w:w="100"/>
              <w:left w:type="dxa" w:w="120"/>
              <w:bottom w:type="dxa" w:w="100"/>
              <w:right w:type="dxa" w:w="120"/>
            </w:tcMar>
          </w:tcPr>
          <w:p>
            <w:r>
              <w:rPr>
                <w:b w:val="false"/>
                <w:bCs w:val="false"/>
                <w:color w:val="222222"/>
                <w:sz w:val="19"/>
                <w:szCs w:val="19"/>
              </w:rPr>
              <w:t xml:space="preserve">Stock y Compras, Importaciones</w:t>
            </w:r>
          </w:p>
        </w:tc>
      </w:tr>
      <w:tr>
        <w:trPr>
          <w:cantSplit/>
        </w:trPr>
        <w:tc>
          <w:tcPr>
            <w:tcW w:type="dxa" w:w="4500"/>
            <w:tcMar>
              <w:top w:type="dxa" w:w="100"/>
              <w:left w:type="dxa" w:w="120"/>
              <w:bottom w:type="dxa" w:w="100"/>
              <w:right w:type="dxa" w:w="120"/>
            </w:tcMar>
          </w:tcPr>
          <w:p>
            <w:r>
              <w:rPr>
                <w:b w:val="false"/>
                <w:bCs w:val="false"/>
                <w:color w:val="222222"/>
                <w:sz w:val="19"/>
                <w:szCs w:val="19"/>
              </w:rPr>
              <w:t xml:space="preserve">permiso_rrhh</w:t>
            </w:r>
          </w:p>
        </w:tc>
        <w:tc>
          <w:tcPr>
            <w:tcW w:type="dxa" w:w="4500"/>
            <w:tcMar>
              <w:top w:type="dxa" w:w="100"/>
              <w:left w:type="dxa" w:w="120"/>
              <w:bottom w:type="dxa" w:w="100"/>
              <w:right w:type="dxa" w:w="120"/>
            </w:tcMar>
          </w:tcPr>
          <w:p>
            <w:r>
              <w:rPr>
                <w:b w:val="false"/>
                <w:bCs w:val="false"/>
                <w:color w:val="222222"/>
                <w:sz w:val="19"/>
                <w:szCs w:val="19"/>
              </w:rPr>
              <w:t xml:space="preserve">Tesorería y Sueldos</w:t>
            </w:r>
          </w:p>
        </w:tc>
      </w:tr>
      <w:tr>
        <w:trPr>
          <w:cantSplit/>
        </w:trPr>
        <w:tc>
          <w:tcPr>
            <w:tcW w:type="dxa" w:w="4500"/>
            <w:shd w:fill="FAF5EE" w:val="clear"/>
            <w:tcMar>
              <w:top w:type="dxa" w:w="100"/>
              <w:left w:type="dxa" w:w="120"/>
              <w:bottom w:type="dxa" w:w="100"/>
              <w:right w:type="dxa" w:w="120"/>
            </w:tcMar>
          </w:tcPr>
          <w:p>
            <w:r>
              <w:rPr>
                <w:b w:val="false"/>
                <w:bCs w:val="false"/>
                <w:color w:val="222222"/>
                <w:sz w:val="19"/>
                <w:szCs w:val="19"/>
              </w:rPr>
              <w:t xml:space="preserve">permiso_seguridad</w:t>
            </w:r>
          </w:p>
        </w:tc>
        <w:tc>
          <w:tcPr>
            <w:tcW w:type="dxa" w:w="4500"/>
            <w:shd w:fill="FAF5EE" w:val="clear"/>
            <w:tcMar>
              <w:top w:type="dxa" w:w="100"/>
              <w:left w:type="dxa" w:w="120"/>
              <w:bottom w:type="dxa" w:w="100"/>
              <w:right w:type="dxa" w:w="120"/>
            </w:tcMar>
          </w:tcPr>
          <w:p>
            <w:r>
              <w:rPr>
                <w:b w:val="false"/>
                <w:bCs w:val="false"/>
                <w:color w:val="222222"/>
                <w:sz w:val="19"/>
                <w:szCs w:val="19"/>
              </w:rPr>
              <w:t xml:space="preserve">PUNY Seguridad (auditoría)</w:t>
            </w:r>
          </w:p>
        </w:tc>
      </w:tr>
      <w:tr>
        <w:trPr>
          <w:cantSplit/>
        </w:trPr>
        <w:tc>
          <w:tcPr>
            <w:tcW w:type="dxa" w:w="4500"/>
            <w:tcMar>
              <w:top w:type="dxa" w:w="100"/>
              <w:left w:type="dxa" w:w="120"/>
              <w:bottom w:type="dxa" w:w="100"/>
              <w:right w:type="dxa" w:w="120"/>
            </w:tcMar>
          </w:tcPr>
          <w:p>
            <w:r>
              <w:rPr>
                <w:b w:val="false"/>
                <w:bCs w:val="false"/>
                <w:color w:val="222222"/>
                <w:sz w:val="19"/>
                <w:szCs w:val="19"/>
              </w:rPr>
              <w:t xml:space="preserve">permiso_marketing</w:t>
            </w:r>
          </w:p>
        </w:tc>
        <w:tc>
          <w:tcPr>
            <w:tcW w:type="dxa" w:w="4500"/>
            <w:tcMar>
              <w:top w:type="dxa" w:w="100"/>
              <w:left w:type="dxa" w:w="120"/>
              <w:bottom w:type="dxa" w:w="100"/>
              <w:right w:type="dxa" w:w="120"/>
            </w:tcMar>
          </w:tcPr>
          <w:p>
            <w:r>
              <w:rPr>
                <w:b w:val="false"/>
                <w:bCs w:val="false"/>
                <w:color w:val="222222"/>
                <w:sz w:val="19"/>
                <w:szCs w:val="19"/>
              </w:rPr>
              <w:t xml:space="preserve">PUNY Redes Sociales</w:t>
            </w:r>
          </w:p>
        </w:tc>
      </w:tr>
    </w:tbl>
    <w:p>
      <w:pPr>
        <w:pStyle w:val="Heading1"/>
        <w:pBdr>
          <w:bottom w:val="single" w:color="5A0E24" w:sz="12" w:space="4"/>
        </w:pBdr>
        <w:spacing w:after="200" w:before="400"/>
      </w:pPr>
      <w:r>
        <w:rPr>
          <w:b/>
          <w:bCs/>
          <w:color w:val="5A0E24"/>
          <w:sz w:val="30"/>
          <w:szCs w:val="30"/>
        </w:rPr>
        <w:t xml:space="preserve">10. Otras herramientas</w:t>
      </w:r>
    </w:p>
    <w:p>
      <w:pPr>
        <w:pStyle w:val="ListParagraph"/>
        <w:numPr>
          <w:ilvl w:val="0"/>
          <w:numId w:val="2"/>
        </w:numPr>
        <w:spacing w:after="80"/>
      </w:pPr>
      <w:r>
        <w:rPr>
          <w:color w:val="222222"/>
          <w:sz w:val="21"/>
          <w:szCs w:val="21"/>
        </w:rPr>
        <w:t xml:space="preserve">Reportes: exportación a PDF/Excel de cualquier listado del sistema, con el pie de marca "PUNY 2026 INTEGRAL".</w:t>
      </w:r>
    </w:p>
    <w:p>
      <w:pPr>
        <w:pStyle w:val="ListParagraph"/>
        <w:numPr>
          <w:ilvl w:val="0"/>
          <w:numId w:val="2"/>
        </w:numPr>
        <w:spacing w:after="80"/>
      </w:pPr>
      <w:r>
        <w:rPr>
          <w:color w:val="222222"/>
          <w:sz w:val="21"/>
          <w:szCs w:val="21"/>
        </w:rPr>
        <w:t xml:space="preserve">Zonas y Circuitos, Mapa en Vivo (ubicación de vendedores/entregas en tiempo real).</w:t>
      </w:r>
    </w:p>
    <w:p>
      <w:pPr>
        <w:pStyle w:val="ListParagraph"/>
        <w:numPr>
          <w:ilvl w:val="0"/>
          <w:numId w:val="2"/>
        </w:numPr>
        <w:spacing w:after="80"/>
      </w:pPr>
      <w:r>
        <w:rPr>
          <w:color w:val="222222"/>
          <w:sz w:val="21"/>
          <w:szCs w:val="21"/>
        </w:rPr>
        <w:t xml:space="preserve">Vincular Cobradores a vendedores (pool de clientes).</w:t>
      </w:r>
    </w:p>
    <w:p>
      <w:pPr>
        <w:pStyle w:val="ListParagraph"/>
        <w:numPr>
          <w:ilvl w:val="0"/>
          <w:numId w:val="2"/>
        </w:numPr>
        <w:spacing w:after="80"/>
      </w:pPr>
      <w:r>
        <w:rPr>
          <w:color w:val="222222"/>
          <w:sz w:val="21"/>
          <w:szCs w:val="21"/>
        </w:rPr>
        <w:t xml:space="preserve">Notificaciones automáticas por WhatsApp al confirmar un cobro (al cliente y al Dueño).</w:t>
      </w:r>
    </w:p>
    <w:p>
      <w:pPr>
        <w:pStyle w:val="ListParagraph"/>
        <w:numPr>
          <w:ilvl w:val="0"/>
          <w:numId w:val="2"/>
        </w:numPr>
        <w:spacing w:after="80"/>
      </w:pPr>
      <w:r>
        <w:rPr>
          <w:color w:val="222222"/>
          <w:sz w:val="21"/>
          <w:szCs w:val="21"/>
        </w:rPr>
        <w:t xml:space="preserve">Sistema → Reset de fábrica: borrado controlado de datos transaccionales de prueba, preservando catálogo y configuración.</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2"/>
        <w:szCs w:val="12"/>
      </w:rPr>
      <w:t xml:space="preserve">PUNY 2026 INTEGRAL · Desarrollado por Pablo M. Mugherli · Todos los derechos reservados · +54 3442 503007 · pablomugherli@gmail.com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2026-08-16T17:22:22.406Z</dcterms:created>
  <dcterms:modified xsi:type="dcterms:W3CDTF">2026-08-16T17:22:22.406Z</dcterms:modified>
</cp:coreProperties>
</file>

<file path=docProps/custom.xml><?xml version="1.0" encoding="utf-8"?>
<Properties xmlns="http://schemas.openxmlformats.org/officeDocument/2006/custom-properties" xmlns:vt="http://schemas.openxmlformats.org/officeDocument/2006/docPropsVTypes"/>
</file>