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2000"/>
        <w:jc w:val="center"/>
      </w:pPr>
      <w:r>
        <w:rPr>
          <w:b/>
          <w:bCs/>
          <w:color w:val="5A0E24"/>
          <w:sz w:val="40"/>
          <w:szCs w:val="40"/>
        </w:rPr>
        <w:t xml:space="preserve">PUNY 2026 INTEGRAL</w:t>
      </w:r>
    </w:p>
    <w:p>
      <w:pPr>
        <w:spacing w:after="600"/>
        <w:jc w:val="center"/>
      </w:pPr>
      <w:r>
        <w:rPr>
          <w:i/>
          <w:iCs/>
          <w:color w:val="B8860B"/>
          <w:sz w:val="22"/>
          <w:szCs w:val="22"/>
        </w:rPr>
        <w:t xml:space="preserve">Sistema integral de distribución mayorista y multicanal</w:t>
      </w:r>
    </w:p>
    <w:p>
      <w:pPr>
        <w:spacing w:after="200"/>
        <w:jc w:val="center"/>
      </w:pPr>
      <w:r>
        <w:rPr>
          <w:b/>
          <w:bCs/>
          <w:color w:val="5A0E24"/>
          <w:sz w:val="32"/>
          <w:szCs w:val="32"/>
        </w:rPr>
        <w:t xml:space="preserve">Manual de Usuario</w:t>
      </w:r>
    </w:p>
    <w:p>
      <w:pPr>
        <w:spacing w:after="100"/>
        <w:jc w:val="center"/>
      </w:pPr>
      <w:r>
        <w:rPr>
          <w:color w:val="444444"/>
          <w:sz w:val="22"/>
          <w:szCs w:val="22"/>
        </w:rPr>
        <w:t xml:space="preserve">Entrega (Logística) — App de campo</w:t>
      </w:r>
    </w:p>
    <w:p>
      <w:pPr>
        <w:spacing w:after="100" w:before="300"/>
        <w:jc w:val="center"/>
      </w:pPr>
      <w:r>
        <w:rPr>
          <w:b/>
          <w:bCs/>
          <w:color w:val="B8860B"/>
          <w:sz w:val="20"/>
          <w:szCs w:val="20"/>
        </w:rPr>
        <w:t xml:space="preserve">Rol: Entrega</w:t>
      </w:r>
    </w:p>
    <w:p>
      <w:pPr>
        <w:spacing w:before="1200"/>
        <w:jc w:val="center"/>
      </w:pPr>
      <w:r>
        <w:rPr>
          <w:color w:val="666666"/>
          <w:sz w:val="16"/>
          <w:szCs w:val="16"/>
        </w:rPr>
        <w:t xml:space="preserve">Desarrollado por Pablo M. Mugherli · © 2026</w:t>
      </w:r>
    </w:p>
    <w:p>
      <w:r>
        <w:br w:type="page"/>
      </w:r>
    </w:p>
    <w:p>
      <w:pPr>
        <w:pStyle w:val="Heading1"/>
        <w:pBdr>
          <w:bottom w:val="single" w:color="5A0E24" w:sz="12" w:space="4"/>
        </w:pBdr>
        <w:spacing w:after="200" w:before="400"/>
      </w:pPr>
      <w:r>
        <w:rPr>
          <w:b/>
          <w:bCs/>
          <w:color w:val="5A0E24"/>
          <w:sz w:val="30"/>
          <w:szCs w:val="30"/>
        </w:rPr>
        <w:t xml:space="preserve">1. Introducción</w:t>
      </w:r>
    </w:p>
    <w:p>
      <w:pPr>
        <w:spacing w:after="140"/>
      </w:pPr>
      <w:r>
        <w:rPr>
          <w:b w:val="false"/>
          <w:bCs w:val="false"/>
          <w:i w:val="false"/>
          <w:iCs w:val="false"/>
          <w:color w:val="222222"/>
          <w:sz w:val="21"/>
          <w:szCs w:val="21"/>
        </w:rPr>
        <w:t xml:space="preserve">El rol Entrega gestiona el reparto de los pedidos confirmados: hoja de ruta del día, entrega, y devoluciones cuando corresponda.</w:t>
      </w:r>
    </w:p>
    <w:tbl>
      <w:tblPr>
        <w:tblW w:type="pct" w:w="100%"/>
        <w:tblBorders>
          <w:top w:val="single" w:color="B8860B" w:sz="4"/>
          <w:left w:val="single" w:color="B8860B" w:sz="24"/>
          <w:bottom w:val="single" w:color="B8860B" w:sz="4"/>
          <w:right w:val="single" w:color="B8860B" w:sz="4"/>
          <w:insideH w:val="single" w:color="auto" w:sz="4"/>
          <w:insideV w:val="single" w:color="auto" w:sz="4"/>
        </w:tblBorders>
      </w:tblPr>
      <w:tblGrid>
        <w:gridCol w:w="100"/>
      </w:tblGrid>
      <w:tr>
        <w:tc>
          <w:tcPr>
            <w:shd w:fill="FFF3D6" w:val="clear"/>
            <w:tcMar>
              <w:top w:type="dxa" w:w="150"/>
              <w:left w:type="dxa" w:w="200"/>
              <w:bottom w:type="dxa" w:w="150"/>
              <w:right w:type="dxa" w:w="200"/>
            </w:tcMar>
          </w:tcPr>
          <w:p>
            <w:r>
              <w:rPr>
                <w:color w:val="333333"/>
                <w:sz w:val="20"/>
                <w:szCs w:val="20"/>
              </w:rPr>
              <w:t xml:space="preserve">Ubicación obligatoria: igual que el resto de los roles de campo, Entrega debe tener el GPS del celular activo y con permiso otorgado para poder usar la app. Se verifica al ingresar, al volver a la pestaña, y cada 60 segundos — sin ubicación activa, la app queda bloqueada con un aviso.</w:t>
            </w:r>
          </w:p>
        </w:tc>
      </w:tr>
    </w:tbl>
    <w:p>
      <w:pPr>
        <w:pStyle w:val="Heading1"/>
        <w:pBdr>
          <w:bottom w:val="single" w:color="5A0E24" w:sz="12" w:space="4"/>
        </w:pBdr>
        <w:spacing w:after="200" w:before="400"/>
      </w:pPr>
      <w:r>
        <w:rPr>
          <w:b/>
          <w:bCs/>
          <w:color w:val="5A0E24"/>
          <w:sz w:val="30"/>
          <w:szCs w:val="30"/>
        </w:rPr>
        <w:t xml:space="preserve">2. Hoja de Ruta</w:t>
      </w:r>
    </w:p>
    <w:p>
      <w:pPr>
        <w:pStyle w:val="ListParagraph"/>
        <w:numPr>
          <w:ilvl w:val="0"/>
          <w:numId w:val="2"/>
        </w:numPr>
        <w:spacing w:after="80"/>
      </w:pPr>
      <w:r>
        <w:rPr>
          <w:color w:val="222222"/>
          <w:sz w:val="21"/>
          <w:szCs w:val="21"/>
        </w:rPr>
        <w:t xml:space="preserve">Listado de entregas asignadas para el día, ordenadas automáticamente por distancia desde la ubicación actual del repartidor.</w:t>
      </w:r>
    </w:p>
    <w:p>
      <w:pPr>
        <w:pStyle w:val="ListParagraph"/>
        <w:numPr>
          <w:ilvl w:val="0"/>
          <w:numId w:val="2"/>
        </w:numPr>
        <w:spacing w:after="80"/>
      </w:pPr>
      <w:r>
        <w:rPr>
          <w:color w:val="222222"/>
          <w:sz w:val="21"/>
          <w:szCs w:val="21"/>
        </w:rPr>
        <w:t xml:space="preserve">Check-in geolocalizado al llegar a cada cliente.</w:t>
      </w:r>
    </w:p>
    <w:p>
      <w:pPr>
        <w:pStyle w:val="ListParagraph"/>
        <w:numPr>
          <w:ilvl w:val="0"/>
          <w:numId w:val="2"/>
        </w:numPr>
        <w:spacing w:after="80"/>
      </w:pPr>
      <w:r>
        <w:rPr>
          <w:color w:val="222222"/>
          <w:sz w:val="21"/>
          <w:szCs w:val="21"/>
        </w:rPr>
        <w:t xml:space="preserve">Marcar pedido como entregado.</w:t>
      </w:r>
    </w:p>
    <w:p>
      <w:pPr>
        <w:pStyle w:val="Heading1"/>
        <w:pBdr>
          <w:bottom w:val="single" w:color="5A0E24" w:sz="12" w:space="4"/>
        </w:pBdr>
        <w:spacing w:after="200" w:before="400"/>
      </w:pPr>
      <w:r>
        <w:rPr>
          <w:b/>
          <w:bCs/>
          <w:color w:val="5A0E24"/>
          <w:sz w:val="30"/>
          <w:szCs w:val="30"/>
        </w:rPr>
        <w:t xml:space="preserve">3. Devoluciones</w:t>
      </w:r>
    </w:p>
    <w:p>
      <w:pPr>
        <w:spacing w:after="140"/>
      </w:pPr>
      <w:r>
        <w:rPr>
          <w:b w:val="false"/>
          <w:bCs w:val="false"/>
          <w:i w:val="false"/>
          <w:iCs w:val="false"/>
          <w:color w:val="222222"/>
          <w:sz w:val="21"/>
          <w:szCs w:val="21"/>
        </w:rPr>
        <w:t xml:space="preserve">Cuando un cliente rechaza total o parcialmente un pedido en el momento de la entrega:</w:t>
      </w:r>
    </w:p>
    <w:p>
      <w:pPr>
        <w:pStyle w:val="ListParagraph"/>
        <w:numPr>
          <w:ilvl w:val="0"/>
          <w:numId w:val="2"/>
        </w:numPr>
        <w:spacing w:after="80"/>
      </w:pPr>
      <w:r>
        <w:rPr>
          <w:color w:val="222222"/>
          <w:sz w:val="21"/>
          <w:szCs w:val="21"/>
        </w:rPr>
        <w:t xml:space="preserve">Devolución total o parcial (por producto y cantidad).</w:t>
      </w:r>
    </w:p>
    <w:p>
      <w:pPr>
        <w:pStyle w:val="ListParagraph"/>
        <w:numPr>
          <w:ilvl w:val="0"/>
          <w:numId w:val="2"/>
        </w:numPr>
        <w:spacing w:after="80"/>
      </w:pPr>
      <w:r>
        <w:rPr>
          <w:color w:val="222222"/>
          <w:sz w:val="21"/>
          <w:szCs w:val="21"/>
        </w:rPr>
        <w:t xml:space="preserve">El stock devuelto se repone automáticamente.</w:t>
      </w:r>
    </w:p>
    <w:p>
      <w:pPr>
        <w:pStyle w:val="ListParagraph"/>
        <w:numPr>
          <w:ilvl w:val="0"/>
          <w:numId w:val="2"/>
        </w:numPr>
        <w:spacing w:after="80"/>
      </w:pPr>
      <w:r>
        <w:rPr>
          <w:color w:val="222222"/>
          <w:sz w:val="21"/>
          <w:szCs w:val="21"/>
        </w:rPr>
        <w:t xml:space="preserve">El ajuste se refleja en la cuenta corriente del cliente (se descuenta lo no entregado).</w:t>
      </w:r>
    </w:p>
    <w:p>
      <w:pPr>
        <w:pStyle w:val="Heading1"/>
        <w:pBdr>
          <w:bottom w:val="single" w:color="5A0E24" w:sz="12" w:space="4"/>
        </w:pBdr>
        <w:spacing w:after="200" w:before="400"/>
      </w:pPr>
      <w:r>
        <w:rPr>
          <w:b/>
          <w:bCs/>
          <w:color w:val="5A0E24"/>
          <w:sz w:val="30"/>
          <w:szCs w:val="30"/>
        </w:rPr>
        <w:t xml:space="preserve">4. Mis Comisiones y Objetivos</w:t>
      </w:r>
    </w:p>
    <w:p>
      <w:pPr>
        <w:spacing w:after="140"/>
      </w:pPr>
      <w:r>
        <w:rPr>
          <w:b w:val="false"/>
          <w:bCs w:val="false"/>
          <w:i w:val="false"/>
          <w:iCs w:val="false"/>
          <w:color w:val="222222"/>
          <w:sz w:val="21"/>
          <w:szCs w:val="21"/>
        </w:rPr>
        <w:t xml:space="preserve">Panel en tiempo real con el cumplimiento del objetivo vigente y el ranking de cumplimiento entre los repartidores.</w:t>
      </w:r>
    </w:p>
    <w:p>
      <w:pPr>
        <w:pStyle w:val="Heading1"/>
        <w:pBdr>
          <w:bottom w:val="single" w:color="5A0E24" w:sz="12" w:space="4"/>
        </w:pBdr>
        <w:spacing w:after="200" w:before="400"/>
      </w:pPr>
      <w:r>
        <w:rPr>
          <w:b/>
          <w:bCs/>
          <w:color w:val="5A0E24"/>
          <w:sz w:val="30"/>
          <w:szCs w:val="30"/>
        </w:rPr>
        <w:t xml:space="preserve">5. Mi Portal (Recibos y Licencias)</w:t>
      </w:r>
    </w:p>
    <w:p>
      <w:pPr>
        <w:pStyle w:val="ListParagraph"/>
        <w:numPr>
          <w:ilvl w:val="0"/>
          <w:numId w:val="2"/>
        </w:numPr>
        <w:spacing w:after="80"/>
      </w:pPr>
      <w:r>
        <w:rPr>
          <w:color w:val="222222"/>
          <w:sz w:val="21"/>
          <w:szCs w:val="21"/>
        </w:rPr>
        <w:t xml:space="preserve">Recibos de sueldo (liquidaciones cerradas).</w:t>
      </w:r>
    </w:p>
    <w:p>
      <w:pPr>
        <w:pStyle w:val="ListParagraph"/>
        <w:numPr>
          <w:ilvl w:val="0"/>
          <w:numId w:val="2"/>
        </w:numPr>
        <w:spacing w:after="80"/>
      </w:pPr>
      <w:r>
        <w:rPr>
          <w:color w:val="222222"/>
          <w:sz w:val="21"/>
          <w:szCs w:val="21"/>
        </w:rPr>
        <w:t xml:space="preserve">Pedido de vacaciones o licencia, con seguimiento de estado y cancelación de solicitudes propias pendientes.</w:t>
      </w:r>
    </w:p>
    <w:p>
      <w:pPr>
        <w:pStyle w:val="Heading1"/>
        <w:pBdr>
          <w:bottom w:val="single" w:color="5A0E24" w:sz="12" w:space="4"/>
        </w:pBdr>
        <w:spacing w:after="200" w:before="400"/>
      </w:pPr>
      <w:r>
        <w:rPr>
          <w:b/>
          <w:bCs/>
          <w:color w:val="5A0E24"/>
          <w:sz w:val="30"/>
          <w:szCs w:val="30"/>
        </w:rPr>
        <w:t xml:space="preserve">6. Cobrar a mis clientes (si tiene el permiso habilitado)</w:t>
      </w:r>
    </w:p>
    <w:p>
      <w:pPr>
        <w:spacing w:after="140"/>
      </w:pPr>
      <w:r>
        <w:rPr>
          <w:b w:val="false"/>
          <w:bCs w:val="false"/>
          <w:i w:val="false"/>
          <w:iCs w:val="false"/>
          <w:color w:val="222222"/>
          <w:sz w:val="21"/>
          <w:szCs w:val="21"/>
        </w:rPr>
        <w:t xml:space="preserve">Si el Administrador le otorgó el flag "puede_cobrar", el repartidor puede registrar cobros de sus propios clientes al momento de la entrega, sin heredar el resto de las funciones del rol Cobrador. El cobro dispara notificación automática por WhatsApp al cliente y al Dueño/Administrador.</w:t>
      </w:r>
    </w:p>
    <w:sectPr>
      <w:footerReference w:type="default" r:id="rId7"/>
      <w:pgSz w:w="12240" w:h="15840" w:orient="portrait"/>
      <w:pgMar w:top="1000" w:right="1100" w:bottom="10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999999"/>
        <w:sz w:val="12"/>
        <w:szCs w:val="12"/>
      </w:rPr>
      <w:t xml:space="preserve">PUNY 2026 INTEGRAL · Desarrollado por Pablo M. Mugherli · Todos los derechos reservados · +54 3442 503007 · pablomugherli@gmail.com</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0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2026-08-16T17:22:22.738Z</dcterms:created>
  <dcterms:modified xsi:type="dcterms:W3CDTF">2026-08-16T17:22:22.739Z</dcterms:modified>
</cp:coreProperties>
</file>

<file path=docProps/custom.xml><?xml version="1.0" encoding="utf-8"?>
<Properties xmlns="http://schemas.openxmlformats.org/officeDocument/2006/custom-properties" xmlns:vt="http://schemas.openxmlformats.org/officeDocument/2006/docPropsVTypes"/>
</file>