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7A1F2E"/>
          <w:sz w:val="48"/>
          <w:szCs w:val="48"/>
        </w:rPr>
        <w:t xml:space="preserve">PUNY Mayorista</w:t>
      </w:r>
    </w:p>
    <w:p>
      <w:pPr>
        <w:spacing w:after="60"/>
      </w:pPr>
      <w:r>
        <w:rPr>
          <w:color w:val="1F2A44"/>
          <w:sz w:val="32"/>
          <w:szCs w:val="32"/>
        </w:rPr>
        <w:t xml:space="preserve">Anexo Técnico — Nuevos Módulos ERP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Licenciamiento y Cobros · Doble Circuito Comercial · Finanzas · Stock y Compras · Tesorería y RRHH · Integraciones</w:t>
      </w:r>
    </w:p>
    <w:p>
      <w:pPr>
        <w:spacing w:after="120"/>
      </w:pPr>
      <w:r>
        <w:t xml:space="preserve">Este anexo documenta los módulos incorporados al sistema PUNY Mayorista a partir de la base operativa ya existente (ventas, entregas, cobranza, comisiones y objetivos comerciales). Complementa — no reemplaza — los manuales de usuario por rol ya entregados.</w:t>
      </w:r>
    </w:p>
    <w:p>
      <w:pPr>
        <w:pStyle w:val="Heading1"/>
        <w:spacing w:after="150" w:before="300"/>
      </w:pPr>
      <w:r>
        <w:t xml:space="preserve">1. Licenciamiento, Cobros y Alertas de Vencimiento</w:t>
      </w:r>
    </w:p>
    <w:p>
      <w:pPr>
        <w:spacing w:after="120"/>
      </w:pPr>
      <w:r>
        <w:t xml:space="preserve">El Usuario Maestro configura, por distribuidora, un esquema de cobro de Pago Único (fecha fija) o Abono Mensual (día de vencimiento recurrente), el importe y — opcionalmente — un aumento futuro con fecha de vigencia.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 automática al Dueño desde el último día del mes previo al vencimiento hasta la fecha exacta, mostrando importe y fecha.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Aviso de aumento futuro 30 días antes de que entre en vigencia.</w:t>
      </w:r>
    </w:p>
    <w:p>
      <w:pPr>
        <w:pStyle w:val="Heading1"/>
        <w:spacing w:after="150" w:before="300"/>
      </w:pPr>
      <w:r>
        <w:t xml:space="preserve">2. Doble Circuito Comercial</w:t>
      </w:r>
    </w:p>
    <w:p>
      <w:pPr>
        <w:spacing w:after="120"/>
      </w:pPr>
      <w:r>
        <w:t xml:space="preserve">El sistema separa de forma estricta — a nivel de base de datos, no solo de pantalla — dos circuitos de venta: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Circuito 1 (Lista 1) — Oficial: comprobantes facturables (factura/nota de crédito/nota de débito), impactan el Libro de IVA y los reportes fiscales.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Circuito 2 (Lista 2) — Interno: remitos o recibos no fiscales. Un comprobante de Lista 2 no puede ser tipo factura — está bloqueado por una restricción de base de datos, no solo por la interfaz.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Ambos circuitos comparten el mismo stock físico (el descuento de inventario no distingue lista) y tienen listas de precio diferenciadas.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Dueño ve un panel "Real Global" con la suma de ambos circuitos para control de caja e inventario, sin mezclar nunca los registros fiscales.</w:t>
      </w:r>
    </w:p>
    <w:p>
      <w:pPr>
        <w:pStyle w:val="Heading1"/>
        <w:spacing w:after="150" w:before="300"/>
      </w:pPr>
      <w:r>
        <w:t xml:space="preserve">3. Finanzas: Bancos, Proveedores y Cartera de Valores</w:t>
      </w:r>
    </w:p>
    <w:p>
      <w:pPr>
        <w:pStyle w:val="Heading2"/>
        <w:spacing w:after="100" w:before="200"/>
      </w:pPr>
      <w:r>
        <w:t xml:space="preserve">Bancos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Alta de cuentas bancarias con CBU/alias y saldo actualizado automáticamente por cada movimiento.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ingresos/egresos con marca de conciliación.</w:t>
      </w:r>
    </w:p>
    <w:p>
      <w:pPr>
        <w:pStyle w:val="Heading2"/>
        <w:spacing w:after="100" w:before="200"/>
      </w:pPr>
      <w:r>
        <w:t xml:space="preserve">Proveedores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Ficha de proveedor con cuenta corriente: compras, pagos y saldo resultante calculado automáticamente.</w:t>
      </w:r>
    </w:p>
    <w:p>
      <w:pPr>
        <w:pStyle w:val="Heading2"/>
        <w:spacing w:after="100" w:before="200"/>
      </w:pPr>
      <w:r>
        <w:t xml:space="preserve">Cartera de Valores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Cheques físicos y eCheqs: alta, seguimiento de estado (en cartera / depositado / endosado / rechazado / cobrado) y vencimiento.</w:t>
      </w:r>
    </w:p>
    <w:p>
      <w:pPr>
        <w:pStyle w:val="Heading2"/>
        <w:spacing w:after="100" w:before="200"/>
      </w:pPr>
      <w:r>
        <w:t xml:space="preserve">Medios de Pago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referencia de los medios habilitados: efectivo, transferencia, cheque, tarjeta, QR, Mercado Pago, MODO. No procesa transacciones reales — los cobros se siguen registrando manualmente como hasta ahora.</w:t>
      </w:r>
    </w:p>
    <w:p>
      <w:pPr>
        <w:pStyle w:val="Heading1"/>
        <w:spacing w:after="150" w:before="300"/>
      </w:pPr>
      <w:r>
        <w:t xml:space="preserve">4. Stock, Compras y Alertas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mínimo, rubro y proveedor preferido configurables por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cruzar el stock por debajo del mínimo, se genera (o actualiza) automáticamente una orden de compra sugerida agrupada por proveedor preferido.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Flujo de la orden: sugerida → confirmada → recibida (suma el stock automáticamente) o cancelada.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También admite carga manual de órdenes de compra por producto, rubro o proveedor.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globales visuales y sonoras: stock bajo mínimo, productos por vencer, pagos a proveedores por vencer, clientes en mora o por encima de su límite de crédito.</w:t>
      </w:r>
    </w:p>
    <w:p>
      <w:pPr>
        <w:pStyle w:val="Heading1"/>
        <w:spacing w:after="150" w:before="300"/>
      </w:pPr>
      <w:r>
        <w:t xml:space="preserve">5. Tesorería, Contabilidad y RRHH</w:t>
      </w:r>
    </w:p>
    <w:p>
      <w:pPr>
        <w:pStyle w:val="Heading2"/>
        <w:spacing w:after="100" w:before="200"/>
      </w:pPr>
      <w:r>
        <w:t xml:space="preserve">Cajas Diarias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Apertura y cierre de caja por día, con ingresos/egresos y cierre sugerido calculado automáticamente.</w:t>
      </w:r>
    </w:p>
    <w:p>
      <w:pPr>
        <w:pStyle w:val="Heading2"/>
        <w:spacing w:after="100" w:before="200"/>
      </w:pPr>
      <w:r>
        <w:t xml:space="preserve">Libro de IVA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Ventas y Compras del período, con neto e IVA (débito/crédito fiscal). Incluye exclusivamente el Circuito 1 (Lista 1) — el Circuito 2 queda excluido por diseño.</w:t>
      </w:r>
    </w:p>
    <w:p>
      <w:pPr>
        <w:pStyle w:val="Heading2"/>
        <w:spacing w:after="100" w:before="200"/>
      </w:pPr>
      <w:r>
        <w:t xml:space="preserve">Liquidación de Sueldos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 período: Sueldo Base + Comisiones (sugeridas automáticamente con el mismo esquema de "Esquemas de Comisión") + Premios del período + Premios acumulados multi-período.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premios y premios acumulados se cargan manualmente porque dependen de la regla de negocio específica de cada distribuidora (por ejemplo, un bono trimestral).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liquidación "cerrada" queda fija y visible como recibo para el propio empleado.</w:t>
      </w:r>
    </w:p>
    <w:p>
      <w:pPr>
        <w:pStyle w:val="Heading1"/>
        <w:spacing w:after="150" w:before="300"/>
      </w:pPr>
      <w:r>
        <w:t xml:space="preserve">6. WhatsApp por Distribuidora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distribuidora puede cargar sus propias credenciales de WhatsApp Cloud API (Token, Verify Token, App Secret, WABA ID) — quedan protegidas: solo el Dueño puede leerlas, ni el Usuario Maestro.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Créditos y mensajes enviados por mes se cuentan por distribuidora; si no se cargan credenciales propias, el sistema usa como respaldo las credenciales generales de la plataforma.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Plantillas de mensaje pre-aprobadas por Meta, administrables desde el mismo panel.</w:t>
      </w:r>
    </w:p>
    <w:p>
      <w:pPr>
        <w:pStyle w:val="Heading1"/>
        <w:spacing w:after="150" w:before="300"/>
      </w:pPr>
      <w:r>
        <w:t xml:space="preserve">7. Integraciones: AFIP, Tango y Periféricos</w:t>
      </w:r>
    </w:p>
    <w:p>
      <w:pPr>
        <w:spacing w:after="120"/>
      </w:pPr>
      <w:r>
        <w:t xml:space="preserve">Panel de Configuración (Admin &gt; Integraciones) con el estado real de cada integración — sin credenciales de producción cargadas por defecto.</w:t>
      </w:r>
    </w:p>
    <w:p>
      <w:pPr>
        <w:shd w:fill="7A1F2E" w:val="clear"/>
        <w:spacing w:after="100"/>
      </w:pPr>
      <w:r>
        <w:rPr>
          <w:b/>
          <w:bCs/>
          <w:color w:val="FFFFFF"/>
        </w:rPr>
        <w:t xml:space="preserve">AFIP (Facturación Electrónica WSFE) — NO CONFIGURADO</w:t>
      </w:r>
    </w:p>
    <w:p>
      <w:pPr>
        <w:spacing w:after="120"/>
      </w:pPr>
      <w:r>
        <w:rPr>
          <w:i/>
          <w:iCs/>
          <w:color w:val="666666"/>
        </w:rPr>
        <w:t xml:space="preserve">Requiere Certificado Digital (.crt) y Clave Privada (.key) emitidos por AFIP para el CUIT de cada distribuidora. Por su sensibilidad, esas credenciales no se cargan como texto en una tabla — se conectan mediante almacenamiento privado dedicado o secreto de Edge Function una vez confirmados los datos reales.</w:t>
      </w:r>
    </w:p>
    <w:p>
      <w:pPr>
        <w:shd w:fill="7A1F2E" w:val="clear"/>
        <w:spacing w:after="100"/>
      </w:pPr>
      <w:r>
        <w:rPr>
          <w:b/>
          <w:bCs/>
          <w:color w:val="FFFFFF"/>
        </w:rPr>
        <w:t xml:space="preserve">Tango ERP — NO CONFIGURADO</w:t>
      </w:r>
    </w:p>
    <w:p>
      <w:pPr>
        <w:spacing w:after="120"/>
      </w:pPr>
      <w:r>
        <w:rPr>
          <w:i/>
          <w:iCs/>
          <w:color w:val="666666"/>
        </w:rPr>
        <w:t xml:space="preserve">Vía por archivo (formato de interfaz de Tango) o por Tango API/RemoteObjects (requiere licencia de API de la instalación). El panel ya deja cargado el tipo de integración elegido y el endpoint cuando se confirme.</w:t>
      </w:r>
    </w:p>
    <w:p>
      <w:pPr>
        <w:shd w:fill="1E7A34" w:val="clear"/>
        <w:spacing w:after="100"/>
      </w:pPr>
      <w:r>
        <w:rPr>
          <w:b/>
          <w:bCs/>
          <w:color w:val="FFFFFF"/>
        </w:rPr>
        <w:t xml:space="preserve">Lector de código de barras — ACTIVO</w:t>
      </w:r>
    </w:p>
    <w:p>
      <w:pPr>
        <w:spacing w:after="120"/>
      </w:pPr>
      <w:r>
        <w:rPr>
          <w:i/>
          <w:iCs/>
          <w:color w:val="666666"/>
        </w:rPr>
        <w:t xml:space="preserve">Funciona sin configuración: cualquier lector USB/Bluetooth en modo teclado (el estándar de la enorme mayoría de lectores comerciales) queda operativo en la pantalla de Nuevo Pedido.</w:t>
      </w:r>
    </w:p>
    <w:p>
      <w:pPr>
        <w:shd w:fill="C9A24B" w:val="clear"/>
        <w:spacing w:after="100"/>
      </w:pPr>
      <w:r>
        <w:rPr>
          <w:b/>
          <w:bCs/>
          <w:color w:val="FFFFFF"/>
        </w:rPr>
        <w:t xml:space="preserve">Balanza comercial e Impresora de tickets — CONEXIÓN LISTA, PROTOCOLO PENDIENTE</w:t>
      </w:r>
    </w:p>
    <w:p>
      <w:pPr>
        <w:spacing w:after="120"/>
      </w:pPr>
      <w:r>
        <w:rPr>
          <w:i/>
          <w:iCs/>
          <w:color w:val="666666"/>
        </w:rPr>
        <w:t xml:space="preserve">El botón "Conectar balanza" ya usa Web Serial API para vincular el puerto — el parseo de los bytes de peso es específico de cada marca/modelo, y se completa en cuanto se confirme cuál se va a usar. Mientras tanto, el peso se carga a mano sin bloquear la operación.</w:t>
      </w:r>
    </w:p>
    <w:p>
      <w:pPr>
        <w:pStyle w:val="Heading1"/>
        <w:spacing w:after="150" w:before="300"/>
      </w:pPr>
      <w:r>
        <w:t xml:space="preserve">8. Jerarquía de Usuarios y Credenciales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Usuario Maestro → crea la cuenta del Dueño de cada distribuidora (email + contraseña inicial), y solo administra el estado de la cuenta (activa/pausada/suspendida) y el esquema de cobro — sin ver ningún dato operativo de la distribuidora.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Dueño → crea las cuentas de su propio personal (vendedor, entrega, cobrador, cliente B2B) desde Admin &gt; Usuarios y Permisos, con contraseña inicial que puede resetear en cualquier momento. Ningún usuario operativo viene con credenciales fijas de fábrica.</w:t>
      </w:r>
    </w:p>
    <w:p>
      <w:pPr>
        <w:pStyle w:val="Heading1"/>
        <w:spacing w:after="150" w:before="300"/>
      </w:pPr>
      <w:r>
        <w:t xml:space="preserve">9. Estado y Próximos Pasos</w:t>
      </w:r>
    </w:p>
    <w:p>
      <w:pPr>
        <w:spacing w:after="120"/>
      </w:pPr>
      <w:r>
        <w:t xml:space="preserve">Todo lo listado en las secciones 1 a 6, y la arquitectura de configuración de la sección 7, está implementado, probado (verificación de tipos, build de producción y pruebas de seguridad a nivel de base de datos) y desplegado.</w:t>
      </w:r>
    </w:p>
    <w:p>
      <w:pPr>
        <w:spacing w:after="120"/>
      </w:pPr>
      <w:r>
        <w:rPr>
          <w:b/>
          <w:bCs/>
        </w:rPr>
        <w:t xml:space="preserve">Quedan pendientes, exclusivamente por depender de información que solo la distribuidora puede proveer: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AFIP: CUIT, certificado y clave privada reales.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Tango: definición de si la integración es por archivo o por API, y datos de conexión.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Balanza comercial e impresora de tickets: marca y modelo exactos, para escribir el parser de protocolo correspondiente.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2026-08-14T00:59:14.018Z</dcterms:created>
  <dcterms:modified xsi:type="dcterms:W3CDTF">2026-08-14T00:59:14.018Z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