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Pós-Graduação em Ecologia, Conservação e Manejo da Vida Silvestre</w:t>
        <w:br/>
        <w:t>Universidade Federal de Minas Gerais</w:t>
      </w:r>
    </w:p>
    <w:p>
      <w:pPr>
        <w:jc w:val="center"/>
      </w:pPr>
      <w:r>
        <w:t>MATERIAL DIDÁTICO COMPLETO • ATIVIDADE AULA 1</w:t>
      </w:r>
    </w:p>
    <w:p>
      <w:pPr>
        <w:pStyle w:val="Title"/>
        <w:jc w:val="center"/>
      </w:pPr>
      <w:r>
        <w:t>Aula 1 — Introdução ao universo dos dados de biodiversidade</w:t>
      </w:r>
    </w:p>
    <w:p>
      <w:pPr>
        <w:pStyle w:val="Subtitle"/>
        <w:jc w:val="center"/>
      </w:pPr>
      <w:r>
        <w:t>Portais, downloads, FAIR, licenças e leitura comparada de arquivos reais</w:t>
      </w:r>
    </w:p>
    <w:p>
      <w:pPr>
        <w:pStyle w:val="Heading1"/>
        <w:keepNext/>
        <w:keepLines w:val="1"/>
      </w:pPr>
      <w:r>
        <w:t>Propósito</w:t>
      </w:r>
    </w:p>
    <w:p>
      <w:r>
        <w:t>Compreender como diferentes sistemas e infraestruturas de dados de biodiversidade — agregadores, sistemas de coleção, herbários virtuais, catálogos taxonômicos e plataformas de publicação — organizam e disponibilizam ocorrências, espécimes, táxons e conjuntos de dados. A aula combina consultas aos portais com arquivos fixados para comparar unidades de informação, filtros, estrutura dos downloads, metadados, integração, condições de reutilização e produtos derivados.</w:t>
      </w:r>
    </w:p>
    <w:p>
      <w:pPr>
        <w:pStyle w:val="Heading1"/>
        <w:keepNext/>
        <w:keepLines w:val="1"/>
      </w:pPr>
      <w:r>
        <w:t>Objetivos</w:t>
      </w:r>
    </w:p>
    <w:p>
      <w:pPr>
        <w:pStyle w:val="ListBullet"/>
      </w:pPr>
      <w:r>
        <w:t>Escolher a base conforme a pergunta e o tipo de evidência procurado.</w:t>
      </w:r>
    </w:p>
    <w:p>
      <w:pPr>
        <w:pStyle w:val="ListBullet"/>
      </w:pPr>
      <w:r>
        <w:t>Repetir um filtro documentado em speciesLink, JABOT e Reflora e reconhecer adaptações inevitáveis entre portais.</w:t>
      </w:r>
    </w:p>
    <w:p>
      <w:pPr>
        <w:pStyle w:val="ListBullet"/>
      </w:pPr>
      <w:r>
        <w:t>No GBIF, usar o backbone GBIF e obter Simple, DwC-A e Species list a partir da mesma consulta.</w:t>
      </w:r>
    </w:p>
    <w:p>
      <w:pPr>
        <w:pStyle w:val="ListBullet"/>
      </w:pPr>
      <w:r>
        <w:t>Interpretar FAIR e licenças usando evidências observadas nos arquivos reais.</w:t>
      </w:r>
    </w:p>
    <w:p>
      <w:pPr>
        <w:pStyle w:val="ListBullet"/>
      </w:pPr>
      <w:r>
        <w:t>Interpretar scientificName, taxonomicStatus e acceptedNameUsage no Darwin Core, reconhecer relações de sinonímia e distinguir acceptedScientificName como campo do GBIF Species List.</w:t>
      </w:r>
    </w:p>
    <w:p>
      <w:pPr>
        <w:pStyle w:val="Heading1"/>
        <w:keepNext/>
        <w:keepLines w:val="1"/>
      </w:pPr>
      <w:r>
        <w:t>Percurso da aula</w:t>
      </w:r>
    </w:p>
    <w:p>
      <w:pPr>
        <w:pStyle w:val="CaptionAula"/>
        <w:spacing w:after="80" w:before="80" w:line="252" w:lineRule="auto"/>
        <w:jc w:val="left"/>
        <w:keepNext/>
        <w:keepLines/>
      </w:pPr>
      <w:r>
        <w:t>Tabela 1. Percurso da aula — Horário, Tema, Conteúdo principal.</w:t>
      </w:r>
    </w:p>
    <w:tbl>
      <w:tblPr>
        <w:tblStyle w:val="TableGrid"/>
        <w:tblW w:type="dxa" w:w="17782"/>
        <w:jc w:val="center"/>
        <w:tblLayout w:type="fixed"/>
        <w:tblLook w:firstColumn="1" w:firstRow="1" w:lastColumn="0" w:lastRow="0" w:noHBand="0" w:noVBand="1" w:val="04A0"/>
      </w:tblPr>
      <w:tblGrid>
        <w:gridCol w:w="5927"/>
        <w:gridCol w:w="5927"/>
        <w:gridCol w:w="5927"/>
      </w:tblGrid>
      <w:tr>
        <w:trPr>
          <w:cantSplit/>
          <w:tblHeader w:val="true"/>
        </w:trPr>
        <w:tc>
          <w:tcPr>
            <w:tcW w:type="dxa" w:w="5927"/>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Horário</w:t>
            </w:r>
          </w:p>
        </w:tc>
        <w:tc>
          <w:tcPr>
            <w:tcW w:type="dxa" w:w="5927"/>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Tema</w:t>
            </w:r>
          </w:p>
        </w:tc>
        <w:tc>
          <w:tcPr>
            <w:tcW w:type="dxa" w:w="5927"/>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Conteúdo principal</w:t>
            </w:r>
          </w:p>
        </w:tc>
      </w:tr>
      <w:tr>
        <w:trPr>
          <w:cantSplit/>
        </w:trPr>
        <w:tc>
          <w:tcPr>
            <w:tcW w:type="dxa" w:w="5927"/>
            <w:tcMar>
              <w:top w:w="100" w:type="dxa"/>
              <w:start w:w="120" w:type="dxa"/>
              <w:bottom w:w="100" w:type="dxa"/>
              <w:end w:w="120" w:type="dxa"/>
            </w:tcMar>
            <w:vAlign w:val="center"/>
          </w:tcPr>
          <w:p>
            <w:r>
              <w:t>08:00–08:30</w:t>
            </w:r>
            <w:r>
              <w:rPr>
                <w:rFonts w:ascii="Aptos" w:hAnsi="Aptos"/>
                <w:b w:val="0"/>
                <w:sz w:val="24"/>
              </w:rPr>
            </w:r>
          </w:p>
        </w:tc>
        <w:tc>
          <w:tcPr>
            <w:tcW w:type="dxa" w:w="5927"/>
            <w:tcMar>
              <w:top w:w="100" w:type="dxa"/>
              <w:start w:w="120" w:type="dxa"/>
              <w:bottom w:w="100" w:type="dxa"/>
              <w:end w:w="120" w:type="dxa"/>
            </w:tcMar>
            <w:vAlign w:val="center"/>
          </w:tcPr>
          <w:p>
            <w:r>
              <w:t>Abertura e mapa das fontes</w:t>
            </w:r>
            <w:r>
              <w:rPr>
                <w:rFonts w:ascii="Aptos" w:hAnsi="Aptos"/>
                <w:b w:val="0"/>
                <w:sz w:val="24"/>
              </w:rPr>
            </w:r>
          </w:p>
        </w:tc>
        <w:tc>
          <w:tcPr>
            <w:tcW w:type="dxa" w:w="5927"/>
            <w:tcMar>
              <w:top w:w="100" w:type="dxa"/>
              <w:start w:w="120" w:type="dxa"/>
              <w:bottom w:w="100" w:type="dxa"/>
              <w:end w:w="120" w:type="dxa"/>
            </w:tcMar>
            <w:vAlign w:val="center"/>
          </w:tcPr>
          <w:p>
            <w:r>
              <w:t>Objetivos, tipos de fonte, unidades de informação e protocolo comum para as demonstrações.</w:t>
            </w:r>
            <w:r>
              <w:rPr>
                <w:rFonts w:ascii="Aptos" w:hAnsi="Aptos"/>
                <w:b w:val="0"/>
                <w:sz w:val="24"/>
              </w:rPr>
            </w:r>
          </w:p>
        </w:tc>
      </w:tr>
      <w:tr>
        <w:trPr>
          <w:cantSplit/>
        </w:trPr>
        <w:tc>
          <w:tcPr>
            <w:tcW w:type="dxa" w:w="5927"/>
            <w:tcMar>
              <w:top w:w="100" w:type="dxa"/>
              <w:start w:w="120" w:type="dxa"/>
              <w:bottom w:w="100" w:type="dxa"/>
              <w:end w:w="120" w:type="dxa"/>
            </w:tcMar>
            <w:vAlign w:val="center"/>
          </w:tcPr>
          <w:p>
            <w:r>
              <w:t>08:30–09:30</w:t>
            </w:r>
            <w:r>
              <w:rPr>
                <w:rFonts w:ascii="Aptos" w:hAnsi="Aptos"/>
                <w:b w:val="0"/>
                <w:sz w:val="24"/>
              </w:rPr>
            </w:r>
          </w:p>
        </w:tc>
        <w:tc>
          <w:tcPr>
            <w:tcW w:type="dxa" w:w="5927"/>
            <w:tcMar>
              <w:top w:w="100" w:type="dxa"/>
              <w:start w:w="120" w:type="dxa"/>
              <w:bottom w:w="100" w:type="dxa"/>
              <w:end w:w="120" w:type="dxa"/>
            </w:tcMar>
            <w:vAlign w:val="center"/>
          </w:tcPr>
          <w:p>
            <w:r>
              <w:t>Fundamentos para interpretar as fontes</w:t>
            </w:r>
            <w:r>
              <w:rPr>
                <w:rFonts w:ascii="Aptos" w:hAnsi="Aptos"/>
                <w:b w:val="0"/>
                <w:sz w:val="24"/>
              </w:rPr>
            </w:r>
          </w:p>
        </w:tc>
        <w:tc>
          <w:tcPr>
            <w:tcW w:type="dxa" w:w="5927"/>
            <w:tcMar>
              <w:top w:w="100" w:type="dxa"/>
              <w:start w:w="120" w:type="dxa"/>
              <w:bottom w:w="100" w:type="dxa"/>
              <w:end w:w="120" w:type="dxa"/>
            </w:tcMar>
            <w:vAlign w:val="center"/>
          </w:tcPr>
          <w:p>
            <w:r>
              <w:t>Princípios FAIR, licenças e proveniência, além da leitura de nomes científicos e status taxonômico.</w:t>
            </w:r>
            <w:r>
              <w:rPr>
                <w:rFonts w:ascii="Aptos" w:hAnsi="Aptos"/>
                <w:b w:val="0"/>
                <w:sz w:val="24"/>
              </w:rPr>
            </w:r>
          </w:p>
        </w:tc>
      </w:tr>
      <w:tr>
        <w:trPr>
          <w:cantSplit/>
        </w:trPr>
        <w:tc>
          <w:tcPr>
            <w:tcW w:type="dxa" w:w="5927"/>
            <w:tcMar>
              <w:top w:w="100" w:type="dxa"/>
              <w:start w:w="120" w:type="dxa"/>
              <w:bottom w:w="100" w:type="dxa"/>
              <w:end w:w="120" w:type="dxa"/>
            </w:tcMar>
            <w:vAlign w:val="center"/>
          </w:tcPr>
          <w:p>
            <w:r>
              <w:t>09:30–09:50</w:t>
            </w:r>
            <w:r>
              <w:rPr>
                <w:rFonts w:ascii="Aptos" w:hAnsi="Aptos"/>
                <w:b w:val="0"/>
                <w:sz w:val="24"/>
              </w:rPr>
            </w:r>
          </w:p>
        </w:tc>
        <w:tc>
          <w:tcPr>
            <w:tcW w:type="dxa" w:w="5927"/>
            <w:tcMar>
              <w:top w:w="100" w:type="dxa"/>
              <w:start w:w="120" w:type="dxa"/>
              <w:bottom w:w="100" w:type="dxa"/>
              <w:end w:w="120" w:type="dxa"/>
            </w:tcMar>
            <w:vAlign w:val="center"/>
          </w:tcPr>
          <w:p>
            <w:r>
              <w:t>Intervalo</w:t>
            </w:r>
            <w:r>
              <w:rPr>
                <w:rFonts w:ascii="Aptos" w:hAnsi="Aptos"/>
                <w:b w:val="0"/>
                <w:sz w:val="24"/>
              </w:rPr>
            </w:r>
          </w:p>
        </w:tc>
        <w:tc>
          <w:tcPr>
            <w:tcW w:type="dxa" w:w="5927"/>
            <w:tcMar>
              <w:top w:w="100" w:type="dxa"/>
              <w:start w:w="120" w:type="dxa"/>
              <w:bottom w:w="100" w:type="dxa"/>
              <w:end w:w="120" w:type="dxa"/>
            </w:tcMar>
            <w:vAlign w:val="center"/>
          </w:tcPr>
          <w:p>
            <w:r>
              <w:t>—</w:t>
            </w:r>
            <w:r>
              <w:rPr>
                <w:rFonts w:ascii="Aptos" w:hAnsi="Aptos"/>
                <w:b w:val="0"/>
                <w:sz w:val="24"/>
              </w:rPr>
            </w:r>
          </w:p>
        </w:tc>
      </w:tr>
      <w:tr>
        <w:trPr>
          <w:cantSplit/>
        </w:trPr>
        <w:tc>
          <w:tcPr>
            <w:tcW w:type="dxa" w:w="5927"/>
            <w:tcMar>
              <w:top w:w="100" w:type="dxa"/>
              <w:start w:w="120" w:type="dxa"/>
              <w:bottom w:w="100" w:type="dxa"/>
              <w:end w:w="120" w:type="dxa"/>
            </w:tcMar>
            <w:vAlign w:val="center"/>
          </w:tcPr>
          <w:p>
            <w:r>
              <w:t>09:50–10:50</w:t>
            </w:r>
            <w:r>
              <w:rPr>
                <w:rFonts w:ascii="Aptos" w:hAnsi="Aptos"/>
                <w:b w:val="0"/>
                <w:sz w:val="24"/>
              </w:rPr>
            </w:r>
          </w:p>
        </w:tc>
        <w:tc>
          <w:tcPr>
            <w:tcW w:type="dxa" w:w="5927"/>
            <w:tcMar>
              <w:top w:w="100" w:type="dxa"/>
              <w:start w:w="120" w:type="dxa"/>
              <w:bottom w:w="100" w:type="dxa"/>
              <w:end w:w="120" w:type="dxa"/>
            </w:tcMar>
            <w:vAlign w:val="center"/>
          </w:tcPr>
          <w:p>
            <w:r>
              <w:t>Bases com exemplos no Explorador — coleções e espécimes</w:t>
            </w:r>
            <w:r>
              <w:rPr>
                <w:rFonts w:ascii="Aptos" w:hAnsi="Aptos"/>
                <w:b w:val="0"/>
                <w:sz w:val="24"/>
              </w:rPr>
            </w:r>
          </w:p>
        </w:tc>
        <w:tc>
          <w:tcPr>
            <w:tcW w:type="dxa" w:w="5927"/>
            <w:tcMar>
              <w:top w:w="100" w:type="dxa"/>
              <w:start w:w="120" w:type="dxa"/>
              <w:bottom w:w="100" w:type="dxa"/>
              <w:end w:w="120" w:type="dxa"/>
            </w:tcMar>
            <w:vAlign w:val="center"/>
          </w:tcPr>
          <w:p>
            <w:r>
              <w:t>speciesLink, JABOT/IPT e Reflora/IPT: finalidade, filtros, produtos e evidências.</w:t>
            </w:r>
            <w:r>
              <w:rPr>
                <w:rFonts w:ascii="Aptos" w:hAnsi="Aptos"/>
                <w:b w:val="0"/>
                <w:sz w:val="24"/>
              </w:rPr>
            </w:r>
          </w:p>
        </w:tc>
      </w:tr>
      <w:tr>
        <w:trPr>
          <w:cantSplit/>
        </w:trPr>
        <w:tc>
          <w:tcPr>
            <w:tcW w:type="dxa" w:w="5927"/>
            <w:tcMar>
              <w:top w:w="100" w:type="dxa"/>
              <w:start w:w="120" w:type="dxa"/>
              <w:bottom w:w="100" w:type="dxa"/>
              <w:end w:w="120" w:type="dxa"/>
            </w:tcMar>
            <w:vAlign w:val="center"/>
          </w:tcPr>
          <w:p>
            <w:r>
              <w:t>10:50–12:00</w:t>
            </w:r>
            <w:r>
              <w:rPr>
                <w:rFonts w:ascii="Aptos" w:hAnsi="Aptos"/>
                <w:b w:val="0"/>
                <w:sz w:val="24"/>
              </w:rPr>
            </w:r>
          </w:p>
        </w:tc>
        <w:tc>
          <w:tcPr>
            <w:tcW w:type="dxa" w:w="5927"/>
            <w:tcMar>
              <w:top w:w="100" w:type="dxa"/>
              <w:start w:w="120" w:type="dxa"/>
              <w:bottom w:w="100" w:type="dxa"/>
              <w:end w:w="120" w:type="dxa"/>
            </w:tcMar>
            <w:vAlign w:val="center"/>
          </w:tcPr>
          <w:p>
            <w:r>
              <w:t>Bases com exemplos no Explorador — taxonomia e integração</w:t>
            </w:r>
            <w:r>
              <w:rPr>
                <w:rFonts w:ascii="Aptos" w:hAnsi="Aptos"/>
                <w:b w:val="0"/>
                <w:sz w:val="24"/>
              </w:rPr>
            </w:r>
          </w:p>
        </w:tc>
        <w:tc>
          <w:tcPr>
            <w:tcW w:type="dxa" w:w="5927"/>
            <w:tcMar>
              <w:top w:w="100" w:type="dxa"/>
              <w:start w:w="120" w:type="dxa"/>
              <w:bottom w:w="100" w:type="dxa"/>
              <w:end w:w="120" w:type="dxa"/>
            </w:tcMar>
            <w:vAlign w:val="center"/>
          </w:tcPr>
          <w:p>
            <w:r>
              <w:t>Flora e Funga, Catálogo da Fauna e GBIF: nomes, Taxon Core e produtos de integração.</w:t>
            </w:r>
            <w:r>
              <w:rPr>
                <w:rFonts w:ascii="Aptos" w:hAnsi="Aptos"/>
                <w:b w:val="0"/>
                <w:sz w:val="24"/>
              </w:rPr>
            </w:r>
          </w:p>
        </w:tc>
      </w:tr>
      <w:tr>
        <w:trPr>
          <w:cantSplit/>
        </w:trPr>
        <w:tc>
          <w:tcPr>
            <w:tcW w:type="dxa" w:w="5927"/>
            <w:tcMar>
              <w:top w:w="100" w:type="dxa"/>
              <w:start w:w="120" w:type="dxa"/>
              <w:bottom w:w="100" w:type="dxa"/>
              <w:end w:w="120" w:type="dxa"/>
            </w:tcMar>
            <w:vAlign w:val="center"/>
          </w:tcPr>
          <w:p>
            <w:r>
              <w:t>12:00–14:00</w:t>
            </w:r>
            <w:r>
              <w:rPr>
                <w:rFonts w:ascii="Aptos" w:hAnsi="Aptos"/>
                <w:b w:val="0"/>
                <w:sz w:val="24"/>
              </w:rPr>
            </w:r>
          </w:p>
        </w:tc>
        <w:tc>
          <w:tcPr>
            <w:tcW w:type="dxa" w:w="5927"/>
            <w:tcMar>
              <w:top w:w="100" w:type="dxa"/>
              <w:start w:w="120" w:type="dxa"/>
              <w:bottom w:w="100" w:type="dxa"/>
              <w:end w:w="120" w:type="dxa"/>
            </w:tcMar>
            <w:vAlign w:val="center"/>
          </w:tcPr>
          <w:p>
            <w:r>
              <w:t>Intervalo para almoço</w:t>
            </w:r>
            <w:r>
              <w:rPr>
                <w:rFonts w:ascii="Aptos" w:hAnsi="Aptos"/>
                <w:b w:val="0"/>
                <w:sz w:val="24"/>
              </w:rPr>
            </w:r>
          </w:p>
        </w:tc>
        <w:tc>
          <w:tcPr>
            <w:tcW w:type="dxa" w:w="5927"/>
            <w:tcMar>
              <w:top w:w="100" w:type="dxa"/>
              <w:start w:w="120" w:type="dxa"/>
              <w:bottom w:w="100" w:type="dxa"/>
              <w:end w:w="120" w:type="dxa"/>
            </w:tcMar>
            <w:vAlign w:val="center"/>
          </w:tcPr>
          <w:p>
            <w:r>
              <w:t>—</w:t>
            </w:r>
            <w:r>
              <w:rPr>
                <w:rFonts w:ascii="Aptos" w:hAnsi="Aptos"/>
                <w:b w:val="0"/>
                <w:sz w:val="24"/>
              </w:rPr>
            </w:r>
          </w:p>
        </w:tc>
      </w:tr>
      <w:tr>
        <w:trPr>
          <w:cantSplit/>
        </w:trPr>
        <w:tc>
          <w:tcPr>
            <w:tcW w:type="dxa" w:w="5927"/>
            <w:tcMar>
              <w:top w:w="100" w:type="dxa"/>
              <w:start w:w="120" w:type="dxa"/>
              <w:bottom w:w="100" w:type="dxa"/>
              <w:end w:w="120" w:type="dxa"/>
            </w:tcMar>
            <w:vAlign w:val="center"/>
          </w:tcPr>
          <w:p>
            <w:r>
              <w:t>14:00–15:10</w:t>
            </w:r>
            <w:r>
              <w:rPr>
                <w:rFonts w:ascii="Aptos" w:hAnsi="Aptos"/>
                <w:b w:val="0"/>
                <w:sz w:val="24"/>
              </w:rPr>
            </w:r>
          </w:p>
        </w:tc>
        <w:tc>
          <w:tcPr>
            <w:tcW w:type="dxa" w:w="5927"/>
            <w:tcMar>
              <w:top w:w="100" w:type="dxa"/>
              <w:start w:w="120" w:type="dxa"/>
              <w:bottom w:w="100" w:type="dxa"/>
              <w:end w:w="120" w:type="dxa"/>
            </w:tcMar>
            <w:vAlign w:val="center"/>
          </w:tcPr>
          <w:p>
            <w:r>
              <w:t>Fontes complementares</w:t>
            </w:r>
          </w:p>
        </w:tc>
        <w:tc>
          <w:tcPr>
            <w:tcW w:type="dxa" w:w="5927"/>
            <w:tcMar>
              <w:top w:w="100" w:type="dxa"/>
              <w:start w:w="120" w:type="dxa"/>
              <w:bottom w:w="100" w:type="dxa"/>
              <w:end w:w="120" w:type="dxa"/>
            </w:tcMar>
            <w:vAlign w:val="center"/>
          </w:tcPr>
          <w:p>
            <w:r>
              <w:t>SiBBr/IPT, COL, POWO e iNaturalist: papéis, produtos, proveniência e cautelas.</w:t>
            </w:r>
          </w:p>
        </w:tc>
      </w:tr>
      <w:tr>
        <w:trPr>
          <w:cantSplit/>
        </w:trPr>
        <w:tc>
          <w:tcPr>
            <w:tcW w:type="dxa" w:w="5927"/>
            <w:tcMar>
              <w:top w:w="100" w:type="dxa"/>
              <w:start w:w="120" w:type="dxa"/>
              <w:bottom w:w="100" w:type="dxa"/>
              <w:end w:w="120" w:type="dxa"/>
            </w:tcMar>
            <w:vAlign w:val="center"/>
          </w:tcPr>
          <w:p>
            <w:r>
              <w:t>15:10–16:00</w:t>
            </w:r>
            <w:r>
              <w:rPr>
                <w:rFonts w:ascii="Aptos" w:hAnsi="Aptos"/>
                <w:b w:val="0"/>
                <w:sz w:val="24"/>
              </w:rPr>
            </w:r>
          </w:p>
        </w:tc>
        <w:tc>
          <w:tcPr>
            <w:tcW w:type="dxa" w:w="5927"/>
            <w:tcMar>
              <w:top w:w="100" w:type="dxa"/>
              <w:start w:w="120" w:type="dxa"/>
              <w:bottom w:w="100" w:type="dxa"/>
              <w:end w:w="120" w:type="dxa"/>
            </w:tcMar>
            <w:vAlign w:val="center"/>
          </w:tcPr>
          <w:p>
            <w:r>
              <w:t>FAIR, licenças e proveniência nos casos reais</w:t>
            </w:r>
            <w:r>
              <w:rPr>
                <w:rFonts w:ascii="Aptos" w:hAnsi="Aptos"/>
                <w:b w:val="0"/>
                <w:sz w:val="24"/>
              </w:rPr>
            </w:r>
          </w:p>
        </w:tc>
        <w:tc>
          <w:tcPr>
            <w:tcW w:type="dxa" w:w="5927"/>
            <w:tcMar>
              <w:top w:w="100" w:type="dxa"/>
              <w:start w:w="120" w:type="dxa"/>
              <w:bottom w:w="100" w:type="dxa"/>
              <w:end w:w="120" w:type="dxa"/>
            </w:tcMar>
            <w:vAlign w:val="center"/>
          </w:tcPr>
          <w:p>
            <w:r>
              <w:t>Comparação das evidências, níveis de declaração da licença e condições de reúso.</w:t>
            </w:r>
            <w:r>
              <w:rPr>
                <w:rFonts w:ascii="Aptos" w:hAnsi="Aptos"/>
                <w:b w:val="0"/>
                <w:sz w:val="24"/>
              </w:rPr>
            </w:r>
          </w:p>
        </w:tc>
      </w:tr>
      <w:tr>
        <w:trPr>
          <w:cantSplit/>
        </w:trPr>
        <w:tc>
          <w:tcPr>
            <w:tcW w:type="dxa" w:w="5927"/>
            <w:tcMar>
              <w:top w:w="100" w:type="dxa"/>
              <w:start w:w="120" w:type="dxa"/>
              <w:bottom w:w="100" w:type="dxa"/>
              <w:end w:w="120" w:type="dxa"/>
            </w:tcMar>
            <w:vAlign w:val="center"/>
          </w:tcPr>
          <w:p>
            <w:r>
              <w:t>16:00–16:20</w:t>
            </w:r>
            <w:r>
              <w:rPr>
                <w:rFonts w:ascii="Aptos" w:hAnsi="Aptos"/>
                <w:b w:val="0"/>
                <w:sz w:val="24"/>
              </w:rPr>
            </w:r>
          </w:p>
        </w:tc>
        <w:tc>
          <w:tcPr>
            <w:tcW w:type="dxa" w:w="5927"/>
            <w:tcMar>
              <w:top w:w="100" w:type="dxa"/>
              <w:start w:w="120" w:type="dxa"/>
              <w:bottom w:w="100" w:type="dxa"/>
              <w:end w:w="120" w:type="dxa"/>
            </w:tcMar>
            <w:vAlign w:val="center"/>
          </w:tcPr>
          <w:p>
            <w:r>
              <w:t>Intervalo</w:t>
            </w:r>
            <w:r>
              <w:rPr>
                <w:rFonts w:ascii="Aptos" w:hAnsi="Aptos"/>
                <w:b w:val="0"/>
                <w:sz w:val="24"/>
              </w:rPr>
            </w:r>
          </w:p>
        </w:tc>
        <w:tc>
          <w:tcPr>
            <w:tcW w:type="dxa" w:w="5927"/>
            <w:tcMar>
              <w:top w:w="100" w:type="dxa"/>
              <w:start w:w="120" w:type="dxa"/>
              <w:bottom w:w="100" w:type="dxa"/>
              <w:end w:w="120" w:type="dxa"/>
            </w:tcMar>
            <w:vAlign w:val="center"/>
          </w:tcPr>
          <w:p>
            <w:r>
              <w:t>—</w:t>
            </w:r>
            <w:r>
              <w:rPr>
                <w:rFonts w:ascii="Aptos" w:hAnsi="Aptos"/>
                <w:b w:val="0"/>
                <w:sz w:val="24"/>
              </w:rPr>
            </w:r>
          </w:p>
        </w:tc>
      </w:tr>
      <w:tr>
        <w:trPr>
          <w:cantSplit/>
        </w:trPr>
        <w:tc>
          <w:tcPr>
            <w:tcW w:type="dxa" w:w="5927"/>
            <w:tcMar>
              <w:top w:w="100" w:type="dxa"/>
              <w:start w:w="120" w:type="dxa"/>
              <w:bottom w:w="100" w:type="dxa"/>
              <w:end w:w="120" w:type="dxa"/>
            </w:tcMar>
            <w:vAlign w:val="center"/>
          </w:tcPr>
          <w:p>
            <w:r>
              <w:t>16:20–17:10</w:t>
            </w:r>
            <w:r>
              <w:rPr>
                <w:rFonts w:ascii="Aptos" w:hAnsi="Aptos"/>
                <w:b w:val="0"/>
                <w:sz w:val="24"/>
              </w:rPr>
            </w:r>
          </w:p>
        </w:tc>
        <w:tc>
          <w:tcPr>
            <w:tcW w:type="dxa" w:w="5927"/>
            <w:tcMar>
              <w:top w:w="100" w:type="dxa"/>
              <w:start w:w="120" w:type="dxa"/>
              <w:bottom w:w="100" w:type="dxa"/>
              <w:end w:w="120" w:type="dxa"/>
            </w:tcMar>
            <w:vAlign w:val="center"/>
          </w:tcPr>
          <w:p>
            <w:r>
              <w:t>Explorador da Aula 1</w:t>
            </w:r>
            <w:r>
              <w:rPr>
                <w:rFonts w:ascii="Aptos" w:hAnsi="Aptos"/>
                <w:b w:val="0"/>
                <w:sz w:val="24"/>
              </w:rPr>
            </w:r>
          </w:p>
        </w:tc>
        <w:tc>
          <w:tcPr>
            <w:tcW w:type="dxa" w:w="5927"/>
            <w:tcMar>
              <w:top w:w="100" w:type="dxa"/>
              <w:start w:w="120" w:type="dxa"/>
              <w:bottom w:w="100" w:type="dxa"/>
              <w:end w:w="120" w:type="dxa"/>
            </w:tcMar>
            <w:vAlign w:val="center"/>
          </w:tcPr>
          <w:p>
            <w:r>
              <w:t>Leitura comparada dos arquivos fornecidos: estrutura, metadados, licenças e evidências.</w:t>
            </w:r>
            <w:r>
              <w:rPr>
                <w:rFonts w:ascii="Aptos" w:hAnsi="Aptos"/>
                <w:b w:val="0"/>
                <w:sz w:val="24"/>
              </w:rPr>
            </w:r>
          </w:p>
        </w:tc>
      </w:tr>
      <w:tr>
        <w:trPr>
          <w:cantSplit/>
        </w:trPr>
        <w:tc>
          <w:tcPr>
            <w:tcW w:type="dxa" w:w="5927"/>
            <w:tcMar>
              <w:top w:w="100" w:type="dxa"/>
              <w:start w:w="120" w:type="dxa"/>
              <w:bottom w:w="100" w:type="dxa"/>
              <w:end w:w="120" w:type="dxa"/>
            </w:tcMar>
            <w:vAlign w:val="center"/>
          </w:tcPr>
          <w:p>
            <w:r>
              <w:t>17:10–17:40</w:t>
            </w:r>
          </w:p>
        </w:tc>
        <w:tc>
          <w:tcPr>
            <w:tcW w:type="dxa" w:w="5927"/>
            <w:tcMar>
              <w:top w:w="100" w:type="dxa"/>
              <w:start w:w="120" w:type="dxa"/>
              <w:bottom w:w="100" w:type="dxa"/>
              <w:end w:w="120" w:type="dxa"/>
            </w:tcMar>
            <w:vAlign w:val="center"/>
          </w:tcPr>
          <w:p>
            <w:pPr>
              <w:spacing w:after="0" w:before="0"/>
            </w:pPr>
            <w:r>
              <w:t>Fechamento visual</w:t>
            </w:r>
          </w:p>
        </w:tc>
        <w:tc>
          <w:tcPr>
            <w:tcW w:type="dxa" w:w="5927"/>
            <w:tcMar>
              <w:top w:w="100" w:type="dxa"/>
              <w:start w:w="120" w:type="dxa"/>
              <w:bottom w:w="100" w:type="dxa"/>
              <w:end w:w="120" w:type="dxa"/>
            </w:tcMar>
            <w:vAlign w:val="center"/>
          </w:tcPr>
          <w:p>
            <w:r>
              <w:t>Infográfico do percurso, síntese da Aula 1 e conexão com a Aula 2.</w:t>
            </w:r>
          </w:p>
        </w:tc>
      </w:tr>
      <w:tr>
        <w:trPr>
          <w:cantSplit/>
        </w:trPr>
        <w:tc>
          <w:tcPr>
            <w:tcW w:type="dxa" w:w="5927"/>
            <w:tcMar>
              <w:top w:w="100" w:type="dxa"/>
              <w:start w:w="120" w:type="dxa"/>
              <w:bottom w:w="100" w:type="dxa"/>
              <w:end w:w="120" w:type="dxa"/>
            </w:tcMar>
            <w:vAlign w:val="center"/>
          </w:tcPr>
          <w:p>
            <w:r>
              <w:t>17:40–18:00</w:t>
            </w:r>
          </w:p>
        </w:tc>
        <w:tc>
          <w:tcPr>
            <w:tcW w:type="dxa" w:w="5927"/>
            <w:tcMar>
              <w:top w:w="100" w:type="dxa"/>
              <w:start w:w="120" w:type="dxa"/>
              <w:bottom w:w="100" w:type="dxa"/>
              <w:end w:w="120" w:type="dxa"/>
            </w:tcMar>
            <w:vAlign w:val="center"/>
          </w:tcPr>
          <w:p>
            <w:pPr>
              <w:spacing w:after="0" w:before="0"/>
            </w:pPr>
            <w:r>
              <w:t>Atividade Aula 1</w:t>
            </w:r>
          </w:p>
        </w:tc>
        <w:tc>
          <w:tcPr>
            <w:tcW w:type="dxa" w:w="5927"/>
            <w:tcMar>
              <w:top w:w="100" w:type="dxa"/>
              <w:start w:w="120" w:type="dxa"/>
              <w:bottom w:w="100" w:type="dxa"/>
              <w:end w:w="120" w:type="dxa"/>
            </w:tcMar>
            <w:vAlign w:val="center"/>
          </w:tcPr>
          <w:p>
            <w:r>
              <w:t>Orientações de execução e entrega: filtro comparável, arquivos, backbone GBIF, DOIs e forma de envio.</w:t>
            </w:r>
          </w:p>
        </w:tc>
      </w:tr>
    </w:tbl>
    <w:p>
      <w:pPr>
        <w:spacing w:after="20"/>
      </w:pPr>
      <w:r/>
    </w:p>
    <w:p>
      <w:r/>
    </w:p>
    <w:p>
      <w:pPr>
        <w:sectPr w:rsidR="00FC693F" w:rsidRPr="0006063C" w:rsidSect="00034616">
          <w:type w:val="nextPage"/>
          <w:headerReference w:type="default" r:id="rId9"/>
          <w:footerReference w:type="default" r:id="rId10"/>
          <w:pgSz w:w="19200" w:h="10800" w:orient="landscape"/>
          <w:pgMar w:top="595" w:right="709" w:bottom="539" w:left="709" w:header="198" w:footer="198" w:gutter="0"/>
          <w:cols w:space="720"/>
          <w:docGrid w:linePitch="360"/>
        </w:sectPr>
      </w:pPr>
    </w:p>
    <w:p>
      <w:pPr>
        <w:pStyle w:val="Heading1"/>
        <w:keepNext/>
        <w:keepLines w:val="1"/>
      </w:pPr>
      <w:r>
        <w:t>1. Tipos de fonte e unidades de informação</w:t>
      </w:r>
    </w:p>
    <w:p>
      <w:pPr>
        <w:pStyle w:val="CaptionAula"/>
        <w:spacing w:after="80" w:before="80" w:line="252" w:lineRule="auto"/>
        <w:jc w:val="left"/>
        <w:keepNext/>
        <w:keepLines/>
      </w:pPr>
      <w:r>
        <w:t>Tabela 2. Tipos de fonte e unidades de informação — Fonte, Unidade típica, Tipo de pergunta que a fonte ajuda a responder.</w:t>
      </w:r>
    </w:p>
    <w:tbl>
      <w:tblPr>
        <w:tblStyle w:val="TableGrid"/>
        <w:tblW w:type="dxa" w:w="17782"/>
        <w:jc w:val="center"/>
        <w:tblLayout w:type="fixed"/>
        <w:tblLook w:firstColumn="1" w:firstRow="1" w:lastColumn="0" w:lastRow="0" w:noHBand="0" w:noVBand="1" w:val="04A0"/>
      </w:tblPr>
      <w:tblGrid>
        <w:gridCol w:w="5927"/>
        <w:gridCol w:w="5927"/>
        <w:gridCol w:w="5927"/>
      </w:tblGrid>
      <w:tr>
        <w:trPr>
          <w:cantSplit/>
          <w:tblHeader w:val="true"/>
        </w:trPr>
        <w:tc>
          <w:tcPr>
            <w:tcW w:type="dxa" w:w="5927"/>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Fonte</w:t>
            </w:r>
          </w:p>
        </w:tc>
        <w:tc>
          <w:tcPr>
            <w:tcW w:type="dxa" w:w="5927"/>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Unidade típica</w:t>
            </w:r>
          </w:p>
        </w:tc>
        <w:tc>
          <w:tcPr>
            <w:tcW w:type="dxa" w:w="5927"/>
            <w:shd w:fill="15566D"/>
            <w:tcMar>
              <w:top w:w="100" w:type="dxa"/>
              <w:start w:w="120" w:type="dxa"/>
              <w:bottom w:w="100" w:type="dxa"/>
              <w:end w:w="120" w:type="dxa"/>
            </w:tcMar>
            <w:vAlign w:val="center"/>
          </w:tcPr>
          <w:p>
            <w:r/>
            <w:r>
              <w:rPr>
                <w:rFonts w:ascii="Aptos" w:hAnsi="Aptos"/>
                <w:b/>
                <w:sz w:val="24"/>
              </w:rPr>
              <w:t>Tipo de pergunta que a fonte ajuda a responder</w:t>
            </w:r>
          </w:p>
        </w:tc>
      </w:tr>
      <w:tr>
        <w:trPr>
          <w:cantSplit/>
        </w:trPr>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Agregador de ocorrências</w:t>
            </w:r>
          </w:p>
        </w:tc>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Occurrence</w:t>
            </w:r>
          </w:p>
        </w:tc>
        <w:tc>
          <w:tcPr>
            <w:tcW w:type="dxa" w:w="5927"/>
            <w:tcMar>
              <w:top w:w="100" w:type="dxa"/>
              <w:start w:w="120" w:type="dxa"/>
              <w:bottom w:w="100" w:type="dxa"/>
              <w:end w:w="120" w:type="dxa"/>
            </w:tcMar>
            <w:vAlign w:val="center"/>
          </w:tcPr>
          <w:p>
            <w:r/>
            <w:r>
              <w:rPr>
                <w:rFonts w:ascii="Aptos" w:hAnsi="Aptos"/>
                <w:b w:val="0"/>
                <w:sz w:val="24"/>
              </w:rPr>
              <w:t>Localizar onde e quando uma evidência foi registrada.</w:t>
            </w:r>
          </w:p>
        </w:tc>
      </w:tr>
      <w:tr>
        <w:trPr>
          <w:cantSplit/>
        </w:trPr>
        <w:tc>
          <w:tcPr>
            <w:tcW w:type="dxa" w:w="5927"/>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Sistema de coleção/herbário</w:t>
            </w:r>
          </w:p>
        </w:tc>
        <w:tc>
          <w:tcPr>
            <w:tcW w:type="dxa" w:w="5927"/>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Item catalogado/exsicata</w:t>
            </w:r>
          </w:p>
        </w:tc>
        <w:tc>
          <w:tcPr>
            <w:tcW w:type="dxa" w:w="5927"/>
            <w:tcMar>
              <w:top w:w="100" w:type="dxa"/>
              <w:start w:w="120" w:type="dxa"/>
              <w:bottom w:w="100" w:type="dxa"/>
              <w:end w:w="120" w:type="dxa"/>
            </w:tcMar>
            <w:vAlign w:val="center"/>
            <w:shd w:fill="F4F8FA"/>
          </w:tcPr>
          <w:p>
            <w:r/>
            <w:r>
              <w:rPr>
                <w:rFonts w:ascii="Aptos" w:hAnsi="Aptos"/>
                <w:b w:val="0"/>
                <w:sz w:val="24"/>
              </w:rPr>
              <w:t>Localizar que material existe e como rastreá-lo.</w:t>
            </w:r>
          </w:p>
        </w:tc>
      </w:tr>
      <w:tr>
        <w:trPr>
          <w:cantSplit/>
        </w:trPr>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Ciência cidadã</w:t>
            </w:r>
          </w:p>
        </w:tc>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Observação documentada</w:t>
            </w:r>
          </w:p>
        </w:tc>
        <w:tc>
          <w:tcPr>
            <w:tcW w:type="dxa" w:w="5927"/>
            <w:tcMar>
              <w:top w:w="100" w:type="dxa"/>
              <w:start w:w="120" w:type="dxa"/>
              <w:bottom w:w="100" w:type="dxa"/>
              <w:end w:w="120" w:type="dxa"/>
            </w:tcMar>
            <w:vAlign w:val="center"/>
          </w:tcPr>
          <w:p>
            <w:r/>
            <w:r>
              <w:rPr>
                <w:rFonts w:ascii="Aptos" w:hAnsi="Aptos"/>
                <w:b w:val="0"/>
                <w:sz w:val="24"/>
              </w:rPr>
              <w:t>Interpretar o que foi observado e qual evidência digital existe.</w:t>
            </w:r>
          </w:p>
        </w:tc>
      </w:tr>
      <w:tr>
        <w:trPr>
          <w:cantSplit/>
        </w:trPr>
        <w:tc>
          <w:tcPr>
            <w:tcW w:type="dxa" w:w="5927"/>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Catálogo taxonômico</w:t>
            </w:r>
          </w:p>
        </w:tc>
        <w:tc>
          <w:tcPr>
            <w:tcW w:type="dxa" w:w="5927"/>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Táxon/uso de nome</w:t>
            </w:r>
          </w:p>
        </w:tc>
        <w:tc>
          <w:tcPr>
            <w:tcW w:type="dxa" w:w="5927"/>
            <w:tcMar>
              <w:top w:w="100" w:type="dxa"/>
              <w:start w:w="120" w:type="dxa"/>
              <w:bottom w:w="100" w:type="dxa"/>
              <w:end w:w="120" w:type="dxa"/>
            </w:tcMar>
            <w:vAlign w:val="center"/>
            <w:shd w:fill="F4F8FA"/>
          </w:tcPr>
          <w:p>
            <w:r/>
            <w:r>
              <w:rPr>
                <w:rFonts w:ascii="Aptos" w:hAnsi="Aptos"/>
                <w:b w:val="0"/>
                <w:sz w:val="24"/>
              </w:rPr>
              <w:t>Determinar nome aceito, sinônimos e posição na classificação.</w:t>
            </w:r>
          </w:p>
        </w:tc>
      </w:tr>
      <w:tr>
        <w:trPr>
          <w:cantSplit/>
        </w:trPr>
        <w:tc>
          <w:tcPr>
            <w:tcW w:type="dxa" w:w="5927"/>
            <w:tcMar>
              <w:top w:w="100" w:type="dxa"/>
              <w:start w:w="120" w:type="dxa"/>
              <w:bottom w:w="100" w:type="dxa"/>
              <w:end w:w="120" w:type="dxa"/>
            </w:tcMar>
            <w:vAlign w:val="center"/>
            <w:shd w:fill="F4F8FA"/>
          </w:tcPr>
          <w:p>
            <w:pPr>
              <w:spacing w:before="0" w:after="0" w:line="240" w:lineRule="auto"/>
            </w:pPr>
            <w:r>
              <w:rPr>
                <w:sz w:val="24"/>
              </w:rPr>
              <w:t>Integrated Publishing Toolkit (IPT)</w:t>
            </w:r>
          </w:p>
        </w:tc>
        <w:tc>
          <w:tcPr>
            <w:tcW w:type="dxa" w:w="5927"/>
            <w:tcMar>
              <w:top w:w="100" w:type="dxa"/>
              <w:start w:w="120" w:type="dxa"/>
              <w:bottom w:w="100" w:type="dxa"/>
              <w:end w:w="120" w:type="dxa"/>
            </w:tcMar>
            <w:vAlign w:val="center"/>
            <w:shd w:fill="F4F8FA"/>
          </w:tcPr>
          <w:p>
            <w:pPr>
              <w:spacing w:before="0" w:after="0" w:line="240" w:lineRule="auto"/>
            </w:pPr>
            <w:r>
              <w:rPr>
                <w:sz w:val="24"/>
              </w:rPr>
              <w:t>Conjunto de dados e metadados</w:t>
            </w:r>
          </w:p>
        </w:tc>
        <w:tc>
          <w:tcPr>
            <w:tcW w:type="dxa" w:w="5927"/>
            <w:tcMar>
              <w:top w:w="100" w:type="dxa"/>
              <w:start w:w="120" w:type="dxa"/>
              <w:bottom w:w="100" w:type="dxa"/>
              <w:end w:w="120" w:type="dxa"/>
            </w:tcMar>
            <w:vAlign w:val="center"/>
            <w:shd w:fill="F4F8FA"/>
          </w:tcPr>
          <w:p>
            <w:r/>
            <w:r>
              <w:rPr>
                <w:rFonts w:ascii="Aptos" w:hAnsi="Aptos"/>
                <w:b w:val="0"/>
                <w:sz w:val="24"/>
              </w:rPr>
              <w:t>Identificar quem publicou, sob qual licença, em qual versão e estrutura.</w:t>
            </w:r>
          </w:p>
        </w:tc>
      </w:tr>
    </w:tbl>
    <w:p>
      <w:pPr>
        <w:spacing w:after="20"/>
      </w:pPr>
      <w:r/>
    </w:p>
    <w:tbl>
      <w:tblPr>
        <w:tblStyle w:val="TableGrid"/>
        <w:tblW w:type="auto" w:w="0"/>
        <w:tblLayout w:type="fixed"/>
        <w:tblLook w:firstColumn="1" w:firstRow="1" w:lastColumn="0" w:lastRow="0" w:noHBand="0" w:noVBand="1" w:val="04A0"/>
      </w:tblPr>
      <w:tblGrid>
        <w:gridCol w:w="17782"/>
      </w:tblGrid>
      <w:tr>
        <w:trPr>
          <w:tblHeader w:val="true"/>
        </w:trPr>
        <w:tc>
          <w:tcPr>
            <w:tcW w:type="dxa" w:w="9432"/>
            <w:shd w:fill="EAF3F6"/>
            <w:tcMar>
              <w:top w:w="120" w:type="dxa"/>
              <w:start w:w="160" w:type="dxa"/>
              <w:bottom w:w="120" w:type="dxa"/>
              <w:end w:w="160" w:type="dxa"/>
            </w:tcMar>
            <w:vAlign w:val="center"/>
          </w:tcPr>
          <w:p>
            <w:r>
              <w:rPr>
                <w:rFonts w:ascii="Aptos" w:hAnsi="Aptos"/>
                <w:b/>
                <w:i w:val="0"/>
                <w:color w:val="15566D"/>
                <w:sz w:val="25"/>
              </w:rPr>
              <w:t xml:space="preserve">Regra — </w:t>
            </w:r>
            <w:r>
              <w:rPr>
                <w:rFonts w:ascii="Aptos" w:hAnsi="Aptos"/>
                <w:b w:val="0"/>
                <w:i w:val="0"/>
                <w:color w:val="1F2933"/>
                <w:sz w:val="25"/>
              </w:rPr>
              <w:t>Número de resultados não mede sozinho qualidade nem completude. Interprete escopo, evidência, procedência, filtros, licença, metadados e atualização.</w:t>
            </w:r>
          </w:p>
        </w:tc>
      </w:tr>
    </w:tbl>
    <w:p>
      <w:pPr>
        <w:spacing w:after="20"/>
      </w:pPr>
      <w:r/>
    </w:p>
    <w:p>
      <w:pPr>
        <w:sectPr w:rsidR="00FC693F" w:rsidRPr="0006063C" w:rsidSect="00034616">
          <w:type w:val="nextPage"/>
          <w:headerReference w:type="default" r:id="rId9"/>
          <w:footerReference w:type="default" r:id="rId10"/>
          <w:pgSz w:w="19200" w:h="10800" w:orient="landscape"/>
          <w:pgMar w:top="595" w:right="709" w:bottom="539" w:left="709" w:header="198" w:footer="198" w:gutter="0"/>
          <w:cols w:space="720"/>
          <w:docGrid w:linePitch="360"/>
        </w:sectPr>
      </w:pPr>
    </w:p>
    <w:p>
      <w:pPr>
        <w:pStyle w:val="Heading1"/>
        <w:keepNext/>
        <w:keepLines w:val="1"/>
      </w:pPr>
      <w:r>
        <w:t>2. Protocolo comum para as demonstrações</w:t>
      </w:r>
    </w:p>
    <w:p>
      <w:pPr>
        <w:pStyle w:val="CaptionAula"/>
        <w:spacing w:after="80" w:before="80" w:line="252" w:lineRule="auto"/>
        <w:jc w:val="left"/>
        <w:keepNext/>
        <w:keepLines/>
      </w:pPr>
      <w:r>
        <w:t>Tabela 3. Protocolo comum para as demonstrações — Passo, Registre, Por quê.</w:t>
      </w:r>
    </w:p>
    <w:tbl>
      <w:tblPr>
        <w:tblStyle w:val="TableGrid"/>
        <w:tblW w:type="dxa" w:w="17782"/>
        <w:jc w:val="center"/>
        <w:tblLayout w:type="fixed"/>
        <w:tblLook w:firstColumn="1" w:firstRow="1" w:lastColumn="0" w:lastRow="0" w:noHBand="0" w:noVBand="1" w:val="04A0"/>
      </w:tblPr>
      <w:tblGrid>
        <w:gridCol w:w="5927"/>
        <w:gridCol w:w="5927"/>
        <w:gridCol w:w="5927"/>
      </w:tblGrid>
      <w:tr>
        <w:trPr>
          <w:cantSplit/>
          <w:tblHeader w:val="true"/>
        </w:trPr>
        <w:tc>
          <w:tcPr>
            <w:tcW w:type="dxa" w:w="5927"/>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Passo</w:t>
            </w:r>
          </w:p>
        </w:tc>
        <w:tc>
          <w:tcPr>
            <w:tcW w:type="dxa" w:w="5927"/>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Registre</w:t>
            </w:r>
          </w:p>
        </w:tc>
        <w:tc>
          <w:tcPr>
            <w:tcW w:type="dxa" w:w="5927"/>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Por quê</w:t>
            </w:r>
          </w:p>
        </w:tc>
      </w:tr>
      <w:tr>
        <w:trPr>
          <w:cantSplit/>
        </w:trPr>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1</w:t>
            </w:r>
          </w:p>
        </w:tc>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Pergunta, táxon e unidade geográfica</w:t>
            </w:r>
          </w:p>
        </w:tc>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Evita comparar consultas diferentes.</w:t>
            </w:r>
          </w:p>
        </w:tc>
      </w:tr>
      <w:tr>
        <w:trPr>
          <w:cantSplit/>
        </w:trPr>
        <w:tc>
          <w:tcPr>
            <w:tcW w:type="dxa" w:w="5927"/>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2</w:t>
            </w:r>
          </w:p>
        </w:tc>
        <w:tc>
          <w:tcPr>
            <w:tcW w:type="dxa" w:w="5927"/>
            <w:tcMar>
              <w:top w:w="100" w:type="dxa"/>
              <w:start w:w="120" w:type="dxa"/>
              <w:bottom w:w="100" w:type="dxa"/>
              <w:end w:w="120" w:type="dxa"/>
            </w:tcMar>
            <w:vAlign w:val="center"/>
            <w:shd w:fill="F4F8FA"/>
          </w:tcPr>
          <w:p>
            <w:r/>
            <w:r>
              <w:rPr>
                <w:rFonts w:ascii="Aptos" w:hAnsi="Aptos"/>
                <w:b w:val="0"/>
                <w:sz w:val="24"/>
              </w:rPr>
              <w:t>Tipo de evidência: espécime, observação, táxon ou dataset.</w:t>
            </w:r>
          </w:p>
        </w:tc>
        <w:tc>
          <w:tcPr>
            <w:tcW w:type="dxa" w:w="5927"/>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Espécime, observação, táxon e dataset não são equivalentes.</w:t>
            </w:r>
          </w:p>
        </w:tc>
      </w:tr>
      <w:tr>
        <w:trPr>
          <w:cantSplit/>
        </w:trPr>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3</w:t>
            </w:r>
          </w:p>
        </w:tc>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Filtros e backbone</w:t>
            </w:r>
          </w:p>
        </w:tc>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Permite reproduzir a interpretação taxonômica.</w:t>
            </w:r>
          </w:p>
        </w:tc>
      </w:tr>
      <w:tr>
        <w:trPr>
          <w:cantSplit/>
        </w:trPr>
        <w:tc>
          <w:tcPr>
            <w:tcW w:type="dxa" w:w="5927"/>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4</w:t>
            </w:r>
          </w:p>
        </w:tc>
        <w:tc>
          <w:tcPr>
            <w:tcW w:type="dxa" w:w="5927"/>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Data, quantidade e formato</w:t>
            </w:r>
          </w:p>
        </w:tc>
        <w:tc>
          <w:tcPr>
            <w:tcW w:type="dxa" w:w="5927"/>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Portais e resultados mudam.</w:t>
            </w:r>
          </w:p>
        </w:tc>
      </w:tr>
      <w:tr>
        <w:trPr>
          <w:cantSplit/>
        </w:trPr>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5</w:t>
            </w:r>
          </w:p>
        </w:tc>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Identificador, origem e licença</w:t>
            </w:r>
          </w:p>
        </w:tc>
        <w:tc>
          <w:tcPr>
            <w:tcW w:type="dxa" w:w="5927"/>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Sustenta rastreabilidade e reuso.</w:t>
            </w:r>
          </w:p>
        </w:tc>
      </w:tr>
      <w:tr>
        <w:trPr>
          <w:cantSplit/>
        </w:trPr>
        <w:tc>
          <w:tcPr>
            <w:tcW w:type="dxa" w:w="5927"/>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4"/>
              </w:rPr>
              <w:t>6</w:t>
            </w:r>
          </w:p>
        </w:tc>
        <w:tc>
          <w:tcPr>
            <w:tcW w:type="dxa" w:w="5927"/>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4"/>
              </w:rPr>
              <w:t>Limitações e adaptações</w:t>
            </w:r>
          </w:p>
        </w:tc>
        <w:tc>
          <w:tcPr>
            <w:tcW w:type="dxa" w:w="5927"/>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4"/>
              </w:rPr>
              <w:t>Filtros equivalentes podem ter nomes/implementações diferentes.</w:t>
            </w:r>
          </w:p>
        </w:tc>
      </w:tr>
    </w:tbl>
    <w:p>
      <w:pPr>
        <w:spacing w:after="20"/>
      </w:pPr>
      <w:r/>
    </w:p>
    <w:p>
      <w:r/>
    </w:p>
    <w:p>
      <w:pPr>
        <w:pStyle w:val="Heading1"/>
        <w:keepNext/>
      </w:pPr>
      <w:r>
        <w:t>3. Fundamentos para interpretar as demonstrações</w:t>
      </w:r>
    </w:p>
    <w:p>
      <w:pPr/>
      <w:r>
        <w:t>Antes de abrir as bases, estabeleça três referências de leitura que serão reutilizadas em todo o Explorador da Aula 1: princípios FAIR, condições de licença e proveniência, e interpretação de nomes científicos. O objetivo é reconhecer a evidência no arquivo ou no portal antes de formular uma conclusão.</w:t>
      </w:r>
    </w:p>
    <w:p>
      <w:pPr>
        <w:pStyle w:val="Heading2"/>
        <w:keepNext/>
        <w:keepLines w:val="1"/>
        <w:pageBreakBefore/>
      </w:pPr>
      <w:r>
        <w:t>3.1 FAIR: localizar, acessar, integrar e reutilizar</w:t>
      </w:r>
    </w:p>
    <w:p>
      <w:r>
        <w:t>FAIR é uma estrutura para descrever condições de localização, acesso, interoperabilidade e reúso. Não é nota única, não garante correção científica e não é sinônimo de gratuito ou aberto.</w:t>
      </w:r>
    </w:p>
    <w:p>
      <w:pPr>
        <w:pStyle w:val="ListBullet"/>
      </w:pPr>
      <w:r>
        <w:t>Findable/localizável: identificadores, título, publicador, metadados e busca tornam o dataset encontrável. Exemplos: DOI e identificador do dataset.</w:t>
      </w:r>
    </w:p>
    <w:p>
      <w:pPr>
        <w:pStyle w:val="ListBullet"/>
      </w:pPr>
      <w:r>
        <w:t>Accessible/acessível: protocolo ou procedimento documentado permite recuperar dados ou metadados. O acesso pode ter condições.</w:t>
      </w:r>
    </w:p>
    <w:p>
      <w:pPr>
        <w:pStyle w:val="ListBullet"/>
      </w:pPr>
      <w:r>
        <w:t>Interoperable/interoperável: formatos, vocabulários e identificadores permitem integração. Exemplos: Darwin Core, DwC-A, URI e TSV/CSV documentado.</w:t>
      </w:r>
    </w:p>
    <w:p>
      <w:pPr>
        <w:pStyle w:val="ListBullet"/>
      </w:pPr>
      <w:r>
        <w:t>Reusable/reutilizável: licença, proveniência, versão, responsáveis, citação, contexto e limitações permitem avaliar e executar o reúso.</w:t>
      </w:r>
    </w:p>
    <w:p>
      <w:pPr>
        <w:pStyle w:val="ListBullet"/>
      </w:pPr>
      <w:r>
        <w:t>Regra de resposta: para cada princípio, registre evidência observada, limite e consequência prática.</w:t>
      </w:r>
    </w:p>
    <w:tbl>
      <w:tblPr>
        <w:tblW w:type="auto" w:w="0"/>
        <w:tblLook w:firstColumn="1" w:firstRow="1" w:lastColumn="0" w:lastRow="0" w:noHBand="0" w:noVBand="1" w:val="04A0"/>
      </w:tblPr>
      <w:tblGrid>
        <w:gridCol w:w="17782"/>
      </w:tblGrid>
      <w:tr>
        <w:trPr>
          <w:cantSplit/>
          <w:tblHeader w:val="true"/>
        </w:trPr>
        <w:tc>
          <w:tcPr>
            <w:tcW w:type="dxa" w:w="17782"/>
            <w:shd w:fill="EAF3F6"/>
            <w:vAlign w:val="center"/>
          </w:tcPr>
          <w:p>
            <w:r/>
            <w:r>
              <w:rPr>
                <w:b/>
              </w:rPr>
              <w:t xml:space="preserve">Base conceitual — Wilkinson et al. (2016) — </w:t>
            </w:r>
            <w:r>
              <w:t>FAIR orienta a encontrabilidade, acessibilidade, interoperabilidade e reutilização por pessoas e máquinas. FAIR não é licença, não equivale a aberto ou gratuito e não certifica correção científica.</w:t>
            </w:r>
          </w:p>
          <w:p>
            <w:r>
              <w:rPr>
                <w:i/>
              </w:rPr>
              <w:t xml:space="preserve">Referência local: </w:t>
            </w:r>
            <w:hyperlink r:id="rId16" w:history="1">
              <w:r>
                <w:rPr>
                  <w:i/>
                  <w:color w:val="0563C1"/>
                  <w:u w:val="single"/>
                </w:rPr>
                <w:t>00_Disciplina/referencias/artigos/Wilkinson_et_al_2016_FAIR.pdf</w:t>
              </w:r>
            </w:hyperlink>
          </w:p>
        </w:tc>
      </w:tr>
    </w:tbl>
    <w:p>
      <w:pPr>
        <w:pStyle w:val="Heading2"/>
        <w:keepNext/>
        <w:pageBreakBefore/>
      </w:pPr>
      <w:r>
        <w:t>3.2 Licenças, citação, proveniência e reúso</w:t>
      </w:r>
    </w:p>
    <w:p>
      <w:pPr/>
      <w:r>
        <w:t>A licença não ocupa uma posição universal nos produtos usados nesta aula. Ela pode estar na página do portal ou do dataset, nos metadados do conjunto, em um campo do registro, em um arquivo auxiliar do download ou nos metadados de uma mídia. Identifique sempre o nível em que a declaração foi feita e preserve a proveniência e a citação associadas.</w:t>
      </w:r>
    </w:p>
    <w:p>
      <w:pPr>
        <w:pStyle w:val="CaptionAula"/>
        <w:spacing w:after="80" w:before="80" w:line="252" w:lineRule="auto"/>
        <w:jc w:val="left"/>
        <w:keepNext/>
        <w:keepLines/>
      </w:pPr>
      <w:r>
        <w:t>Quadro conceitual — Onde procurar a licença nos produtos usados na aula.</w:t>
      </w:r>
    </w:p>
    <w:tbl>
      <w:tblPr>
        <w:tblStyle w:val="TableGrid"/>
        <w:tblW w:type="auto" w:w="0"/>
        <w:tblLook w:firstColumn="1" w:firstRow="1" w:lastColumn="0" w:lastRow="0" w:noHBand="0" w:noVBand="1" w:val="04A0"/>
      </w:tblPr>
      <w:tblGrid>
        <w:gridCol w:w="8891"/>
        <w:gridCol w:w="8891"/>
      </w:tblGrid>
      <w:tr>
        <w:trPr>
          <w:tblHeader w:val="true"/>
        </w:trPr>
        <w:tc>
          <w:tcPr>
            <w:tcW w:type="dxa" w:w="5927"/>
            <w:shd w:fill="15566D"/>
            <w:tcMar>
              <w:top w:w="100" w:type="dxa"/>
              <w:start w:w="120" w:type="dxa"/>
              <w:bottom w:w="100" w:type="dxa"/>
              <w:end w:w="120" w:type="dxa"/>
            </w:tcMar>
            <w:vAlign w:val="center"/>
          </w:tcPr>
          <w:p>
            <w:r/>
            <w:r>
              <w:rPr>
                <w:rFonts w:ascii="Aptos" w:hAnsi="Aptos"/>
                <w:b/>
                <w:sz w:val="24"/>
              </w:rPr>
              <w:t>Onde procurar</w:t>
            </w:r>
          </w:p>
        </w:tc>
        <w:tc>
          <w:tcPr>
            <w:tcW w:type="dxa" w:w="5927"/>
            <w:shd w:fill="15566D"/>
            <w:tcMar>
              <w:top w:w="100" w:type="dxa"/>
              <w:start w:w="120" w:type="dxa"/>
              <w:bottom w:w="100" w:type="dxa"/>
              <w:end w:w="120" w:type="dxa"/>
            </w:tcMar>
            <w:vAlign w:val="center"/>
          </w:tcPr>
          <w:p>
            <w:r/>
            <w:r>
              <w:rPr>
                <w:rFonts w:ascii="Aptos" w:hAnsi="Aptos"/>
                <w:b/>
                <w:sz w:val="24"/>
              </w:rPr>
              <w:t>O que verificar</w:t>
            </w:r>
          </w:p>
        </w:tc>
      </w:tr>
      <w:tr>
        <w:tc>
          <w:tcPr>
            <w:tcW w:type="dxa" w:w="5927"/>
            <w:tcMar>
              <w:top w:w="100" w:type="dxa"/>
              <w:start w:w="120" w:type="dxa"/>
              <w:bottom w:w="100" w:type="dxa"/>
              <w:end w:w="120" w:type="dxa"/>
            </w:tcMar>
            <w:vAlign w:val="center"/>
          </w:tcPr>
          <w:p>
            <w:r/>
            <w:r>
              <w:rPr>
                <w:rFonts w:ascii="Aptos" w:hAnsi="Aptos"/>
                <w:b w:val="0"/>
                <w:sz w:val="24"/>
              </w:rPr>
              <w:t>Portal ou página da coleção/dataset</w:t>
            </w:r>
          </w:p>
        </w:tc>
        <w:tc>
          <w:tcPr>
            <w:tcW w:type="dxa" w:w="5927"/>
            <w:tcMar>
              <w:top w:w="100" w:type="dxa"/>
              <w:start w:w="120" w:type="dxa"/>
              <w:bottom w:w="100" w:type="dxa"/>
              <w:end w:w="120" w:type="dxa"/>
            </w:tcMar>
            <w:vAlign w:val="center"/>
          </w:tcPr>
          <w:p>
            <w:r/>
            <w:r>
              <w:rPr>
                <w:rFonts w:ascii="Aptos" w:hAnsi="Aptos"/>
                <w:b w:val="0"/>
                <w:sz w:val="24"/>
              </w:rPr>
              <w:t>Política geral, condições específicas da coleção e licença declarada para a versão publicada.</w:t>
            </w:r>
          </w:p>
        </w:tc>
      </w:tr>
      <w:tr>
        <w:tc>
          <w:tcPr>
            <w:tcW w:type="dxa" w:w="5927"/>
            <w:tcMar>
              <w:top w:w="100" w:type="dxa"/>
              <w:start w:w="120" w:type="dxa"/>
              <w:bottom w:w="100" w:type="dxa"/>
              <w:end w:w="120" w:type="dxa"/>
            </w:tcMar>
            <w:vAlign w:val="center"/>
          </w:tcPr>
          <w:p>
            <w:r/>
            <w:r>
              <w:rPr>
                <w:rFonts w:ascii="Aptos" w:hAnsi="Aptos"/>
                <w:b w:val="0"/>
                <w:sz w:val="24"/>
              </w:rPr>
              <w:t>eml.xml / metadados do dataset</w:t>
            </w:r>
          </w:p>
        </w:tc>
        <w:tc>
          <w:tcPr>
            <w:tcW w:type="dxa" w:w="5927"/>
            <w:tcMar>
              <w:top w:w="100" w:type="dxa"/>
              <w:start w:w="120" w:type="dxa"/>
              <w:bottom w:w="100" w:type="dxa"/>
              <w:end w:w="120" w:type="dxa"/>
            </w:tcMar>
            <w:vAlign w:val="center"/>
          </w:tcPr>
          <w:p>
            <w:r/>
            <w:r>
              <w:rPr>
                <w:rFonts w:ascii="Aptos" w:hAnsi="Aptos"/>
                <w:b w:val="0"/>
                <w:sz w:val="24"/>
              </w:rPr>
              <w:t>Declaração de licença do conjunto, frequentemente em intellectualRights em publicações via IPT.</w:t>
            </w:r>
          </w:p>
        </w:tc>
      </w:tr>
      <w:tr>
        <w:tc>
          <w:tcPr>
            <w:tcW w:type="dxa" w:w="5927"/>
            <w:tcMar>
              <w:top w:w="100" w:type="dxa"/>
              <w:start w:w="120" w:type="dxa"/>
              <w:bottom w:w="100" w:type="dxa"/>
              <w:end w:w="120" w:type="dxa"/>
            </w:tcMar>
            <w:vAlign w:val="center"/>
          </w:tcPr>
          <w:p>
            <w:r/>
            <w:r>
              <w:rPr>
                <w:rFonts w:ascii="Aptos" w:hAnsi="Aptos"/>
                <w:b w:val="0"/>
                <w:sz w:val="24"/>
              </w:rPr>
              <w:t>Campo do registro</w:t>
            </w:r>
          </w:p>
        </w:tc>
        <w:tc>
          <w:tcPr>
            <w:tcW w:type="dxa" w:w="5927"/>
            <w:tcMar>
              <w:top w:w="100" w:type="dxa"/>
              <w:start w:w="120" w:type="dxa"/>
              <w:bottom w:w="100" w:type="dxa"/>
              <w:end w:w="120" w:type="dxa"/>
            </w:tcMar>
            <w:vAlign w:val="center"/>
          </w:tcPr>
          <w:p>
            <w:r/>
            <w:r>
              <w:rPr>
                <w:rFonts w:ascii="Aptos" w:hAnsi="Aptos"/>
                <w:b w:val="0"/>
                <w:sz w:val="24"/>
              </w:rPr>
              <w:t>license e rightsHolder quando esses campos acompanham cada linha.</w:t>
            </w:r>
          </w:p>
        </w:tc>
      </w:tr>
      <w:tr>
        <w:tc>
          <w:tcPr>
            <w:tcW w:type="dxa" w:w="5927"/>
            <w:tcMar>
              <w:top w:w="100" w:type="dxa"/>
              <w:start w:w="120" w:type="dxa"/>
              <w:bottom w:w="100" w:type="dxa"/>
              <w:end w:w="120" w:type="dxa"/>
            </w:tcMar>
            <w:vAlign w:val="center"/>
          </w:tcPr>
          <w:p>
            <w:r/>
            <w:r>
              <w:rPr>
                <w:rFonts w:ascii="Aptos" w:hAnsi="Aptos"/>
                <w:b w:val="0"/>
                <w:sz w:val="24"/>
              </w:rPr>
              <w:t>Arquivo auxiliar do download</w:t>
            </w:r>
          </w:p>
        </w:tc>
        <w:tc>
          <w:tcPr>
            <w:tcW w:type="dxa" w:w="5927"/>
            <w:tcMar>
              <w:top w:w="100" w:type="dxa"/>
              <w:start w:w="120" w:type="dxa"/>
              <w:bottom w:w="100" w:type="dxa"/>
              <w:end w:w="120" w:type="dxa"/>
            </w:tcMar>
            <w:vAlign w:val="center"/>
          </w:tcPr>
          <w:p>
            <w:r/>
            <w:r>
              <w:rPr>
                <w:rFonts w:ascii="Aptos" w:hAnsi="Aptos"/>
                <w:b w:val="0"/>
                <w:sz w:val="24"/>
              </w:rPr>
              <w:t>rights.txt e citations.txt em determinados produtos DwC-A do GBIF.</w:t>
            </w:r>
          </w:p>
        </w:tc>
      </w:tr>
      <w:tr>
        <w:tc>
          <w:tcPr>
            <w:tcW w:type="dxa" w:w="5927"/>
            <w:tcMar>
              <w:top w:w="100" w:type="dxa"/>
              <w:start w:w="120" w:type="dxa"/>
              <w:bottom w:w="100" w:type="dxa"/>
              <w:end w:w="120" w:type="dxa"/>
            </w:tcMar>
            <w:vAlign w:val="center"/>
          </w:tcPr>
          <w:p>
            <w:r/>
            <w:r>
              <w:rPr>
                <w:rFonts w:ascii="Aptos" w:hAnsi="Aptos"/>
                <w:b w:val="0"/>
                <w:sz w:val="24"/>
              </w:rPr>
              <w:t>Metadados da mídia</w:t>
            </w:r>
          </w:p>
        </w:tc>
        <w:tc>
          <w:tcPr>
            <w:tcW w:type="dxa" w:w="5927"/>
            <w:tcMar>
              <w:top w:w="100" w:type="dxa"/>
              <w:start w:w="120" w:type="dxa"/>
              <w:bottom w:w="100" w:type="dxa"/>
              <w:end w:w="120" w:type="dxa"/>
            </w:tcMar>
            <w:vAlign w:val="center"/>
          </w:tcPr>
          <w:p>
            <w:r/>
            <w:r>
              <w:rPr>
                <w:rFonts w:ascii="Aptos" w:hAnsi="Aptos"/>
                <w:b w:val="0"/>
                <w:sz w:val="24"/>
              </w:rPr>
              <w:t>Licença e detentor de direitos da fotografia, áudio ou outro objeto de mídia, que podem diferir do registro.</w:t>
            </w:r>
          </w:p>
        </w:tc>
      </w:tr>
      <w:tr>
        <w:tc>
          <w:tcPr>
            <w:tcW w:type="dxa" w:w="5927"/>
            <w:tcMar>
              <w:top w:w="100" w:type="dxa"/>
              <w:start w:w="120" w:type="dxa"/>
              <w:bottom w:w="100" w:type="dxa"/>
              <w:end w:w="120" w:type="dxa"/>
            </w:tcMar>
            <w:vAlign w:val="center"/>
          </w:tcPr>
          <w:p>
            <w:r/>
            <w:r>
              <w:rPr>
                <w:rFonts w:ascii="Aptos" w:hAnsi="Aptos"/>
                <w:b w:val="0"/>
                <w:sz w:val="24"/>
              </w:rPr>
              <w:t>Página/metadados associados ao DOI ou ao download</w:t>
            </w:r>
          </w:p>
        </w:tc>
        <w:tc>
          <w:tcPr>
            <w:tcW w:type="dxa" w:w="5927"/>
            <w:tcMar>
              <w:top w:w="100" w:type="dxa"/>
              <w:start w:w="120" w:type="dxa"/>
              <w:bottom w:w="100" w:type="dxa"/>
              <w:end w:w="120" w:type="dxa"/>
            </w:tcMar>
            <w:vAlign w:val="center"/>
          </w:tcPr>
          <w:p>
            <w:r/>
            <w:r>
              <w:rPr>
                <w:rFonts w:ascii="Aptos" w:hAnsi="Aptos"/>
                <w:b w:val="0"/>
                <w:sz w:val="24"/>
              </w:rPr>
              <w:t>Identificador, citação, versão, filtros e proveniência do produto obtido.</w:t>
            </w:r>
          </w:p>
        </w:tc>
      </w:tr>
    </w:tbl>
    <w:p>
      <w:r>
        <w:br w:type="page"/>
      </w:r>
      <w:pPr>
        <w:pStyle w:val="CaptionAula"/>
        <w:pageBreakBefore/>
        <w:spacing w:after="80" w:before="80" w:line="252" w:lineRule="auto"/>
        <w:jc w:val="left"/>
        <w:keepNext/>
        <w:keepLines/>
      </w:pPr>
      <w:r>
        <w:t>Quadro conceitual — Termos de direitos que aparecem nos dados.</w:t>
      </w:r>
    </w:p>
    <w:tbl>
      <w:tblPr>
        <w:tblStyle w:val="TableGrid"/>
        <w:tblW w:type="auto" w:w="0"/>
        <w:tblLook w:firstColumn="1" w:firstRow="1" w:lastColumn="0" w:lastRow="0" w:noHBand="0" w:noVBand="1" w:val="04A0"/>
      </w:tblPr>
      <w:tblGrid>
        <w:gridCol w:w="5927"/>
        <w:gridCol w:w="5927"/>
        <w:gridCol w:w="5927"/>
      </w:tblGrid>
      <w:tr>
        <w:trPr>
          <w:tblHeader w:val="true"/>
          <w:cantSplit/>
        </w:trPr>
        <w:tc>
          <w:tcPr>
            <w:tcW w:type="dxa" w:w="5927"/>
            <w:shd w:fill="15566D"/>
            <w:tcMar>
              <w:top w:w="100" w:type="dxa"/>
              <w:start w:w="120" w:type="dxa"/>
              <w:bottom w:w="100" w:type="dxa"/>
              <w:end w:w="120" w:type="dxa"/>
            </w:tcMar>
            <w:vAlign w:val="center"/>
          </w:tcPr>
          <w:p>
            <w:r/>
            <w:r>
              <w:rPr>
                <w:rFonts w:ascii="Aptos" w:hAnsi="Aptos"/>
                <w:b/>
                <w:sz w:val="24"/>
              </w:rPr>
              <w:t>Termo</w:t>
            </w:r>
          </w:p>
        </w:tc>
        <w:tc>
          <w:tcPr>
            <w:tcW w:type="dxa" w:w="5927"/>
            <w:shd w:fill="15566D"/>
            <w:tcMar>
              <w:top w:w="100" w:type="dxa"/>
              <w:start w:w="120" w:type="dxa"/>
              <w:bottom w:w="100" w:type="dxa"/>
              <w:end w:w="120" w:type="dxa"/>
            </w:tcMar>
            <w:vAlign w:val="center"/>
          </w:tcPr>
          <w:p>
            <w:r/>
            <w:r>
              <w:rPr>
                <w:rFonts w:ascii="Aptos" w:hAnsi="Aptos"/>
                <w:b/>
                <w:sz w:val="24"/>
              </w:rPr>
              <w:t>Significado na leitura da aula</w:t>
            </w:r>
          </w:p>
        </w:tc>
        <w:tc>
          <w:tcPr>
            <w:tcW w:type="dxa" w:w="5927"/>
            <w:shd w:fill="15566D"/>
            <w:tcMar>
              <w:top w:w="100" w:type="dxa"/>
              <w:start w:w="120" w:type="dxa"/>
              <w:bottom w:w="100" w:type="dxa"/>
              <w:end w:w="120" w:type="dxa"/>
            </w:tcMar>
            <w:vAlign w:val="center"/>
          </w:tcPr>
          <w:p>
            <w:r/>
            <w:r>
              <w:rPr>
                <w:rFonts w:ascii="Aptos" w:hAnsi="Aptos"/>
                <w:b/>
                <w:sz w:val="24"/>
              </w:rPr>
              <w:t>Uso recomendado</w:t>
            </w:r>
          </w:p>
        </w:tc>
      </w:tr>
      <w:tr>
        <w:trPr>
          <w:cantSplit/>
        </w:trPr>
        <w:tc>
          <w:tcPr>
            <w:tcW w:type="dxa" w:w="5927"/>
            <w:tcMar>
              <w:top w:w="100" w:type="dxa"/>
              <w:start w:w="120" w:type="dxa"/>
              <w:bottom w:w="100" w:type="dxa"/>
              <w:end w:w="120" w:type="dxa"/>
            </w:tcMar>
            <w:vAlign w:val="center"/>
          </w:tcPr>
          <w:p>
            <w:r/>
            <w:r>
              <w:rPr>
                <w:rFonts w:ascii="Aptos" w:hAnsi="Aptos"/>
                <w:b w:val="0"/>
                <w:sz w:val="24"/>
              </w:rPr>
              <w:t>dcterms:license</w:t>
            </w:r>
          </w:p>
        </w:tc>
        <w:tc>
          <w:tcPr>
            <w:tcW w:type="dxa" w:w="5927"/>
            <w:tcMar>
              <w:top w:w="100" w:type="dxa"/>
              <w:start w:w="120" w:type="dxa"/>
              <w:bottom w:w="100" w:type="dxa"/>
              <w:end w:w="120" w:type="dxa"/>
            </w:tcMar>
            <w:vAlign w:val="center"/>
          </w:tcPr>
          <w:p>
            <w:r/>
            <w:r>
              <w:rPr>
                <w:rFonts w:ascii="Aptos" w:hAnsi="Aptos"/>
                <w:b w:val="0"/>
                <w:sz w:val="24"/>
              </w:rPr>
              <w:t>Documento jurídico que concede permissão para uso do recurso.</w:t>
            </w:r>
          </w:p>
        </w:tc>
        <w:tc>
          <w:tcPr>
            <w:tcW w:type="dxa" w:w="5927"/>
            <w:tcMar>
              <w:top w:w="100" w:type="dxa"/>
              <w:start w:w="120" w:type="dxa"/>
              <w:bottom w:w="100" w:type="dxa"/>
              <w:end w:w="120" w:type="dxa"/>
            </w:tcMar>
            <w:vAlign w:val="center"/>
          </w:tcPr>
          <w:p>
            <w:r/>
            <w:r>
              <w:rPr>
                <w:rFonts w:ascii="Aptos" w:hAnsi="Aptos"/>
                <w:b w:val="0"/>
                <w:sz w:val="24"/>
              </w:rPr>
              <w:t>Use para registrar a licença aplicável.</w:t>
            </w:r>
          </w:p>
        </w:tc>
      </w:tr>
      <w:tr>
        <w:trPr>
          <w:cantSplit/>
        </w:trPr>
        <w:tc>
          <w:tcPr>
            <w:tcW w:type="dxa" w:w="5927"/>
            <w:tcMar>
              <w:top w:w="100" w:type="dxa"/>
              <w:start w:w="120" w:type="dxa"/>
              <w:bottom w:w="100" w:type="dxa"/>
              <w:end w:w="120" w:type="dxa"/>
            </w:tcMar>
            <w:vAlign w:val="center"/>
          </w:tcPr>
          <w:p>
            <w:r/>
            <w:r>
              <w:rPr>
                <w:rFonts w:ascii="Aptos" w:hAnsi="Aptos"/>
                <w:b w:val="0"/>
                <w:sz w:val="24"/>
              </w:rPr>
              <w:t>dcterms:rightsHolder</w:t>
            </w:r>
          </w:p>
        </w:tc>
        <w:tc>
          <w:tcPr>
            <w:tcW w:type="dxa" w:w="5927"/>
            <w:tcMar>
              <w:top w:w="100" w:type="dxa"/>
              <w:start w:w="120" w:type="dxa"/>
              <w:bottom w:w="100" w:type="dxa"/>
              <w:end w:w="120" w:type="dxa"/>
            </w:tcMar>
            <w:vAlign w:val="center"/>
          </w:tcPr>
          <w:p>
            <w:r/>
            <w:r>
              <w:rPr>
                <w:rFonts w:ascii="Aptos" w:hAnsi="Aptos"/>
                <w:b w:val="0"/>
                <w:sz w:val="24"/>
              </w:rPr>
              <w:t>Pessoa ou organização que possui ou administra direitos sobre o recurso.</w:t>
            </w:r>
          </w:p>
        </w:tc>
        <w:tc>
          <w:tcPr>
            <w:tcW w:type="dxa" w:w="5927"/>
            <w:tcMar>
              <w:top w:w="100" w:type="dxa"/>
              <w:start w:w="120" w:type="dxa"/>
              <w:bottom w:w="100" w:type="dxa"/>
              <w:end w:w="120" w:type="dxa"/>
            </w:tcMar>
            <w:vAlign w:val="center"/>
          </w:tcPr>
          <w:p>
            <w:r/>
            <w:r>
              <w:rPr>
                <w:rFonts w:ascii="Aptos" w:hAnsi="Aptos"/>
                <w:b w:val="0"/>
                <w:sz w:val="24"/>
              </w:rPr>
              <w:t>Não confundir com a licença.</w:t>
            </w:r>
          </w:p>
        </w:tc>
      </w:tr>
      <w:tr>
        <w:trPr>
          <w:cantSplit/>
        </w:trPr>
        <w:tc>
          <w:tcPr>
            <w:tcW w:type="dxa" w:w="5927"/>
            <w:tcMar>
              <w:top w:w="100" w:type="dxa"/>
              <w:start w:w="120" w:type="dxa"/>
              <w:bottom w:w="100" w:type="dxa"/>
              <w:end w:w="120" w:type="dxa"/>
            </w:tcMar>
            <w:vAlign w:val="center"/>
          </w:tcPr>
          <w:p>
            <w:r/>
            <w:r>
              <w:rPr>
                <w:rFonts w:ascii="Aptos" w:hAnsi="Aptos"/>
                <w:b w:val="0"/>
                <w:sz w:val="24"/>
              </w:rPr>
              <w:t>dcterms:accessRights</w:t>
            </w:r>
          </w:p>
        </w:tc>
        <w:tc>
          <w:tcPr>
            <w:tcW w:type="dxa" w:w="5927"/>
            <w:tcMar>
              <w:top w:w="100" w:type="dxa"/>
              <w:start w:w="120" w:type="dxa"/>
              <w:bottom w:w="100" w:type="dxa"/>
              <w:end w:w="120" w:type="dxa"/>
            </w:tcMar>
            <w:vAlign w:val="center"/>
          </w:tcPr>
          <w:p>
            <w:r/>
            <w:r>
              <w:rPr>
                <w:rFonts w:ascii="Aptos" w:hAnsi="Aptos"/>
                <w:b w:val="0"/>
                <w:sz w:val="24"/>
              </w:rPr>
              <w:t>Informação sobre quem pode acessar o recurso ou sobre restrições de acesso.</w:t>
            </w:r>
          </w:p>
        </w:tc>
        <w:tc>
          <w:tcPr>
            <w:tcW w:type="dxa" w:w="5927"/>
            <w:tcMar>
              <w:top w:w="100" w:type="dxa"/>
              <w:start w:w="120" w:type="dxa"/>
              <w:bottom w:w="100" w:type="dxa"/>
              <w:end w:w="120" w:type="dxa"/>
            </w:tcMar>
            <w:vAlign w:val="center"/>
          </w:tcPr>
          <w:p>
            <w:r/>
            <w:r>
              <w:rPr>
                <w:rFonts w:ascii="Aptos" w:hAnsi="Aptos"/>
                <w:b w:val="0"/>
                <w:sz w:val="24"/>
              </w:rPr>
              <w:t>Descreve acesso/restrições, não substitui a licença.</w:t>
            </w:r>
          </w:p>
        </w:tc>
      </w:tr>
      <w:tr>
        <w:trPr>
          <w:cantSplit/>
        </w:trPr>
        <w:tc>
          <w:tcPr>
            <w:tcW w:type="dxa" w:w="5927"/>
            <w:tcMar>
              <w:top w:w="100" w:type="dxa"/>
              <w:start w:w="120" w:type="dxa"/>
              <w:bottom w:w="100" w:type="dxa"/>
              <w:end w:w="120" w:type="dxa"/>
            </w:tcMar>
            <w:vAlign w:val="center"/>
          </w:tcPr>
          <w:p>
            <w:r/>
            <w:r>
              <w:rPr>
                <w:rFonts w:ascii="Aptos" w:hAnsi="Aptos"/>
                <w:b w:val="0"/>
                <w:sz w:val="24"/>
              </w:rPr>
              <w:t>dcterms:rights</w:t>
            </w:r>
          </w:p>
        </w:tc>
        <w:tc>
          <w:tcPr>
            <w:tcW w:type="dxa" w:w="5927"/>
            <w:tcMar>
              <w:top w:w="100" w:type="dxa"/>
              <w:start w:w="120" w:type="dxa"/>
              <w:bottom w:w="100" w:type="dxa"/>
              <w:end w:w="120" w:type="dxa"/>
            </w:tcMar>
            <w:vAlign w:val="center"/>
          </w:tcPr>
          <w:p>
            <w:r/>
            <w:r>
              <w:rPr>
                <w:rFonts w:ascii="Aptos" w:hAnsi="Aptos"/>
                <w:b w:val="0"/>
                <w:sz w:val="24"/>
              </w:rPr>
              <w:t>Declaração geral de direitos.</w:t>
            </w:r>
          </w:p>
        </w:tc>
        <w:tc>
          <w:tcPr>
            <w:tcW w:type="dxa" w:w="5927"/>
            <w:tcMar>
              <w:top w:w="100" w:type="dxa"/>
              <w:start w:w="120" w:type="dxa"/>
              <w:bottom w:w="100" w:type="dxa"/>
              <w:end w:w="120" w:type="dxa"/>
            </w:tcMar>
            <w:vAlign w:val="center"/>
          </w:tcPr>
          <w:p>
            <w:r/>
            <w:r>
              <w:rPr>
                <w:rFonts w:ascii="Aptos" w:hAnsi="Aptos"/>
                <w:b w:val="0"/>
                <w:sz w:val="24"/>
              </w:rPr>
              <w:t>Termo depreciado no Darwin Core e substituído por dcterms:license; pode aparecer em dados legados.</w:t>
            </w:r>
          </w:p>
        </w:tc>
      </w:tr>
    </w:tbl>
    <w:p>
      <w:r>
        <w:br w:type="page"/>
      </w:r>
      <w:pPr>
        <w:pStyle w:val="Heading3"/>
        <w:keepNext/>
        <w:pageBreakBefore/>
      </w:pPr>
      <w:r>
        <w:rPr/>
        <w:t>3.2.1 Creative Commons: como ler as siglas e as condições</w:t>
      </w:r>
    </w:p>
    <w:p>
      <w:pPr/>
      <w:r>
        <w:t>A família Creative Commons possui seis licenças. CC0 1.0 é uma ferramenta de dedicação ao domínio público/renúncia e, portanto, não integra o conjunto das seis licenças. As siglas indicam as condições associadas à licença: BY — Atribuição (Attribution): exige dar o crédito apropriado, indicar a licença e informar quando alterações forem realizadas; SA — CompartilhaIgual (ShareAlike): se o material for adaptado, a adaptação distribuída deve permanecer sob a mesma licença ou uma licença compatível; NC — NãoComercial (NonCommercial): não autoriza o uso do material para fins comerciais; ND — SemDerivações (NoDerivatives): permite compartilhar o material, mas não distribuir publicamente versões modificadas. Na leitura abaixo, “compartilhar uma adaptação” significa redistribuir publicamente material que foi modificado.</w:t>
      </w:r>
    </w:p>
    <w:tbl>
      <w:tblPr>
        <w:tblStyle w:val="TableGrid"/>
        <w:tblW w:type="auto" w:w="0"/>
        <w:tblLayout w:type="fixed"/>
        <w:tblLook w:firstColumn="1" w:firstRow="1" w:lastColumn="0" w:lastRow="0" w:noHBand="0" w:noVBand="1" w:val="04A0"/>
      </w:tblPr>
      <w:tblGrid>
        <w:gridCol w:w="4445"/>
        <w:gridCol w:w="4445"/>
        <w:gridCol w:w="4445"/>
        <w:gridCol w:w="4445"/>
      </w:tblGrid>
      <w:tr>
        <w:trPr>
          <w:tblHeader w:val="true"/>
          <w:cantSplit/>
        </w:trPr>
        <w:tc>
          <w:tcPr>
            <w:tcW w:type="dxa" w:w="2232"/>
            <w:tcMar>
              <w:top w:w="40" w:type="dxa"/>
              <w:start w:w="60" w:type="dxa"/>
              <w:bottom w:w="40" w:type="dxa"/>
              <w:end w:w="60" w:type="dxa"/>
            </w:tcMar>
            <w:shd w:fill="15566D"/>
          </w:tcPr>
          <w:p>
            <w:pPr>
              <w:spacing w:after="0" w:before="0" w:line="240" w:lineRule="auto"/>
            </w:pPr>
            <w:r>
              <w:rPr>
                <w:rFonts w:ascii="Aptos" w:hAnsi="Aptos"/>
                <w:b/>
                <w:color w:val="FFFFFF"/>
                <w:sz w:val="20"/>
              </w:rPr>
              <w:t>Licença</w:t>
            </w:r>
          </w:p>
        </w:tc>
        <w:tc>
          <w:tcPr>
            <w:tcW w:type="dxa" w:w="1656"/>
            <w:tcMar>
              <w:top w:w="40" w:type="dxa"/>
              <w:start w:w="60" w:type="dxa"/>
              <w:bottom w:w="40" w:type="dxa"/>
              <w:end w:w="60" w:type="dxa"/>
            </w:tcMar>
            <w:shd w:fill="15566D"/>
          </w:tcPr>
          <w:p>
            <w:pPr>
              <w:spacing w:after="0" w:before="0" w:line="240" w:lineRule="auto"/>
            </w:pPr>
            <w:r>
              <w:rPr>
                <w:rFonts w:ascii="Aptos" w:hAnsi="Aptos"/>
                <w:b/>
                <w:color w:val="FFFFFF"/>
                <w:sz w:val="20"/>
              </w:rPr>
              <w:t>Uso comercial?</w:t>
            </w:r>
          </w:p>
        </w:tc>
        <w:tc>
          <w:tcPr>
            <w:tcW w:type="dxa" w:w="2376"/>
            <w:tcMar>
              <w:top w:w="40" w:type="dxa"/>
              <w:start w:w="60" w:type="dxa"/>
              <w:bottom w:w="40" w:type="dxa"/>
              <w:end w:w="60" w:type="dxa"/>
            </w:tcMar>
            <w:shd w:fill="15566D"/>
          </w:tcPr>
          <w:p>
            <w:pPr>
              <w:spacing w:after="0" w:before="0" w:line="240" w:lineRule="auto"/>
            </w:pPr>
            <w:r>
              <w:rPr>
                <w:rFonts w:ascii="Aptos" w:hAnsi="Aptos"/>
                <w:b/>
                <w:color w:val="FFFFFF"/>
                <w:sz w:val="20"/>
              </w:rPr>
              <w:t>Pode compartilhar adaptação?</w:t>
            </w:r>
          </w:p>
        </w:tc>
        <w:tc>
          <w:tcPr>
            <w:tcW w:type="dxa" w:w="10728"/>
            <w:tcMar>
              <w:top w:w="40" w:type="dxa"/>
              <w:start w:w="60" w:type="dxa"/>
              <w:bottom w:w="40" w:type="dxa"/>
              <w:end w:w="60" w:type="dxa"/>
            </w:tcMar>
            <w:shd w:fill="15566D"/>
          </w:tcPr>
          <w:p>
            <w:pPr>
              <w:spacing w:after="0" w:before="0" w:line="240" w:lineRule="auto"/>
            </w:pPr>
            <w:r>
              <w:rPr>
                <w:rFonts w:ascii="Aptos" w:hAnsi="Aptos"/>
                <w:b/>
                <w:color w:val="FFFFFF"/>
                <w:sz w:val="20"/>
              </w:rPr>
              <w:t>O que significa / principal condição</w:t>
            </w:r>
          </w:p>
        </w:tc>
      </w:tr>
      <w:tr>
        <w:trPr>
          <w:cantSplit/>
        </w:trPr>
        <w:tc>
          <w:tcPr>
            <w:tcW w:type="dxa" w:w="2232"/>
            <w:tcMar>
              <w:top w:w="40" w:type="dxa"/>
              <w:start w:w="60" w:type="dxa"/>
              <w:bottom w:w="40" w:type="dxa"/>
              <w:end w:w="60" w:type="dxa"/>
            </w:tcMar>
          </w:tcPr>
          <w:p>
            <w:pPr>
              <w:spacing w:after="0" w:before="0" w:line="240" w:lineRule="auto"/>
            </w:pPr>
            <w:r>
              <w:rPr>
                <w:rFonts w:ascii="Aptos" w:hAnsi="Aptos"/>
                <w:b w:val="0"/>
                <w:color w:val="1F2933"/>
                <w:sz w:val="20"/>
              </w:rPr>
              <w:t>CC0 1.0</w:t>
            </w:r>
          </w:p>
        </w:tc>
        <w:tc>
          <w:tcPr>
            <w:tcW w:type="dxa" w:w="1656"/>
            <w:tcMar>
              <w:top w:w="40" w:type="dxa"/>
              <w:start w:w="60" w:type="dxa"/>
              <w:bottom w:w="40" w:type="dxa"/>
              <w:end w:w="60" w:type="dxa"/>
            </w:tcMar>
          </w:tcPr>
          <w:p>
            <w:pPr>
              <w:spacing w:after="0" w:before="0" w:line="240" w:lineRule="auto"/>
            </w:pPr>
            <w:r>
              <w:rPr>
                <w:rFonts w:ascii="Aptos" w:hAnsi="Aptos"/>
                <w:b w:val="0"/>
                <w:color w:val="1F2933"/>
                <w:sz w:val="20"/>
              </w:rPr>
              <w:t>Sim</w:t>
            </w:r>
          </w:p>
        </w:tc>
        <w:tc>
          <w:tcPr>
            <w:tcW w:type="dxa" w:w="2376"/>
            <w:tcMar>
              <w:top w:w="40" w:type="dxa"/>
              <w:start w:w="60" w:type="dxa"/>
              <w:bottom w:w="40" w:type="dxa"/>
              <w:end w:w="60" w:type="dxa"/>
            </w:tcMar>
          </w:tcPr>
          <w:p>
            <w:pPr>
              <w:spacing w:after="0" w:before="0" w:line="240" w:lineRule="auto"/>
            </w:pPr>
            <w:r>
              <w:rPr>
                <w:rFonts w:ascii="Aptos" w:hAnsi="Aptos"/>
                <w:b w:val="0"/>
                <w:color w:val="1F2933"/>
                <w:sz w:val="20"/>
              </w:rPr>
              <w:t>Sim</w:t>
            </w:r>
          </w:p>
        </w:tc>
        <w:tc>
          <w:tcPr>
            <w:tcW w:type="dxa" w:w="10728"/>
            <w:tcMar>
              <w:top w:w="40" w:type="dxa"/>
              <w:start w:w="60" w:type="dxa"/>
              <w:bottom w:w="40" w:type="dxa"/>
              <w:end w:w="60" w:type="dxa"/>
            </w:tcMar>
          </w:tcPr>
          <w:p>
            <w:r>
              <w:rPr>
                <w:sz w:val="20"/>
              </w:rPr>
              <w:t>Renúncia aos direitos na maior extensão permitida. Não exige atribuição pela ferramenta; procedência e citação seguem como boas práticas científicas.</w:t>
            </w:r>
          </w:p>
        </w:tc>
      </w:tr>
      <w:tr>
        <w:trPr>
          <w:cantSplit/>
        </w:trPr>
        <w:tc>
          <w:tcPr>
            <w:tcW w:type="dxa" w:w="2232"/>
            <w:tcMar>
              <w:top w:w="40" w:type="dxa"/>
              <w:start w:w="60" w:type="dxa"/>
              <w:bottom w:w="40" w:type="dxa"/>
              <w:end w:w="60" w:type="dxa"/>
            </w:tcMar>
          </w:tcPr>
          <w:p>
            <w:pPr>
              <w:spacing w:after="0" w:before="0" w:line="240" w:lineRule="auto"/>
            </w:pPr>
            <w:r>
              <w:rPr>
                <w:rFonts w:ascii="Aptos" w:hAnsi="Aptos"/>
                <w:b w:val="0"/>
                <w:color w:val="1F2933"/>
                <w:sz w:val="20"/>
              </w:rPr>
              <w:t>CC BY 4.0</w:t>
            </w:r>
          </w:p>
        </w:tc>
        <w:tc>
          <w:tcPr>
            <w:tcW w:type="dxa" w:w="1656"/>
            <w:tcMar>
              <w:top w:w="40" w:type="dxa"/>
              <w:start w:w="60" w:type="dxa"/>
              <w:bottom w:w="40" w:type="dxa"/>
              <w:end w:w="60" w:type="dxa"/>
            </w:tcMar>
          </w:tcPr>
          <w:p>
            <w:pPr>
              <w:spacing w:after="0" w:before="0" w:line="240" w:lineRule="auto"/>
            </w:pPr>
            <w:r>
              <w:rPr>
                <w:rFonts w:ascii="Aptos" w:hAnsi="Aptos"/>
                <w:b w:val="0"/>
                <w:color w:val="1F2933"/>
                <w:sz w:val="20"/>
              </w:rPr>
              <w:t>Sim</w:t>
            </w:r>
          </w:p>
        </w:tc>
        <w:tc>
          <w:tcPr>
            <w:tcW w:type="dxa" w:w="2376"/>
            <w:tcMar>
              <w:top w:w="40" w:type="dxa"/>
              <w:start w:w="60" w:type="dxa"/>
              <w:bottom w:w="40" w:type="dxa"/>
              <w:end w:w="60" w:type="dxa"/>
            </w:tcMar>
          </w:tcPr>
          <w:p>
            <w:pPr>
              <w:spacing w:after="0" w:before="0" w:line="240" w:lineRule="auto"/>
            </w:pPr>
            <w:r>
              <w:rPr>
                <w:rFonts w:ascii="Aptos" w:hAnsi="Aptos"/>
                <w:b w:val="0"/>
                <w:color w:val="1F2933"/>
                <w:sz w:val="20"/>
              </w:rPr>
              <w:t>Sim</w:t>
            </w:r>
          </w:p>
        </w:tc>
        <w:tc>
          <w:tcPr>
            <w:tcW w:type="dxa" w:w="10728"/>
            <w:tcMar>
              <w:top w:w="40" w:type="dxa"/>
              <w:start w:w="60" w:type="dxa"/>
              <w:bottom w:w="40" w:type="dxa"/>
              <w:end w:w="60" w:type="dxa"/>
            </w:tcMar>
          </w:tcPr>
          <w:p>
            <w:pPr>
              <w:spacing w:after="0" w:before="0" w:line="240" w:lineRule="auto"/>
            </w:pPr>
            <w:r>
              <w:rPr>
                <w:rFonts w:ascii="Aptos" w:hAnsi="Aptos"/>
                <w:b w:val="0"/>
                <w:color w:val="1F2933"/>
                <w:sz w:val="20"/>
              </w:rPr>
              <w:t>BY = atribuição. Dar crédito apropriado, indicar a licença e informar se houve alterações.</w:t>
            </w:r>
          </w:p>
        </w:tc>
      </w:tr>
      <w:tr>
        <w:trPr>
          <w:cantSplit/>
        </w:trPr>
        <w:tc>
          <w:tcPr>
            <w:tcW w:type="dxa" w:w="2232"/>
            <w:tcMar>
              <w:top w:w="40" w:type="dxa"/>
              <w:start w:w="60" w:type="dxa"/>
              <w:bottom w:w="40" w:type="dxa"/>
              <w:end w:w="60" w:type="dxa"/>
            </w:tcMar>
          </w:tcPr>
          <w:p>
            <w:pPr>
              <w:spacing w:after="0" w:before="0" w:line="240" w:lineRule="auto"/>
            </w:pPr>
            <w:r>
              <w:rPr>
                <w:rFonts w:ascii="Aptos" w:hAnsi="Aptos"/>
                <w:b w:val="0"/>
                <w:color w:val="1F2933"/>
                <w:sz w:val="20"/>
              </w:rPr>
              <w:t>CC BY-SA 4.0</w:t>
            </w:r>
          </w:p>
        </w:tc>
        <w:tc>
          <w:tcPr>
            <w:tcW w:type="dxa" w:w="1656"/>
            <w:tcMar>
              <w:top w:w="40" w:type="dxa"/>
              <w:start w:w="60" w:type="dxa"/>
              <w:bottom w:w="40" w:type="dxa"/>
              <w:end w:w="60" w:type="dxa"/>
            </w:tcMar>
          </w:tcPr>
          <w:p>
            <w:pPr>
              <w:spacing w:after="0" w:before="0" w:line="240" w:lineRule="auto"/>
            </w:pPr>
            <w:r>
              <w:rPr>
                <w:rFonts w:ascii="Aptos" w:hAnsi="Aptos"/>
                <w:b w:val="0"/>
                <w:color w:val="1F2933"/>
                <w:sz w:val="20"/>
              </w:rPr>
              <w:t>Sim</w:t>
            </w:r>
          </w:p>
        </w:tc>
        <w:tc>
          <w:tcPr>
            <w:tcW w:type="dxa" w:w="2376"/>
            <w:tcMar>
              <w:top w:w="40" w:type="dxa"/>
              <w:start w:w="60" w:type="dxa"/>
              <w:bottom w:w="40" w:type="dxa"/>
              <w:end w:w="60" w:type="dxa"/>
            </w:tcMar>
          </w:tcPr>
          <w:p>
            <w:pPr>
              <w:spacing w:after="0" w:before="0" w:line="240" w:lineRule="auto"/>
            </w:pPr>
            <w:r>
              <w:rPr>
                <w:rFonts w:ascii="Aptos" w:hAnsi="Aptos"/>
                <w:b w:val="0"/>
                <w:color w:val="1F2933"/>
                <w:sz w:val="20"/>
              </w:rPr>
              <w:t>Sim</w:t>
            </w:r>
          </w:p>
        </w:tc>
        <w:tc>
          <w:tcPr>
            <w:tcW w:type="dxa" w:w="10728"/>
            <w:tcMar>
              <w:top w:w="40" w:type="dxa"/>
              <w:start w:w="60" w:type="dxa"/>
              <w:bottom w:w="40" w:type="dxa"/>
              <w:end w:w="60" w:type="dxa"/>
            </w:tcMar>
          </w:tcPr>
          <w:p>
            <w:pPr>
              <w:spacing w:after="0" w:before="0" w:line="240" w:lineRule="auto"/>
            </w:pPr>
            <w:r>
              <w:rPr>
                <w:rFonts w:ascii="Aptos" w:hAnsi="Aptos"/>
                <w:b w:val="0"/>
                <w:color w:val="1F2933"/>
                <w:sz w:val="20"/>
              </w:rPr>
              <w:t>BY + SA (ShareAlike). Além da atribuição, adaptações compartilhadas devem usar a mesma licença ou uma compatível.</w:t>
            </w:r>
          </w:p>
        </w:tc>
      </w:tr>
      <w:tr>
        <w:trPr>
          <w:cantSplit/>
        </w:trPr>
        <w:tc>
          <w:tcPr>
            <w:tcW w:type="dxa" w:w="2232"/>
            <w:tcMar>
              <w:top w:w="40" w:type="dxa"/>
              <w:start w:w="60" w:type="dxa"/>
              <w:bottom w:w="40" w:type="dxa"/>
              <w:end w:w="60" w:type="dxa"/>
            </w:tcMar>
          </w:tcPr>
          <w:p>
            <w:pPr>
              <w:spacing w:after="0" w:before="0" w:line="240" w:lineRule="auto"/>
            </w:pPr>
            <w:r>
              <w:rPr>
                <w:rFonts w:ascii="Aptos" w:hAnsi="Aptos"/>
                <w:b w:val="0"/>
                <w:color w:val="1F2933"/>
                <w:sz w:val="20"/>
              </w:rPr>
              <w:t>CC BY-ND 4.0</w:t>
            </w:r>
          </w:p>
        </w:tc>
        <w:tc>
          <w:tcPr>
            <w:tcW w:type="dxa" w:w="1656"/>
            <w:tcMar>
              <w:top w:w="40" w:type="dxa"/>
              <w:start w:w="60" w:type="dxa"/>
              <w:bottom w:w="40" w:type="dxa"/>
              <w:end w:w="60" w:type="dxa"/>
            </w:tcMar>
          </w:tcPr>
          <w:p>
            <w:pPr>
              <w:spacing w:after="0" w:before="0" w:line="240" w:lineRule="auto"/>
            </w:pPr>
            <w:r>
              <w:rPr>
                <w:rFonts w:ascii="Aptos" w:hAnsi="Aptos"/>
                <w:b w:val="0"/>
                <w:color w:val="1F2933"/>
                <w:sz w:val="20"/>
              </w:rPr>
              <w:t>Sim</w:t>
            </w:r>
          </w:p>
        </w:tc>
        <w:tc>
          <w:tcPr>
            <w:tcW w:type="dxa" w:w="2376"/>
            <w:tcMar>
              <w:top w:w="40" w:type="dxa"/>
              <w:start w:w="60" w:type="dxa"/>
              <w:bottom w:w="40" w:type="dxa"/>
              <w:end w:w="60" w:type="dxa"/>
            </w:tcMar>
          </w:tcPr>
          <w:p>
            <w:pPr>
              <w:spacing w:after="0" w:before="0" w:line="240" w:lineRule="auto"/>
            </w:pPr>
            <w:r>
              <w:rPr>
                <w:rFonts w:ascii="Aptos" w:hAnsi="Aptos"/>
                <w:b w:val="0"/>
                <w:color w:val="1F2933"/>
                <w:sz w:val="20"/>
              </w:rPr>
              <w:t>Não</w:t>
            </w:r>
          </w:p>
        </w:tc>
        <w:tc>
          <w:tcPr>
            <w:tcW w:type="dxa" w:w="10728"/>
            <w:tcMar>
              <w:top w:w="40" w:type="dxa"/>
              <w:start w:w="60" w:type="dxa"/>
              <w:bottom w:w="40" w:type="dxa"/>
              <w:end w:w="60" w:type="dxa"/>
            </w:tcMar>
          </w:tcPr>
          <w:p>
            <w:pPr>
              <w:spacing w:after="0" w:before="0" w:line="240" w:lineRule="auto"/>
            </w:pPr>
            <w:r>
              <w:rPr>
                <w:rFonts w:ascii="Aptos" w:hAnsi="Aptos"/>
                <w:b w:val="0"/>
                <w:color w:val="1F2933"/>
                <w:sz w:val="20"/>
              </w:rPr>
              <w:t>BY + ND (NoDerivatives). Permite compartilhar o material apenas em forma não adaptada, com atribuição.</w:t>
            </w:r>
          </w:p>
        </w:tc>
      </w:tr>
    </w:tbl>
    <w:p>
      <w:r>
        <w:br w:type="page"/>
      </w:r>
      <w:pPr>
        <w:pStyle w:val="Heading4"/>
        <w:keepNext/>
      </w:pPr>
      <w:r>
        <w:t>3.2.1 — continuação: licenças com NC e combinações de restrições</w:t>
      </w:r>
    </w:p>
    <w:tbl>
      <w:tblPr>
        <w:tblStyle w:val="TableGrid"/>
        <w:tblW w:type="auto" w:w="0"/>
        <w:tblLayout w:type="fixed"/>
        <w:tblLook w:firstColumn="1" w:firstRow="1" w:lastColumn="0" w:lastRow="0" w:noHBand="0" w:noVBand="1" w:val="04A0"/>
      </w:tblPr>
      <w:tblGrid>
        <w:gridCol w:w="4445"/>
        <w:gridCol w:w="4445"/>
        <w:gridCol w:w="4445"/>
        <w:gridCol w:w="4445"/>
      </w:tblGrid>
      <w:tr>
        <w:trPr>
          <w:tblHeader w:val="true"/>
        </w:trPr>
        <w:tc>
          <w:tcPr>
            <w:tcW w:type="dxa" w:w="2232"/>
            <w:shd w:fill="15566D"/>
          </w:tcPr>
          <w:p>
            <w:r>
              <w:rPr>
                <w:b/>
                <w:color w:val="FFFFFF"/>
                <w:sz w:val="20"/>
              </w:rPr>
              <w:t>Licença</w:t>
            </w:r>
          </w:p>
        </w:tc>
        <w:tc>
          <w:tcPr>
            <w:tcW w:type="dxa" w:w="1656"/>
            <w:shd w:fill="15566D"/>
          </w:tcPr>
          <w:p>
            <w:r>
              <w:rPr>
                <w:b/>
                <w:color w:val="FFFFFF"/>
                <w:sz w:val="20"/>
              </w:rPr>
              <w:t>Uso comercial?</w:t>
            </w:r>
          </w:p>
        </w:tc>
        <w:tc>
          <w:tcPr>
            <w:tcW w:type="dxa" w:w="2376"/>
            <w:shd w:fill="15566D"/>
          </w:tcPr>
          <w:p>
            <w:r>
              <w:rPr>
                <w:b/>
                <w:color w:val="FFFFFF"/>
                <w:sz w:val="20"/>
              </w:rPr>
              <w:t>Pode compartilhar adaptação?</w:t>
            </w:r>
          </w:p>
        </w:tc>
        <w:tc>
          <w:tcPr>
            <w:tcW w:type="dxa" w:w="10728"/>
            <w:shd w:fill="15566D"/>
          </w:tcPr>
          <w:p>
            <w:r>
              <w:rPr>
                <w:b/>
                <w:color w:val="FFFFFF"/>
                <w:sz w:val="20"/>
              </w:rPr>
              <w:t>O que significa / principal condição</w:t>
            </w:r>
          </w:p>
        </w:tc>
      </w:tr>
      <w:tr>
        <w:tc>
          <w:tcPr>
            <w:tcW w:type="dxa" w:w="2232"/>
          </w:tcPr>
          <w:p>
            <w:r>
              <w:rPr>
                <w:b w:val="0"/>
                <w:sz w:val="20"/>
              </w:rPr>
              <w:t>CC BY-NC 4.0</w:t>
            </w:r>
          </w:p>
        </w:tc>
        <w:tc>
          <w:tcPr>
            <w:tcW w:type="dxa" w:w="1656"/>
          </w:tcPr>
          <w:p>
            <w:r>
              <w:rPr>
                <w:b w:val="0"/>
                <w:sz w:val="20"/>
              </w:rPr>
              <w:t>Não</w:t>
            </w:r>
          </w:p>
        </w:tc>
        <w:tc>
          <w:tcPr>
            <w:tcW w:type="dxa" w:w="2376"/>
          </w:tcPr>
          <w:p>
            <w:r>
              <w:rPr>
                <w:b w:val="0"/>
                <w:sz w:val="20"/>
              </w:rPr>
              <w:t>Sim</w:t>
            </w:r>
          </w:p>
        </w:tc>
        <w:tc>
          <w:tcPr>
            <w:tcW w:type="dxa" w:w="10728"/>
          </w:tcPr>
          <w:p>
            <w:r>
              <w:rPr>
                <w:b w:val="0"/>
                <w:sz w:val="20"/>
              </w:rPr>
              <w:t>BY + NC (NonCommercial). Permite compartilhamento e adaptação com atribuição, somente para finalidades não comerciais.</w:t>
            </w:r>
          </w:p>
        </w:tc>
      </w:tr>
      <w:tr>
        <w:tc>
          <w:tcPr>
            <w:tcW w:type="dxa" w:w="2232"/>
          </w:tcPr>
          <w:p>
            <w:r>
              <w:rPr>
                <w:b w:val="0"/>
                <w:sz w:val="20"/>
              </w:rPr>
              <w:t>CC BY-NC-SA 4.0</w:t>
            </w:r>
          </w:p>
        </w:tc>
        <w:tc>
          <w:tcPr>
            <w:tcW w:type="dxa" w:w="1656"/>
          </w:tcPr>
          <w:p>
            <w:r>
              <w:rPr>
                <w:b w:val="0"/>
                <w:sz w:val="20"/>
              </w:rPr>
              <w:t>Não</w:t>
            </w:r>
          </w:p>
        </w:tc>
        <w:tc>
          <w:tcPr>
            <w:tcW w:type="dxa" w:w="2376"/>
          </w:tcPr>
          <w:p>
            <w:r>
              <w:rPr>
                <w:b w:val="0"/>
                <w:sz w:val="20"/>
              </w:rPr>
              <w:t>Sim</w:t>
            </w:r>
          </w:p>
        </w:tc>
        <w:tc>
          <w:tcPr>
            <w:tcW w:type="dxa" w:w="10728"/>
          </w:tcPr>
          <w:p>
            <w:r>
              <w:rPr>
                <w:b w:val="0"/>
                <w:sz w:val="20"/>
              </w:rPr>
              <w:t>BY + NC + SA. Uso não comercial com atribuição; adaptações compartilhadas mantêm a mesma licença ou uma compatível.</w:t>
            </w:r>
          </w:p>
        </w:tc>
      </w:tr>
      <w:tr>
        <w:tc>
          <w:tcPr>
            <w:tcW w:type="dxa" w:w="2232"/>
          </w:tcPr>
          <w:p>
            <w:r>
              <w:rPr>
                <w:b w:val="0"/>
                <w:sz w:val="20"/>
              </w:rPr>
              <w:t>CC BY-NC-ND 4.0</w:t>
            </w:r>
          </w:p>
        </w:tc>
        <w:tc>
          <w:tcPr>
            <w:tcW w:type="dxa" w:w="1656"/>
          </w:tcPr>
          <w:p>
            <w:r>
              <w:rPr>
                <w:b w:val="0"/>
                <w:sz w:val="20"/>
              </w:rPr>
              <w:t>Não</w:t>
            </w:r>
          </w:p>
        </w:tc>
        <w:tc>
          <w:tcPr>
            <w:tcW w:type="dxa" w:w="2376"/>
          </w:tcPr>
          <w:p>
            <w:r>
              <w:rPr>
                <w:b w:val="0"/>
                <w:sz w:val="20"/>
              </w:rPr>
              <w:t>Não</w:t>
            </w:r>
          </w:p>
        </w:tc>
        <w:tc>
          <w:tcPr>
            <w:tcW w:type="dxa" w:w="10728"/>
          </w:tcPr>
          <w:p>
            <w:r>
              <w:rPr>
                <w:b w:val="0"/>
                <w:sz w:val="20"/>
              </w:rPr>
              <w:t>BY + NC + ND. Uso não comercial, com atribuição, e apenas compartilhamento do material não adaptado.</w:t>
            </w:r>
          </w:p>
        </w:tc>
      </w:tr>
    </w:tbl>
    <w:p>
      <w:r>
        <w:br w:type="page"/>
      </w:r>
      <w:pPr>
        <w:pStyle w:val="Heading3"/>
        <w:keepNext/>
        <w:pageBreakBefore/>
      </w:pPr>
      <w:r>
        <w:rPr/>
        <w:t>3.2.2 Quais delas aparecem nos dados que estudaremos?</w:t>
      </w:r>
    </w:p>
    <w:p>
      <w:pPr/>
      <w:r>
        <w:t>Nem todas as fontes da aula declaram a licença no mesmo lugar, e o nível da declaração importa. O quadro antecipa os casos que serão demonstrados com evidências no Explorador da Aula 1.</w:t>
      </w:r>
    </w:p>
    <w:tbl>
      <w:tblPr>
        <w:tblStyle w:val="TableGrid"/>
        <w:tblW w:type="auto" w:w="0"/>
        <w:tblLayout w:type="fixed"/>
        <w:tblLook w:firstColumn="1" w:firstRow="1" w:lastColumn="0" w:lastRow="0" w:noHBand="0" w:noVBand="1" w:val="04A0"/>
      </w:tblPr>
      <w:tblGrid>
        <w:gridCol w:w="4445"/>
        <w:gridCol w:w="4445"/>
        <w:gridCol w:w="4445"/>
        <w:gridCol w:w="4445"/>
      </w:tblGrid>
      <w:tr>
        <w:trPr>
          <w:tblHeader w:val="true"/>
          <w:cantSplit/>
        </w:trPr>
        <w:tc>
          <w:tcPr>
            <w:tcW w:type="dxa" w:w="3600"/>
            <w:tcMar>
              <w:top w:w="60" w:type="dxa"/>
              <w:start w:w="80" w:type="dxa"/>
              <w:bottom w:w="60" w:type="dxa"/>
              <w:end w:w="80" w:type="dxa"/>
            </w:tcMar>
            <w:shd w:fill="15566D"/>
          </w:tcPr>
          <w:p>
            <w:pPr>
              <w:spacing w:after="0" w:before="0" w:line="240" w:lineRule="auto"/>
            </w:pPr>
            <w:r>
              <w:rPr>
                <w:rFonts w:ascii="Aptos" w:hAnsi="Aptos"/>
                <w:b/>
                <w:color w:val="FFFFFF"/>
                <w:sz w:val="20"/>
              </w:rPr>
              <w:t>Fonte/produto da aula</w:t>
            </w:r>
          </w:p>
        </w:tc>
        <w:tc>
          <w:tcPr>
            <w:tcW w:type="dxa" w:w="3888"/>
            <w:tcMar>
              <w:top w:w="60" w:type="dxa"/>
              <w:start w:w="80" w:type="dxa"/>
              <w:bottom w:w="60" w:type="dxa"/>
              <w:end w:w="80" w:type="dxa"/>
            </w:tcMar>
            <w:shd w:fill="15566D"/>
          </w:tcPr>
          <w:p>
            <w:pPr>
              <w:spacing w:after="0" w:before="0" w:line="240" w:lineRule="auto"/>
            </w:pPr>
            <w:r>
              <w:rPr>
                <w:rFonts w:ascii="Aptos" w:hAnsi="Aptos"/>
                <w:b/>
                <w:color w:val="FFFFFF"/>
                <w:sz w:val="20"/>
              </w:rPr>
              <w:t>Licença/declaração observada</w:t>
            </w:r>
          </w:p>
        </w:tc>
        <w:tc>
          <w:tcPr>
            <w:tcW w:type="dxa" w:w="6336"/>
            <w:tcMar>
              <w:top w:w="60" w:type="dxa"/>
              <w:start w:w="80" w:type="dxa"/>
              <w:bottom w:w="60" w:type="dxa"/>
              <w:end w:w="80" w:type="dxa"/>
            </w:tcMar>
            <w:shd w:fill="15566D"/>
          </w:tcPr>
          <w:p>
            <w:pPr>
              <w:spacing w:after="0" w:before="0" w:line="240" w:lineRule="auto"/>
            </w:pPr>
            <w:r>
              <w:rPr>
                <w:rFonts w:ascii="Aptos" w:hAnsi="Aptos"/>
                <w:b/>
                <w:color w:val="FFFFFF"/>
                <w:sz w:val="20"/>
              </w:rPr>
              <w:t>Onde verificar neste caso</w:t>
            </w:r>
          </w:p>
        </w:tc>
        <w:tc>
          <w:tcPr>
            <w:tcW w:type="dxa" w:w="3168"/>
            <w:tcMar>
              <w:top w:w="60" w:type="dxa"/>
              <w:start w:w="80" w:type="dxa"/>
              <w:bottom w:w="60" w:type="dxa"/>
              <w:end w:w="80" w:type="dxa"/>
            </w:tcMar>
            <w:shd w:fill="15566D"/>
          </w:tcPr>
          <w:p>
            <w:pPr>
              <w:spacing w:after="0" w:before="0" w:line="240" w:lineRule="auto"/>
            </w:pPr>
            <w:r>
              <w:rPr>
                <w:rFonts w:ascii="Aptos" w:hAnsi="Aptos"/>
                <w:b/>
                <w:color w:val="FFFFFF"/>
                <w:sz w:val="20"/>
              </w:rPr>
              <w:t>Nível da declaração</w:t>
            </w:r>
          </w:p>
        </w:tc>
      </w:tr>
      <w:tr>
        <w:trPr>
          <w:cantSplit/>
        </w:trPr>
        <w:tc>
          <w:tcPr>
            <w:tcW w:type="dxa" w:w="3600"/>
            <w:tcMar>
              <w:top w:w="60" w:type="dxa"/>
              <w:start w:w="80" w:type="dxa"/>
              <w:bottom w:w="60" w:type="dxa"/>
              <w:end w:w="80" w:type="dxa"/>
            </w:tcMar>
          </w:tcPr>
          <w:p>
            <w:pPr>
              <w:spacing w:after="0" w:before="0" w:line="240" w:lineRule="auto"/>
            </w:pPr>
            <w:r>
              <w:rPr>
                <w:rFonts w:ascii="Aptos" w:hAnsi="Aptos"/>
                <w:b w:val="0"/>
                <w:color w:val="1F2933"/>
                <w:sz w:val="20"/>
              </w:rPr>
              <w:t>speciesLink — dados textuais</w:t>
            </w:r>
          </w:p>
        </w:tc>
        <w:tc>
          <w:tcPr>
            <w:tcW w:type="dxa" w:w="3888"/>
            <w:tcMar>
              <w:top w:w="60" w:type="dxa"/>
              <w:start w:w="80" w:type="dxa"/>
              <w:bottom w:w="60" w:type="dxa"/>
              <w:end w:w="80" w:type="dxa"/>
            </w:tcMar>
          </w:tcPr>
          <w:p>
            <w:pPr>
              <w:spacing w:after="0" w:before="0" w:line="240" w:lineRule="auto"/>
            </w:pPr>
            <w:r>
              <w:rPr>
                <w:rFonts w:ascii="Aptos" w:hAnsi="Aptos"/>
                <w:b w:val="0"/>
                <w:color w:val="1F2933"/>
                <w:sz w:val="20"/>
              </w:rPr>
              <w:t>CC BY 4.0 na política geral da rede</w:t>
            </w:r>
          </w:p>
        </w:tc>
        <w:tc>
          <w:tcPr>
            <w:tcW w:type="dxa" w:w="6336"/>
            <w:tcMar>
              <w:top w:w="60" w:type="dxa"/>
              <w:start w:w="80" w:type="dxa"/>
              <w:bottom w:w="60" w:type="dxa"/>
              <w:end w:w="80" w:type="dxa"/>
            </w:tcMar>
          </w:tcPr>
          <w:p>
            <w:pPr>
              <w:spacing w:after="0" w:before="0" w:line="240" w:lineRule="auto"/>
            </w:pPr>
            <w:r>
              <w:rPr>
                <w:rFonts w:ascii="Aptos" w:hAnsi="Aptos"/>
                <w:b w:val="0"/>
                <w:color w:val="1F2933"/>
                <w:sz w:val="20"/>
              </w:rPr>
              <w:t>Política oficial de compartilhamento; conferir também a coleção provedora</w:t>
            </w:r>
          </w:p>
        </w:tc>
        <w:tc>
          <w:tcPr>
            <w:tcW w:type="dxa" w:w="3168"/>
            <w:tcMar>
              <w:top w:w="60" w:type="dxa"/>
              <w:start w:w="80" w:type="dxa"/>
              <w:bottom w:w="60" w:type="dxa"/>
              <w:end w:w="80" w:type="dxa"/>
            </w:tcMar>
          </w:tcPr>
          <w:p>
            <w:pPr>
              <w:spacing w:after="0" w:before="0" w:line="240" w:lineRule="auto"/>
            </w:pPr>
            <w:r>
              <w:rPr>
                <w:rFonts w:ascii="Aptos" w:hAnsi="Aptos"/>
                <w:b w:val="0"/>
                <w:color w:val="1F2933"/>
                <w:sz w:val="20"/>
              </w:rPr>
              <w:t>Rede/portal e coleção</w:t>
            </w:r>
          </w:p>
        </w:tc>
      </w:tr>
      <w:tr>
        <w:trPr>
          <w:cantSplit/>
        </w:trPr>
        <w:tc>
          <w:tcPr>
            <w:tcW w:type="dxa" w:w="3600"/>
            <w:tcMar>
              <w:top w:w="60" w:type="dxa"/>
              <w:start w:w="80" w:type="dxa"/>
              <w:bottom w:w="60" w:type="dxa"/>
              <w:end w:w="80" w:type="dxa"/>
            </w:tcMar>
          </w:tcPr>
          <w:p>
            <w:pPr>
              <w:spacing w:after="0" w:before="0" w:line="240" w:lineRule="auto"/>
            </w:pPr>
            <w:r>
              <w:rPr>
                <w:rFonts w:ascii="Aptos" w:hAnsi="Aptos"/>
                <w:b w:val="0"/>
                <w:color w:val="1F2933"/>
                <w:sz w:val="20"/>
              </w:rPr>
              <w:t>speciesLink — imagens</w:t>
            </w:r>
          </w:p>
        </w:tc>
        <w:tc>
          <w:tcPr>
            <w:tcW w:type="dxa" w:w="3888"/>
            <w:tcMar>
              <w:top w:w="60" w:type="dxa"/>
              <w:start w:w="80" w:type="dxa"/>
              <w:bottom w:w="60" w:type="dxa"/>
              <w:end w:w="80" w:type="dxa"/>
            </w:tcMar>
          </w:tcPr>
          <w:p>
            <w:pPr>
              <w:spacing w:after="0" w:before="0" w:line="240" w:lineRule="auto"/>
            </w:pPr>
            <w:r>
              <w:rPr>
                <w:rFonts w:ascii="Aptos" w:hAnsi="Aptos"/>
                <w:b w:val="0"/>
                <w:color w:val="1F2933"/>
                <w:sz w:val="20"/>
              </w:rPr>
              <w:t>CC BY-SA 4.0 na política geral da rede</w:t>
            </w:r>
          </w:p>
        </w:tc>
        <w:tc>
          <w:tcPr>
            <w:tcW w:type="dxa" w:w="6336"/>
            <w:tcMar>
              <w:top w:w="60" w:type="dxa"/>
              <w:start w:w="80" w:type="dxa"/>
              <w:bottom w:w="60" w:type="dxa"/>
              <w:end w:w="80" w:type="dxa"/>
            </w:tcMar>
          </w:tcPr>
          <w:p>
            <w:pPr>
              <w:spacing w:after="0" w:before="0" w:line="240" w:lineRule="auto"/>
            </w:pPr>
            <w:r>
              <w:rPr>
                <w:rFonts w:ascii="Aptos" w:hAnsi="Aptos"/>
                <w:b w:val="0"/>
                <w:color w:val="1F2933"/>
                <w:sz w:val="20"/>
              </w:rPr>
              <w:t>Política oficial de compartilhamento; conferir condições específicas da coleção/mídia</w:t>
            </w:r>
          </w:p>
        </w:tc>
        <w:tc>
          <w:tcPr>
            <w:tcW w:type="dxa" w:w="3168"/>
            <w:tcMar>
              <w:top w:w="60" w:type="dxa"/>
              <w:start w:w="80" w:type="dxa"/>
              <w:bottom w:w="60" w:type="dxa"/>
              <w:end w:w="80" w:type="dxa"/>
            </w:tcMar>
          </w:tcPr>
          <w:p>
            <w:pPr>
              <w:spacing w:after="0" w:before="0" w:line="240" w:lineRule="auto"/>
            </w:pPr>
            <w:r>
              <w:rPr>
                <w:rFonts w:ascii="Aptos" w:hAnsi="Aptos"/>
                <w:b w:val="0"/>
                <w:color w:val="1F2933"/>
                <w:sz w:val="20"/>
              </w:rPr>
              <w:t>Rede/portal, coleção e mídia</w:t>
            </w:r>
          </w:p>
        </w:tc>
      </w:tr>
      <w:tr>
        <w:trPr>
          <w:cantSplit/>
        </w:trPr>
        <w:tc>
          <w:tcPr>
            <w:tcW w:type="dxa" w:w="3600"/>
            <w:tcMar>
              <w:top w:w="60" w:type="dxa"/>
              <w:start w:w="80" w:type="dxa"/>
              <w:bottom w:w="60" w:type="dxa"/>
              <w:end w:w="80" w:type="dxa"/>
            </w:tcMar>
          </w:tcPr>
          <w:p>
            <w:pPr>
              <w:spacing w:after="0" w:before="0" w:line="240" w:lineRule="auto"/>
            </w:pPr>
            <w:r>
              <w:rPr>
                <w:rFonts w:ascii="Aptos" w:hAnsi="Aptos"/>
                <w:b w:val="0"/>
                <w:color w:val="1F2933"/>
                <w:sz w:val="20"/>
              </w:rPr>
              <w:t>JABOT — CSV do portal</w:t>
            </w:r>
          </w:p>
        </w:tc>
        <w:tc>
          <w:tcPr>
            <w:tcW w:type="dxa" w:w="3888"/>
            <w:tcMar>
              <w:top w:w="60" w:type="dxa"/>
              <w:start w:w="80" w:type="dxa"/>
              <w:bottom w:w="60" w:type="dxa"/>
              <w:end w:w="80" w:type="dxa"/>
            </w:tcMar>
          </w:tcPr>
          <w:p>
            <w:pPr>
              <w:spacing w:after="0" w:before="0" w:line="240" w:lineRule="auto"/>
            </w:pPr>
            <w:r>
              <w:rPr>
                <w:rFonts w:ascii="Aptos" w:hAnsi="Aptos"/>
                <w:b w:val="0"/>
                <w:color w:val="1F2933"/>
                <w:sz w:val="20"/>
              </w:rPr>
              <w:t>“Creative Commons” (declaração genérica)</w:t>
            </w:r>
          </w:p>
        </w:tc>
        <w:tc>
          <w:tcPr>
            <w:tcW w:type="dxa" w:w="6336"/>
            <w:tcMar>
              <w:top w:w="60" w:type="dxa"/>
              <w:start w:w="80" w:type="dxa"/>
              <w:bottom w:w="60" w:type="dxa"/>
              <w:end w:w="80" w:type="dxa"/>
            </w:tcMar>
          </w:tcPr>
          <w:p>
            <w:pPr>
              <w:spacing w:after="0" w:before="0" w:line="240" w:lineRule="auto"/>
            </w:pPr>
            <w:r>
              <w:rPr>
                <w:rFonts w:ascii="Aptos" w:hAnsi="Aptos"/>
                <w:b w:val="0"/>
                <w:color w:val="1F2933"/>
                <w:sz w:val="20"/>
              </w:rPr>
              <w:t>Campo right do CSV; não identifica modalidade e versão suficientes</w:t>
            </w:r>
          </w:p>
        </w:tc>
        <w:tc>
          <w:tcPr>
            <w:tcW w:type="dxa" w:w="3168"/>
            <w:tcMar>
              <w:top w:w="60" w:type="dxa"/>
              <w:start w:w="80" w:type="dxa"/>
              <w:bottom w:w="60" w:type="dxa"/>
              <w:end w:w="80" w:type="dxa"/>
            </w:tcMar>
          </w:tcPr>
          <w:p>
            <w:pPr>
              <w:spacing w:after="0" w:before="0" w:line="240" w:lineRule="auto"/>
            </w:pPr>
            <w:r>
              <w:rPr>
                <w:rFonts w:ascii="Aptos" w:hAnsi="Aptos"/>
                <w:b w:val="0"/>
                <w:color w:val="1F2933"/>
                <w:sz w:val="20"/>
              </w:rPr>
              <w:t>Arquivo/registro exportado</w:t>
            </w:r>
          </w:p>
        </w:tc>
      </w:tr>
      <w:tr>
        <w:trPr>
          <w:cantSplit/>
        </w:trPr>
        <w:tc>
          <w:tcPr>
            <w:tcW w:type="dxa" w:w="3600"/>
            <w:tcMar>
              <w:top w:w="60" w:type="dxa"/>
              <w:start w:w="80" w:type="dxa"/>
              <w:bottom w:w="60" w:type="dxa"/>
              <w:end w:w="80" w:type="dxa"/>
            </w:tcMar>
          </w:tcPr>
          <w:p>
            <w:pPr>
              <w:spacing w:after="0" w:before="0" w:line="240" w:lineRule="auto"/>
            </w:pPr>
            <w:r>
              <w:rPr>
                <w:rFonts w:ascii="Aptos" w:hAnsi="Aptos"/>
                <w:b w:val="0"/>
                <w:color w:val="1F2933"/>
                <w:sz w:val="20"/>
              </w:rPr>
              <w:t>IPT JABOT — BHCB v1.81</w:t>
            </w:r>
          </w:p>
        </w:tc>
        <w:tc>
          <w:tcPr>
            <w:tcW w:type="dxa" w:w="3888"/>
            <w:tcMar>
              <w:top w:w="60" w:type="dxa"/>
              <w:start w:w="80" w:type="dxa"/>
              <w:bottom w:w="60" w:type="dxa"/>
              <w:end w:w="80" w:type="dxa"/>
            </w:tcMar>
          </w:tcPr>
          <w:p>
            <w:pPr>
              <w:spacing w:after="0" w:before="0" w:line="240" w:lineRule="auto"/>
            </w:pPr>
            <w:r>
              <w:rPr>
                <w:rFonts w:ascii="Aptos" w:hAnsi="Aptos"/>
                <w:b w:val="0"/>
                <w:color w:val="1F2933"/>
                <w:sz w:val="20"/>
              </w:rPr>
              <w:t>CC BY 4.0</w:t>
            </w:r>
          </w:p>
        </w:tc>
        <w:tc>
          <w:tcPr>
            <w:tcW w:type="dxa" w:w="6336"/>
            <w:tcMar>
              <w:top w:w="60" w:type="dxa"/>
              <w:start w:w="80" w:type="dxa"/>
              <w:bottom w:w="60" w:type="dxa"/>
              <w:end w:w="80" w:type="dxa"/>
            </w:tcMar>
          </w:tcPr>
          <w:p>
            <w:pPr>
              <w:spacing w:after="0" w:before="0" w:line="240" w:lineRule="auto"/>
            </w:pPr>
            <w:r>
              <w:rPr>
                <w:rFonts w:ascii="Aptos" w:hAnsi="Aptos"/>
                <w:b w:val="0"/>
                <w:color w:val="1F2933"/>
                <w:sz w:val="20"/>
              </w:rPr>
              <w:t>eml.xml, em &lt;intellectualRights&gt;; occurrence.txt também possui license/rightsHolder</w:t>
            </w:r>
          </w:p>
        </w:tc>
        <w:tc>
          <w:tcPr>
            <w:tcW w:type="dxa" w:w="3168"/>
            <w:tcMar>
              <w:top w:w="60" w:type="dxa"/>
              <w:start w:w="80" w:type="dxa"/>
              <w:bottom w:w="60" w:type="dxa"/>
              <w:end w:w="80" w:type="dxa"/>
            </w:tcMar>
          </w:tcPr>
          <w:p>
            <w:pPr>
              <w:spacing w:after="0" w:before="0" w:line="240" w:lineRule="auto"/>
            </w:pPr>
            <w:r>
              <w:rPr>
                <w:rFonts w:ascii="Aptos" w:hAnsi="Aptos"/>
                <w:b w:val="0"/>
                <w:color w:val="1F2933"/>
                <w:sz w:val="20"/>
              </w:rPr>
              <w:t>Dataset e registro</w:t>
            </w:r>
          </w:p>
        </w:tc>
      </w:tr>
      <w:tr>
        <w:trPr>
          <w:cantSplit/>
        </w:trPr>
        <w:tc>
          <w:tcPr>
            <w:tcW w:type="dxa" w:w="3600"/>
            <w:tcMar>
              <w:top w:w="60" w:type="dxa"/>
              <w:start w:w="80" w:type="dxa"/>
              <w:bottom w:w="60" w:type="dxa"/>
              <w:end w:w="80" w:type="dxa"/>
            </w:tcMar>
          </w:tcPr>
          <w:p>
            <w:pPr>
              <w:spacing w:after="0" w:before="0" w:line="240" w:lineRule="auto"/>
            </w:pPr>
            <w:r>
              <w:rPr>
                <w:rFonts w:ascii="Aptos" w:hAnsi="Aptos"/>
                <w:b w:val="0"/>
                <w:color w:val="1F2933"/>
                <w:sz w:val="20"/>
              </w:rPr>
              <w:t>Reflora — XLSX do portal</w:t>
            </w:r>
          </w:p>
        </w:tc>
        <w:tc>
          <w:tcPr>
            <w:tcW w:type="dxa" w:w="3888"/>
            <w:tcMar>
              <w:top w:w="60" w:type="dxa"/>
              <w:start w:w="80" w:type="dxa"/>
              <w:bottom w:w="60" w:type="dxa"/>
              <w:end w:w="80" w:type="dxa"/>
            </w:tcMar>
          </w:tcPr>
          <w:p>
            <w:pPr>
              <w:spacing w:after="0" w:before="0" w:line="240" w:lineRule="auto"/>
            </w:pPr>
            <w:r>
              <w:rPr>
                <w:rFonts w:ascii="Aptos" w:hAnsi="Aptos"/>
                <w:b w:val="0"/>
                <w:color w:val="1F2933"/>
                <w:sz w:val="20"/>
              </w:rPr>
              <w:t>Sem licença específica identificável no XLSX fornecido</w:t>
            </w:r>
          </w:p>
        </w:tc>
        <w:tc>
          <w:tcPr>
            <w:tcW w:type="dxa" w:w="6336"/>
            <w:tcMar>
              <w:top w:w="60" w:type="dxa"/>
              <w:start w:w="80" w:type="dxa"/>
              <w:bottom w:w="60" w:type="dxa"/>
              <w:end w:w="80" w:type="dxa"/>
            </w:tcMar>
          </w:tcPr>
          <w:p>
            <w:pPr>
              <w:spacing w:after="0" w:before="0" w:line="240" w:lineRule="auto"/>
            </w:pPr>
            <w:r>
              <w:rPr>
                <w:rFonts w:ascii="Aptos" w:hAnsi="Aptos"/>
                <w:b w:val="0"/>
                <w:color w:val="1F2933"/>
                <w:sz w:val="20"/>
              </w:rPr>
              <w:t>Consultar metadados/página do produto correspondente</w:t>
            </w:r>
          </w:p>
        </w:tc>
        <w:tc>
          <w:tcPr>
            <w:tcW w:type="dxa" w:w="3168"/>
            <w:tcMar>
              <w:top w:w="60" w:type="dxa"/>
              <w:start w:w="80" w:type="dxa"/>
              <w:bottom w:w="60" w:type="dxa"/>
              <w:end w:w="80" w:type="dxa"/>
            </w:tcMar>
          </w:tcPr>
          <w:p>
            <w:pPr>
              <w:spacing w:after="0" w:before="0" w:line="240" w:lineRule="auto"/>
            </w:pPr>
            <w:r>
              <w:rPr>
                <w:rFonts w:ascii="Aptos" w:hAnsi="Aptos"/>
                <w:b w:val="0"/>
                <w:color w:val="1F2933"/>
                <w:sz w:val="20"/>
              </w:rPr>
              <w:t>Produto exportado / portal</w:t>
            </w:r>
          </w:p>
        </w:tc>
      </w:tr>
      <w:tr>
        <w:trPr>
          <w:cantSplit/>
        </w:trPr>
        <w:tc>
          <w:tcPr>
            <w:tcW w:type="dxa" w:w="3600"/>
            <w:tcMar>
              <w:top w:w="60" w:type="dxa"/>
              <w:start w:w="80" w:type="dxa"/>
              <w:bottom w:w="60" w:type="dxa"/>
              <w:end w:w="80" w:type="dxa"/>
            </w:tcMar>
          </w:tcPr>
          <w:p>
            <w:pPr>
              <w:spacing w:after="0" w:before="0" w:line="240" w:lineRule="auto"/>
            </w:pPr>
            <w:r>
              <w:rPr>
                <w:rFonts w:ascii="Aptos" w:hAnsi="Aptos"/>
                <w:b w:val="0"/>
                <w:color w:val="1F2933"/>
                <w:sz w:val="20"/>
              </w:rPr>
              <w:t>IPT Reflora — CESJ v1.163</w:t>
            </w:r>
          </w:p>
        </w:tc>
        <w:tc>
          <w:tcPr>
            <w:tcW w:type="dxa" w:w="3888"/>
            <w:tcMar>
              <w:top w:w="60" w:type="dxa"/>
              <w:start w:w="80" w:type="dxa"/>
              <w:bottom w:w="60" w:type="dxa"/>
              <w:end w:w="80" w:type="dxa"/>
            </w:tcMar>
          </w:tcPr>
          <w:p>
            <w:pPr>
              <w:spacing w:after="0" w:before="0" w:line="240" w:lineRule="auto"/>
            </w:pPr>
            <w:r>
              <w:rPr>
                <w:rFonts w:ascii="Aptos" w:hAnsi="Aptos"/>
                <w:b w:val="0"/>
                <w:color w:val="1F2933"/>
                <w:sz w:val="20"/>
              </w:rPr>
              <w:t>CC BY 4.0</w:t>
            </w:r>
          </w:p>
        </w:tc>
        <w:tc>
          <w:tcPr>
            <w:tcW w:type="dxa" w:w="6336"/>
            <w:tcMar>
              <w:top w:w="60" w:type="dxa"/>
              <w:start w:w="80" w:type="dxa"/>
              <w:bottom w:w="60" w:type="dxa"/>
              <w:end w:w="80" w:type="dxa"/>
            </w:tcMar>
          </w:tcPr>
          <w:p>
            <w:pPr>
              <w:spacing w:after="0" w:before="0" w:line="240" w:lineRule="auto"/>
            </w:pPr>
            <w:r>
              <w:rPr>
                <w:rFonts w:ascii="Aptos" w:hAnsi="Aptos"/>
                <w:b w:val="0"/>
                <w:color w:val="1F2933"/>
                <w:sz w:val="20"/>
              </w:rPr>
              <w:t>eml.xml, em &lt;intellectualRights&gt;; mídia deve ser verificada separadamente</w:t>
            </w:r>
          </w:p>
        </w:tc>
        <w:tc>
          <w:tcPr>
            <w:tcW w:type="dxa" w:w="3168"/>
            <w:tcMar>
              <w:top w:w="60" w:type="dxa"/>
              <w:start w:w="80" w:type="dxa"/>
              <w:bottom w:w="60" w:type="dxa"/>
              <w:end w:w="80" w:type="dxa"/>
            </w:tcMar>
          </w:tcPr>
          <w:p>
            <w:pPr>
              <w:spacing w:after="0" w:before="0" w:line="240" w:lineRule="auto"/>
            </w:pPr>
            <w:r>
              <w:rPr>
                <w:rFonts w:ascii="Aptos" w:hAnsi="Aptos"/>
                <w:b w:val="0"/>
                <w:color w:val="1F2933"/>
                <w:sz w:val="20"/>
              </w:rPr>
              <w:t>Dataset; mídia em nível próprio</w:t>
            </w:r>
          </w:p>
        </w:tc>
      </w:tr>
      <w:tr>
        <w:trPr>
          <w:cantSplit/>
        </w:trPr>
        <w:tc>
          <w:tcPr>
            <w:tcW w:type="dxa" w:w="3600"/>
            <w:tcMar>
              <w:top w:w="60" w:type="dxa"/>
              <w:start w:w="80" w:type="dxa"/>
              <w:bottom w:w="60" w:type="dxa"/>
              <w:end w:w="80" w:type="dxa"/>
            </w:tcMar>
          </w:tcPr>
          <w:p>
            <w:pPr>
              <w:spacing w:after="0" w:before="0" w:line="240" w:lineRule="auto"/>
            </w:pPr>
            <w:r>
              <w:rPr>
                <w:rFonts w:ascii="Aptos" w:hAnsi="Aptos"/>
                <w:b w:val="0"/>
                <w:color w:val="1F2933"/>
                <w:sz w:val="20"/>
              </w:rPr>
              <w:t>Flora e Funga do Brasil — v393.428</w:t>
            </w:r>
          </w:p>
        </w:tc>
        <w:tc>
          <w:tcPr>
            <w:tcW w:type="dxa" w:w="3888"/>
            <w:tcMar>
              <w:top w:w="60" w:type="dxa"/>
              <w:start w:w="80" w:type="dxa"/>
              <w:bottom w:w="60" w:type="dxa"/>
              <w:end w:w="80" w:type="dxa"/>
            </w:tcMar>
          </w:tcPr>
          <w:p>
            <w:pPr>
              <w:spacing w:after="0" w:before="0" w:line="240" w:lineRule="auto"/>
            </w:pPr>
            <w:r>
              <w:rPr>
                <w:rFonts w:ascii="Aptos" w:hAnsi="Aptos"/>
                <w:b w:val="0"/>
                <w:color w:val="1F2933"/>
                <w:sz w:val="20"/>
              </w:rPr>
              <w:t>CC BY 4.0</w:t>
            </w:r>
          </w:p>
        </w:tc>
        <w:tc>
          <w:tcPr>
            <w:tcW w:type="dxa" w:w="6336"/>
            <w:tcMar>
              <w:top w:w="60" w:type="dxa"/>
              <w:start w:w="80" w:type="dxa"/>
              <w:bottom w:w="60" w:type="dxa"/>
              <w:end w:w="80" w:type="dxa"/>
            </w:tcMar>
          </w:tcPr>
          <w:p>
            <w:pPr>
              <w:spacing w:after="0" w:before="0" w:line="240" w:lineRule="auto"/>
            </w:pPr>
            <w:r>
              <w:rPr>
                <w:rFonts w:ascii="Aptos" w:hAnsi="Aptos"/>
                <w:b w:val="0"/>
                <w:color w:val="1F2933"/>
                <w:sz w:val="20"/>
              </w:rPr>
              <w:t>eml.xml do DwC-A</w:t>
            </w:r>
          </w:p>
        </w:tc>
        <w:tc>
          <w:tcPr>
            <w:tcW w:type="dxa" w:w="3168"/>
            <w:tcMar>
              <w:top w:w="60" w:type="dxa"/>
              <w:start w:w="80" w:type="dxa"/>
              <w:bottom w:w="60" w:type="dxa"/>
              <w:end w:w="80" w:type="dxa"/>
            </w:tcMar>
          </w:tcPr>
          <w:p>
            <w:pPr>
              <w:spacing w:after="0" w:before="0" w:line="240" w:lineRule="auto"/>
            </w:pPr>
            <w:r>
              <w:rPr>
                <w:rFonts w:ascii="Aptos" w:hAnsi="Aptos"/>
                <w:b w:val="0"/>
                <w:color w:val="1F2933"/>
                <w:sz w:val="20"/>
              </w:rPr>
              <w:t>Dataset publicado</w:t>
            </w:r>
          </w:p>
        </w:tc>
      </w:tr>
      <w:tr>
        <w:trPr>
          <w:cantSplit/>
        </w:trPr>
        <w:tc>
          <w:tcPr>
            <w:tcW w:type="dxa" w:w="3600"/>
            <w:tcMar>
              <w:top w:w="60" w:type="dxa"/>
              <w:start w:w="80" w:type="dxa"/>
              <w:bottom w:w="60" w:type="dxa"/>
              <w:end w:w="80" w:type="dxa"/>
            </w:tcMar>
          </w:tcPr>
          <w:p>
            <w:pPr>
              <w:spacing w:after="0" w:before="0" w:line="240" w:lineRule="auto"/>
            </w:pPr>
            <w:r>
              <w:rPr>
                <w:rFonts w:ascii="Aptos" w:hAnsi="Aptos"/>
                <w:b w:val="0"/>
                <w:color w:val="1F2933"/>
                <w:sz w:val="20"/>
              </w:rPr>
              <w:t>Catálogo Taxonômico da Fauna do Brasil — v1.53</w:t>
            </w:r>
          </w:p>
        </w:tc>
        <w:tc>
          <w:tcPr>
            <w:tcW w:type="dxa" w:w="3888"/>
            <w:tcMar>
              <w:top w:w="60" w:type="dxa"/>
              <w:start w:w="80" w:type="dxa"/>
              <w:bottom w:w="60" w:type="dxa"/>
              <w:end w:w="80" w:type="dxa"/>
            </w:tcMar>
          </w:tcPr>
          <w:p>
            <w:pPr>
              <w:spacing w:after="0" w:before="0" w:line="240" w:lineRule="auto"/>
            </w:pPr>
            <w:r>
              <w:rPr>
                <w:rFonts w:ascii="Aptos" w:hAnsi="Aptos"/>
                <w:b w:val="0"/>
                <w:color w:val="1F2933"/>
                <w:sz w:val="20"/>
              </w:rPr>
              <w:t>CC BY 4.0</w:t>
            </w:r>
          </w:p>
        </w:tc>
        <w:tc>
          <w:tcPr>
            <w:tcW w:type="dxa" w:w="6336"/>
            <w:tcMar>
              <w:top w:w="60" w:type="dxa"/>
              <w:start w:w="80" w:type="dxa"/>
              <w:bottom w:w="60" w:type="dxa"/>
              <w:end w:w="80" w:type="dxa"/>
            </w:tcMar>
          </w:tcPr>
          <w:p>
            <w:pPr>
              <w:spacing w:after="0" w:before="0" w:line="240" w:lineRule="auto"/>
            </w:pPr>
            <w:r>
              <w:rPr>
                <w:rFonts w:ascii="Aptos" w:hAnsi="Aptos"/>
                <w:b w:val="0"/>
                <w:color w:val="1F2933"/>
                <w:sz w:val="20"/>
              </w:rPr>
              <w:t>eml.xml do DwC-A</w:t>
            </w:r>
          </w:p>
        </w:tc>
        <w:tc>
          <w:tcPr>
            <w:tcW w:type="dxa" w:w="3168"/>
            <w:tcMar>
              <w:top w:w="60" w:type="dxa"/>
              <w:start w:w="80" w:type="dxa"/>
              <w:bottom w:w="60" w:type="dxa"/>
              <w:end w:w="80" w:type="dxa"/>
            </w:tcMar>
          </w:tcPr>
          <w:p>
            <w:pPr>
              <w:spacing w:after="0" w:before="0" w:line="240" w:lineRule="auto"/>
            </w:pPr>
            <w:r>
              <w:rPr>
                <w:rFonts w:ascii="Aptos" w:hAnsi="Aptos"/>
                <w:b w:val="0"/>
                <w:color w:val="1F2933"/>
                <w:sz w:val="20"/>
              </w:rPr>
              <w:t>Dataset publicado</w:t>
            </w:r>
          </w:p>
        </w:tc>
      </w:tr>
      <w:tr>
        <w:trPr>
          <w:cantSplit/>
        </w:trPr>
        <w:tc>
          <w:tcPr>
            <w:tcW w:type="dxa" w:w="3600"/>
            <w:tcMar>
              <w:top w:w="60" w:type="dxa"/>
              <w:start w:w="80" w:type="dxa"/>
              <w:bottom w:w="60" w:type="dxa"/>
              <w:end w:w="80" w:type="dxa"/>
            </w:tcMar>
          </w:tcPr>
          <w:p>
            <w:pPr>
              <w:spacing w:after="0" w:before="0" w:line="240" w:lineRule="auto"/>
            </w:pPr>
            <w:r>
              <w:rPr>
                <w:rFonts w:ascii="Aptos" w:hAnsi="Aptos"/>
                <w:b w:val="0"/>
                <w:color w:val="1F2933"/>
                <w:sz w:val="20"/>
              </w:rPr>
              <w:t>GBIF — Simple/DwC-A agregado</w:t>
            </w:r>
          </w:p>
        </w:tc>
        <w:tc>
          <w:tcPr>
            <w:tcW w:type="dxa" w:w="3888"/>
            <w:tcMar>
              <w:top w:w="60" w:type="dxa"/>
              <w:start w:w="80" w:type="dxa"/>
              <w:bottom w:w="60" w:type="dxa"/>
              <w:end w:w="80" w:type="dxa"/>
            </w:tcMar>
          </w:tcPr>
          <w:p>
            <w:pPr>
              <w:spacing w:after="0" w:before="0" w:line="240" w:lineRule="auto"/>
            </w:pPr>
            <w:r>
              <w:rPr>
                <w:rFonts w:ascii="Aptos" w:hAnsi="Aptos"/>
                <w:b w:val="0"/>
                <w:color w:val="1F2933"/>
                <w:sz w:val="20"/>
              </w:rPr>
              <w:t>Podem coexistir CC0, CC BY e CC BY-NC</w:t>
            </w:r>
          </w:p>
        </w:tc>
        <w:tc>
          <w:tcPr>
            <w:tcW w:type="dxa" w:w="6336"/>
            <w:tcMar>
              <w:top w:w="60" w:type="dxa"/>
              <w:start w:w="80" w:type="dxa"/>
              <w:bottom w:w="60" w:type="dxa"/>
              <w:end w:w="80" w:type="dxa"/>
            </w:tcMar>
          </w:tcPr>
          <w:p>
            <w:pPr>
              <w:spacing w:after="0" w:before="0" w:line="240" w:lineRule="auto"/>
            </w:pPr>
            <w:r>
              <w:rPr>
                <w:rFonts w:ascii="Aptos" w:hAnsi="Aptos"/>
                <w:b w:val="0"/>
                <w:color w:val="1F2933"/>
                <w:sz w:val="20"/>
              </w:rPr>
              <w:t>license nos registros; rights.txt/citations.txt e metadados dos datasets contribuintes</w:t>
            </w:r>
          </w:p>
        </w:tc>
        <w:tc>
          <w:tcPr>
            <w:tcW w:type="dxa" w:w="3168"/>
            <w:tcMar>
              <w:top w:w="60" w:type="dxa"/>
              <w:start w:w="80" w:type="dxa"/>
              <w:bottom w:w="60" w:type="dxa"/>
              <w:end w:w="80" w:type="dxa"/>
            </w:tcMar>
          </w:tcPr>
          <w:p>
            <w:pPr>
              <w:spacing w:after="0" w:before="0" w:line="240" w:lineRule="auto"/>
            </w:pPr>
            <w:r>
              <w:rPr>
                <w:rFonts w:ascii="Aptos" w:hAnsi="Aptos"/>
                <w:b w:val="0"/>
                <w:color w:val="1F2933"/>
                <w:sz w:val="20"/>
              </w:rPr>
              <w:t>Registro, dataset contribuinte e download agregado</w:t>
            </w:r>
          </w:p>
        </w:tc>
      </w:tr>
      <w:tr>
        <w:trPr>
          <w:cantSplit/>
        </w:trPr>
        <w:tc>
          <w:tcPr>
            <w:tcW w:type="dxa" w:w="3600"/>
            <w:tcMar>
              <w:top w:w="60" w:type="dxa"/>
              <w:start w:w="80" w:type="dxa"/>
              <w:bottom w:w="60" w:type="dxa"/>
              <w:end w:w="80" w:type="dxa"/>
            </w:tcMar>
          </w:tcPr>
          <w:p>
            <w:pPr>
              <w:spacing w:after="0" w:before="0" w:line="240" w:lineRule="auto"/>
            </w:pPr>
            <w:r>
              <w:rPr>
                <w:rFonts w:ascii="Aptos" w:hAnsi="Aptos"/>
                <w:b w:val="0"/>
                <w:color w:val="1F2933"/>
                <w:sz w:val="20"/>
              </w:rPr>
              <w:t>Mídias associadas</w:t>
            </w:r>
          </w:p>
        </w:tc>
        <w:tc>
          <w:tcPr>
            <w:tcW w:type="dxa" w:w="3888"/>
            <w:tcMar>
              <w:top w:w="60" w:type="dxa"/>
              <w:start w:w="80" w:type="dxa"/>
              <w:bottom w:w="60" w:type="dxa"/>
              <w:end w:w="80" w:type="dxa"/>
            </w:tcMar>
          </w:tcPr>
          <w:p>
            <w:pPr>
              <w:spacing w:after="0" w:before="0" w:line="240" w:lineRule="auto"/>
            </w:pPr>
            <w:r>
              <w:rPr>
                <w:rFonts w:ascii="Aptos" w:hAnsi="Aptos"/>
                <w:b w:val="0"/>
                <w:color w:val="1F2933"/>
                <w:sz w:val="20"/>
              </w:rPr>
              <w:t>Pode diferir da licença do dataset</w:t>
            </w:r>
          </w:p>
        </w:tc>
        <w:tc>
          <w:tcPr>
            <w:tcW w:type="dxa" w:w="6336"/>
            <w:tcMar>
              <w:top w:w="60" w:type="dxa"/>
              <w:start w:w="80" w:type="dxa"/>
              <w:bottom w:w="60" w:type="dxa"/>
              <w:end w:w="80" w:type="dxa"/>
            </w:tcMar>
          </w:tcPr>
          <w:p>
            <w:pPr>
              <w:spacing w:after="0" w:before="0" w:line="240" w:lineRule="auto"/>
            </w:pPr>
            <w:r>
              <w:rPr>
                <w:rFonts w:ascii="Aptos" w:hAnsi="Aptos"/>
                <w:b w:val="0"/>
                <w:color w:val="1F2933"/>
                <w:sz w:val="20"/>
              </w:rPr>
              <w:t>Metadados/campos específicos da mídia</w:t>
            </w:r>
          </w:p>
        </w:tc>
        <w:tc>
          <w:tcPr>
            <w:tcW w:type="dxa" w:w="3168"/>
            <w:tcMar>
              <w:top w:w="60" w:type="dxa"/>
              <w:start w:w="80" w:type="dxa"/>
              <w:bottom w:w="60" w:type="dxa"/>
              <w:end w:w="80" w:type="dxa"/>
            </w:tcMar>
          </w:tcPr>
          <w:p>
            <w:pPr>
              <w:spacing w:after="0" w:before="0" w:line="240" w:lineRule="auto"/>
            </w:pPr>
            <w:r>
              <w:rPr>
                <w:rFonts w:ascii="Aptos" w:hAnsi="Aptos"/>
                <w:b w:val="0"/>
                <w:color w:val="1F2933"/>
                <w:sz w:val="20"/>
              </w:rPr>
              <w:t>Objeto de mídia</w:t>
            </w:r>
          </w:p>
        </w:tc>
      </w:tr>
    </w:tbl>
    <w:p>
      <w:pPr>
        <w:pStyle w:val="IntenseQuote"/>
      </w:pPr>
      <w:r>
        <w:t>Regra de leitura — Não assuma que a licença do portal, da coleção, do dataset, do registro e da mídia é automaticamente a mesma. Registre a evidência e o nível em que ela foi declarada.</w:t>
      </w:r>
    </w:p>
    <w:p>
      <w:pPr>
        <w:pStyle w:val="Heading3"/>
        <w:keepNext/>
        <w:keepLines w:val="1"/>
      </w:pPr>
      <w:r>
        <w:rPr/>
        <w:t>3.2.3 Licenças aceitas para datasets compartilhados pelo GBIF</w:t>
      </w:r>
    </w:p>
    <w:p>
      <w:pPr>
        <w:pStyle w:val="ListBullet"/>
        <w:keepNext/>
      </w:pPr>
      <w:r>
        <w:t>No GBIF/IPT, datasets compartilhados devem usar CC0, CC BY ou CC BY-NC. O GBIF recomenda as versões 4.0 para CC BY e CC BY-NC; CC0 é tecnicamente uma renúncia.</w:t>
      </w:r>
    </w:p>
    <w:p>
      <w:pPr>
        <w:pStyle w:val="ListBullet"/>
        <w:keepNext/>
      </w:pPr>
      <w:r>
        <w:t>CC BY 4.0 no GBIF: permite reúso, inclusive comercial, com atribuição apropriada, indicação da licença e informação sobre mudanças.</w:t>
      </w:r>
    </w:p>
    <w:p>
      <w:pPr>
        <w:pStyle w:val="ListBullet"/>
        <w:keepNext/>
      </w:pPr>
      <w:r>
        <w:t>CC BY-NC 4.0 no GBIF: permite reúso com atribuição somente para finalidades não comerciais.</w:t>
      </w:r>
    </w:p>
    <w:p>
      <w:pPr>
        <w:pStyle w:val="ListBullet"/>
        <w:keepNext/>
      </w:pPr>
      <w:r>
        <w:t>Dataset, registro e mídia são camadas distintas. Uma fotografia pode ter licença diferente do registro de ocorrência.</w:t>
      </w:r>
    </w:p>
    <w:p>
      <w:pPr>
        <w:pStyle w:val="ListBullet"/>
        <w:keepLines/>
      </w:pPr>
      <w:r>
        <w:t>Em download combinado, preserve license, rights.txt, citations.txt e a página/metadados associados ao DOI do download; não generalize uma licença para todos os datasets de um portal.</w:t>
      </w:r>
    </w:p>
    <w:p>
      <w:pPr>
        <w:pStyle w:val="Heading2"/>
        <w:keepNext/>
        <w:pageBreakBefore/>
      </w:pPr>
      <w:r>
        <w:rPr/>
        <w:t>3.3 Nome científico, status taxonômico e nome aceito</w:t>
      </w:r>
    </w:p>
    <w:p>
      <w:pPr/>
      <w:r>
        <w:t xml:space="preserve">No Darwin Core, </w:t>
      </w:r>
      <w:r>
        <w:rPr>
          <w:b/>
        </w:rPr>
        <w:t>scientificName</w:t>
      </w:r>
      <w:r>
        <w:t xml:space="preserve"> registra o nome científico representado naquele registro ou contexto e não significa, por si só, que o nome seja taxonomicamente aceito. </w:t>
      </w:r>
      <w:r>
        <w:rPr>
          <w:b/>
        </w:rPr>
        <w:t>taxonomicStatus</w:t>
      </w:r>
      <w:r>
        <w:t xml:space="preserve"> informa o status do uso desse nome. Quando o </w:t>
      </w:r>
      <w:r>
        <w:rPr>
          <w:b/>
        </w:rPr>
        <w:t>scientificName</w:t>
      </w:r>
      <w:r>
        <w:t xml:space="preserve"> é tratado como sinônimo ou nome mal aplicado segundo a referência taxonômica adotada, </w:t>
      </w:r>
      <w:r>
        <w:rPr>
          <w:b/>
        </w:rPr>
        <w:t>acceptedNameUsage</w:t>
      </w:r>
      <w:r>
        <w:t xml:space="preserve"> pode registrar o nome atualmente aceito ou válido; </w:t>
      </w:r>
      <w:r>
        <w:rPr>
          <w:b/>
        </w:rPr>
        <w:t>acceptedNameUsageID</w:t>
      </w:r>
      <w:r>
        <w:t xml:space="preserve"> pode apontar para o identificador do táxon aceito.</w:t>
      </w:r>
    </w:p>
    <w:p>
      <w:pPr/>
      <w:r>
        <w:rPr>
          <w:b/>
        </w:rPr>
        <w:t xml:space="preserve">Exemplo real — Flora e Funga do Brasil, família Fabaceae. </w:t>
      </w:r>
      <w:r>
        <w:t>O mesmo táxon permite observar diretamente a diferença entre uma linha que representa o nome aceito e outra que representa um sinônimo.</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pPr>
            <w:r>
              <w:rPr>
                <w:b/>
                <w:sz w:val="24"/>
              </w:rPr>
              <w:t>Situação</w:t>
            </w:r>
          </w:p>
        </w:tc>
        <w:tc>
          <w:tcPr>
            <w:tcW w:type="dxa" w:w="4445"/>
            <w:shd w:fill="15566D"/>
            <w:tcMar>
              <w:top w:w="100" w:type="dxa"/>
              <w:start w:w="120" w:type="dxa"/>
              <w:bottom w:w="100" w:type="dxa"/>
              <w:end w:w="120" w:type="dxa"/>
            </w:tcMar>
            <w:vAlign w:val="center"/>
          </w:tcPr>
          <w:p>
            <w:pPr>
              <w:spacing w:before="0" w:after="0" w:line="240" w:lineRule="auto"/>
              <w:jc w:val="center"/>
            </w:pPr>
            <w:r>
              <w:rPr>
                <w:b/>
                <w:sz w:val="24"/>
              </w:rPr>
              <w:t>scientificName</w:t>
            </w:r>
          </w:p>
        </w:tc>
        <w:tc>
          <w:tcPr>
            <w:tcW w:type="dxa" w:w="4445"/>
            <w:shd w:fill="15566D"/>
            <w:tcMar>
              <w:top w:w="100" w:type="dxa"/>
              <w:start w:w="120" w:type="dxa"/>
              <w:bottom w:w="100" w:type="dxa"/>
              <w:end w:w="120" w:type="dxa"/>
            </w:tcMar>
            <w:vAlign w:val="center"/>
          </w:tcPr>
          <w:p>
            <w:pPr>
              <w:spacing w:before="0" w:after="0" w:line="240" w:lineRule="auto"/>
              <w:jc w:val="center"/>
            </w:pPr>
            <w:r>
              <w:rPr>
                <w:b/>
                <w:sz w:val="24"/>
              </w:rPr>
              <w:t>taxonomicStatus</w:t>
            </w:r>
          </w:p>
        </w:tc>
        <w:tc>
          <w:tcPr>
            <w:tcW w:type="dxa" w:w="4446"/>
            <w:shd w:fill="15566D"/>
            <w:tcMar>
              <w:top w:w="100" w:type="dxa"/>
              <w:start w:w="120" w:type="dxa"/>
              <w:bottom w:w="100" w:type="dxa"/>
              <w:end w:w="120" w:type="dxa"/>
            </w:tcMar>
            <w:vAlign w:val="center"/>
          </w:tcPr>
          <w:p>
            <w:pPr>
              <w:spacing w:before="0" w:after="0" w:line="240" w:lineRule="auto"/>
              <w:jc w:val="center"/>
            </w:pPr>
            <w:r>
              <w:rPr>
                <w:b/>
                <w:sz w:val="24"/>
              </w:rPr>
              <w:t>acceptedNameUsage</w:t>
            </w:r>
          </w:p>
        </w:tc>
      </w:tr>
      <w:tr>
        <w:trPr>
          <w:cantSplit/>
        </w:trPr>
        <w:tc>
          <w:tcPr>
            <w:tcW w:type="dxa" w:w="4445"/>
            <w:tcMar>
              <w:top w:w="100" w:type="dxa"/>
              <w:start w:w="120" w:type="dxa"/>
              <w:bottom w:w="100" w:type="dxa"/>
              <w:end w:w="120" w:type="dxa"/>
            </w:tcMar>
            <w:vAlign w:val="center"/>
          </w:tcPr>
          <w:p>
            <w:pPr>
              <w:spacing w:before="0" w:after="0" w:line="240" w:lineRule="auto"/>
            </w:pPr>
            <w:r>
              <w:rPr>
                <w:b w:val="0"/>
                <w:sz w:val="24"/>
              </w:rPr>
              <w:t>Nome aceito</w:t>
            </w:r>
          </w:p>
        </w:tc>
        <w:tc>
          <w:tcPr>
            <w:tcW w:type="dxa" w:w="4445"/>
            <w:tcMar>
              <w:top w:w="100" w:type="dxa"/>
              <w:start w:w="120" w:type="dxa"/>
              <w:bottom w:w="100" w:type="dxa"/>
              <w:end w:w="120" w:type="dxa"/>
            </w:tcMar>
            <w:vAlign w:val="center"/>
          </w:tcPr>
          <w:p>
            <w:pPr>
              <w:spacing w:before="0" w:after="0" w:line="240" w:lineRule="auto"/>
            </w:pPr>
            <w:r>
              <w:rPr>
                <w:b w:val="0"/>
                <w:sz w:val="24"/>
              </w:rPr>
              <w:t>Paubrasilia echinata (Lam.) Gagnon, H.C.Lima &amp; G.P.Lewis</w:t>
            </w:r>
          </w:p>
        </w:tc>
        <w:tc>
          <w:tcPr>
            <w:tcW w:type="dxa" w:w="4445"/>
            <w:tcMar>
              <w:top w:w="100" w:type="dxa"/>
              <w:start w:w="120" w:type="dxa"/>
              <w:bottom w:w="100" w:type="dxa"/>
              <w:end w:w="120" w:type="dxa"/>
            </w:tcMar>
            <w:vAlign w:val="center"/>
          </w:tcPr>
          <w:p>
            <w:pPr>
              <w:spacing w:before="0" w:after="0" w:line="240" w:lineRule="auto"/>
            </w:pPr>
            <w:r>
              <w:rPr>
                <w:b w:val="0"/>
                <w:sz w:val="24"/>
              </w:rPr>
              <w:t>accepted</w:t>
            </w:r>
          </w:p>
        </w:tc>
        <w:tc>
          <w:tcPr>
            <w:tcW w:type="dxa" w:w="4446"/>
            <w:tcMar>
              <w:top w:w="100" w:type="dxa"/>
              <w:start w:w="120" w:type="dxa"/>
              <w:bottom w:w="100" w:type="dxa"/>
              <w:end w:w="120" w:type="dxa"/>
            </w:tcMar>
            <w:vAlign w:val="center"/>
          </w:tcPr>
          <w:p>
            <w:pPr>
              <w:spacing w:before="0" w:after="0" w:line="240" w:lineRule="auto"/>
            </w:pPr>
            <w:r>
              <w:rPr>
                <w:b w:val="0"/>
                <w:sz w:val="24"/>
              </w:rPr>
              <w:t>—</w:t>
            </w:r>
          </w:p>
        </w:tc>
      </w:tr>
      <w:tr>
        <w:trPr>
          <w:cantSplit/>
        </w:trPr>
        <w:tc>
          <w:tcPr>
            <w:tcW w:type="dxa" w:w="4445"/>
            <w:tcMar>
              <w:top w:w="100" w:type="dxa"/>
              <w:start w:w="120" w:type="dxa"/>
              <w:bottom w:w="100" w:type="dxa"/>
              <w:end w:w="120" w:type="dxa"/>
            </w:tcMar>
            <w:vAlign w:val="center"/>
          </w:tcPr>
          <w:p>
            <w:pPr>
              <w:spacing w:before="0" w:after="0" w:line="240" w:lineRule="auto"/>
            </w:pPr>
            <w:r>
              <w:rPr>
                <w:b w:val="0"/>
                <w:sz w:val="24"/>
              </w:rPr>
              <w:t>Sinônimo</w:t>
            </w:r>
          </w:p>
        </w:tc>
        <w:tc>
          <w:tcPr>
            <w:tcW w:type="dxa" w:w="4445"/>
            <w:tcMar>
              <w:top w:w="100" w:type="dxa"/>
              <w:start w:w="120" w:type="dxa"/>
              <w:bottom w:w="100" w:type="dxa"/>
              <w:end w:w="120" w:type="dxa"/>
            </w:tcMar>
            <w:vAlign w:val="center"/>
          </w:tcPr>
          <w:p>
            <w:pPr>
              <w:spacing w:before="0" w:after="0" w:line="240" w:lineRule="auto"/>
            </w:pPr>
            <w:r>
              <w:rPr>
                <w:b w:val="0"/>
                <w:sz w:val="24"/>
              </w:rPr>
              <w:t>Caesalpinia echinata Lam.</w:t>
            </w:r>
          </w:p>
        </w:tc>
        <w:tc>
          <w:tcPr>
            <w:tcW w:type="dxa" w:w="4445"/>
            <w:tcMar>
              <w:top w:w="100" w:type="dxa"/>
              <w:start w:w="120" w:type="dxa"/>
              <w:bottom w:w="100" w:type="dxa"/>
              <w:end w:w="120" w:type="dxa"/>
            </w:tcMar>
            <w:vAlign w:val="center"/>
          </w:tcPr>
          <w:p>
            <w:pPr>
              <w:spacing w:before="0" w:after="0" w:line="240" w:lineRule="auto"/>
            </w:pPr>
            <w:r>
              <w:rPr>
                <w:b w:val="0"/>
                <w:sz w:val="24"/>
              </w:rPr>
              <w:t>synonym</w:t>
            </w:r>
          </w:p>
        </w:tc>
        <w:tc>
          <w:tcPr>
            <w:tcW w:type="dxa" w:w="4446"/>
            <w:tcMar>
              <w:top w:w="100" w:type="dxa"/>
              <w:start w:w="120" w:type="dxa"/>
              <w:bottom w:w="100" w:type="dxa"/>
              <w:end w:w="120" w:type="dxa"/>
            </w:tcMar>
            <w:vAlign w:val="center"/>
          </w:tcPr>
          <w:p>
            <w:pPr>
              <w:spacing w:before="0" w:after="0" w:line="240" w:lineRule="auto"/>
            </w:pPr>
            <w:r>
              <w:rPr>
                <w:b w:val="0"/>
                <w:sz w:val="24"/>
              </w:rPr>
              <w:t>Paubrasilia echinata (Lam.) Gagnon, H.C.Lima &amp; G.P.Lewis</w:t>
            </w:r>
          </w:p>
        </w:tc>
      </w:tr>
    </w:tbl>
    <w:p>
      <w:pPr/>
      <w:r>
        <w:rPr>
          <w:b/>
        </w:rPr>
        <w:t xml:space="preserve">Leitura da autoria — </w:t>
      </w:r>
      <w:r>
        <w:t xml:space="preserve">em </w:t>
      </w:r>
      <w:r>
        <w:rPr>
          <w:i/>
        </w:rPr>
        <w:t>Caesalpinia echinata</w:t>
      </w:r>
      <w:r>
        <w:t xml:space="preserve"> Lam., Lam. é o autor do nome original. Em </w:t>
      </w:r>
      <w:r>
        <w:rPr>
          <w:i/>
        </w:rPr>
        <w:t>Paubrasilia echinata</w:t>
      </w:r>
      <w:r>
        <w:t xml:space="preserve"> (Lam.) Gagnon, H.C.Lima &amp; G.P.Lewis, Lam. aparece entre parênteses porque o epíteto foi recombinado em outro gênero; Gagnon, H.C.Lima &amp; G.P.Lewis são os autores da nova combinação.</w:t>
      </w:r>
    </w:p>
    <w:p>
      <w:pPr/>
      <w:r>
        <w:rPr>
          <w:b/>
        </w:rPr>
        <w:t xml:space="preserve">Atenção ao vocabulário do GBIF Species List — </w:t>
      </w:r>
      <w:r>
        <w:t xml:space="preserve">nesse produto do GBIF, a coluna que informa o nome aceito chama-se </w:t>
      </w:r>
      <w:r>
        <w:rPr>
          <w:b/>
        </w:rPr>
        <w:t>acceptedScientificName</w:t>
      </w:r>
      <w:r>
        <w:t xml:space="preserve"> e é um campo do formato documentado pelo GBIF. No Darwin Core atual, o termo para o nome aceito é </w:t>
      </w:r>
      <w:r>
        <w:rPr>
          <w:b/>
        </w:rPr>
        <w:t>acceptedNameUsage</w:t>
      </w:r>
      <w:r>
        <w:t xml:space="preserve">. O antigo </w:t>
      </w:r>
      <w:r>
        <w:rPr>
          <w:b/>
        </w:rPr>
        <w:t>dwc:acceptedScientificName</w:t>
      </w:r>
      <w:r>
        <w:t xml:space="preserve"> está depreciado e foi substituído por </w:t>
      </w:r>
      <w:r>
        <w:rPr>
          <w:b/>
        </w:rPr>
        <w:t>acceptedNameUsage</w:t>
      </w:r>
      <w:r>
        <w:t xml:space="preserve">. Assim, faça a correspondência conceitual entre </w:t>
      </w:r>
      <w:r>
        <w:rPr>
          <w:b/>
        </w:rPr>
        <w:t>DwC acceptedNameUsage</w:t>
      </w:r>
      <w:r>
        <w:t xml:space="preserve"> e </w:t>
      </w:r>
      <w:r>
        <w:rPr>
          <w:b/>
        </w:rPr>
        <w:t>GBIF Species List acceptedScientificName</w:t>
      </w:r>
      <w:r>
        <w:t>, sem tratá-los como o mesmo termo técnico.</w:t>
      </w:r>
    </w:p>
    <w:p>
      <w:pPr>
        <w:pStyle w:val="Heading1"/>
        <w:keepNext/>
        <w:keepLines w:val="1"/>
        <w:pageBreakBefore w:val="1"/>
      </w:pPr>
      <w:r>
        <w:t>4. Repositórios e bases apresentados</w:t>
      </w:r>
    </w:p>
    <w:p>
      <w:pPr>
        <w:pStyle w:val="IntenseQuote"/>
      </w:pPr>
      <w:r>
        <w:t>DA TEORIA À EXPLORAÇÃO — Nos exemplos seguintes, observe não apenas os registros recuperados, mas também como cada fonte representa nomes científicos, documenta proveniência, informa condições de reúso e fornece evidências relacionadas aos princípios FAIR.</w:t>
      </w:r>
    </w:p>
    <w:p>
      <w:r>
        <w:t>Para manter a leitura contínua com o Explorador, as fontes que possuem exemplos locais são apresentadas primeiro e na mesma sequência do HTML. Depois do GBIF, SiBBr, Catalogue of Life, POWO e iNaturalist ampliam o panorama da aula como fontes complementares, sem interromper o percurso prático.</w:t>
      </w:r>
    </w:p>
    <w:p>
      <w:pPr>
        <w:pStyle w:val="Heading2"/>
        <w:keepNext/>
        <w:keepLines w:val="1"/>
        <w:pageBreakBefore/>
      </w:pPr>
      <w:r>
        <w:t>4.0 Mapa de classificação das bases</w:t>
      </w:r>
    </w:p>
    <w:p>
      <w:r>
        <w:t>Use este mapa antes de abrir os portais. A classificação indica a função predominante na aula; uma infraestrutura pode exercer mais de um papel.</w:t>
      </w:r>
    </w:p>
    <w:p>
      <w:pPr>
        <w:sectPr w:rsidR="00FC693F" w:rsidRPr="0006063C" w:rsidSect="00034616">
          <w:type w:val="nextPage"/>
          <w:headerReference w:type="default" r:id="rId9"/>
          <w:footerReference w:type="default" r:id="rId10"/>
          <w:pgSz w:w="19200" w:h="10800" w:orient="landscape"/>
          <w:pgMar w:top="595" w:right="709" w:bottom="539" w:left="709" w:header="198" w:footer="198" w:gutter="0"/>
          <w:cols w:space="720"/>
          <w:docGrid w:linePitch="360"/>
        </w:sectPr>
      </w:pPr>
    </w:p>
    <w:p>
      <w:pPr>
        <w:pStyle w:val="CaptionAula"/>
        <w:spacing w:after="80" w:before="80" w:line="252" w:lineRule="auto"/>
        <w:jc w:val="left"/>
        <w:keepNext/>
        <w:keepLines/>
      </w:pPr>
      <w:r>
        <w:t>Tabela 4. 4.0 Mapa de classificação das bases — início do percurso acompanhado no Explorador — Base, Classificação principal, Unidade predominante, Função na aula.</w:t>
      </w:r>
    </w:p>
    <w:tbl>
      <w:tblPr>
        <w:tblStyle w:val="TableGrid"/>
        <w:tblW w:type="dxa" w:w="17782"/>
        <w:jc w:val="center"/>
        <w:tblLook w:firstColumn="1" w:firstRow="1" w:lastColumn="0" w:lastRow="0" w:noHBand="0" w:noVBand="1" w:val="04A0"/>
        <w:tblLayout w:type="fixed"/>
      </w:tblPr>
      <w:tblGrid>
        <w:gridCol w:w="4445"/>
        <w:gridCol w:w="4445"/>
        <w:gridCol w:w="4445"/>
        <w:gridCol w:w="4446"/>
      </w:tblGrid>
      <w:tr>
        <w:trPr>
          <w:cantSplit/>
          <w:tblHeader w:val="true"/>
        </w:trPr>
        <w:tc>
          <w:tcPr>
            <w:tcW w:type="dxa" w:w="4445"/>
            <w:vAlign w:val="center"/>
            <w:shd w:fill="1F4E68"/>
            <w:shd w:fill="1F4E68"/>
          </w:tcPr>
          <w:p>
            <w:pPr>
              <w:spacing w:after="0" w:before="0" w:line="240" w:lineRule="auto"/>
              <w:keepNext/>
            </w:pPr>
            <w:r>
              <w:rPr>
                <w:rFonts w:ascii="Aptos" w:hAnsi="Aptos"/>
                <w:b/>
                <w:color w:val="FFFFFF"/>
                <w:sz w:val="24"/>
              </w:rPr>
              <w:t>Base</w:t>
            </w:r>
          </w:p>
        </w:tc>
        <w:tc>
          <w:tcPr>
            <w:tcW w:type="dxa" w:w="4445"/>
            <w:vAlign w:val="center"/>
            <w:shd w:fill="1F4E68"/>
            <w:shd w:fill="1F4E68"/>
          </w:tcPr>
          <w:p>
            <w:pPr>
              <w:spacing w:after="0" w:before="0" w:line="240" w:lineRule="auto"/>
              <w:keepNext/>
            </w:pPr>
            <w:r>
              <w:rPr>
                <w:rFonts w:ascii="Aptos" w:hAnsi="Aptos"/>
                <w:b/>
                <w:color w:val="FFFFFF"/>
                <w:sz w:val="24"/>
              </w:rPr>
              <w:t>Classificação principal</w:t>
            </w:r>
          </w:p>
        </w:tc>
        <w:tc>
          <w:tcPr>
            <w:tcW w:type="dxa" w:w="4445"/>
            <w:vAlign w:val="center"/>
            <w:shd w:fill="1F4E68"/>
            <w:shd w:fill="1F4E68"/>
          </w:tcPr>
          <w:p>
            <w:pPr>
              <w:spacing w:after="0" w:before="0" w:line="240" w:lineRule="auto"/>
              <w:keepNext/>
            </w:pPr>
            <w:r>
              <w:rPr>
                <w:rFonts w:ascii="Aptos" w:hAnsi="Aptos"/>
                <w:b/>
                <w:color w:val="FFFFFF"/>
                <w:sz w:val="24"/>
              </w:rPr>
              <w:t>Unidade predominante</w:t>
            </w:r>
          </w:p>
        </w:tc>
        <w:tc>
          <w:tcPr>
            <w:tcW w:type="dxa" w:w="4446"/>
            <w:vAlign w:val="center"/>
            <w:shd w:fill="1F4E68"/>
            <w:shd w:fill="1F4E68"/>
          </w:tcPr>
          <w:p>
            <w:pPr>
              <w:spacing w:after="0" w:before="0" w:line="240" w:lineRule="auto"/>
              <w:keepNext/>
            </w:pPr>
            <w:r>
              <w:rPr>
                <w:rFonts w:ascii="Aptos" w:hAnsi="Aptos"/>
                <w:b/>
                <w:color w:val="FFFFFF"/>
                <w:sz w:val="24"/>
              </w:rPr>
              <w:t>Função na aula</w:t>
            </w:r>
          </w:p>
        </w:tc>
      </w:tr>
      <w:tr>
        <w:trPr>
          <w:cantSplit/>
        </w:trPr>
        <w:tc>
          <w:tcPr>
            <w:tcW w:type="dxa" w:w="4445"/>
            <w:vAlign w:val="center"/>
          </w:tcPr>
          <w:p>
            <w:pPr>
              <w:spacing w:after="0" w:before="0" w:line="240" w:lineRule="auto"/>
              <w:keepNext/>
            </w:pPr>
            <w:r>
              <w:rPr>
                <w:rFonts w:ascii="Aptos" w:hAnsi="Aptos"/>
                <w:sz w:val="24"/>
              </w:rPr>
              <w:t>speciesLink</w:t>
            </w:r>
          </w:p>
        </w:tc>
        <w:tc>
          <w:tcPr>
            <w:tcW w:type="dxa" w:w="4445"/>
            <w:vAlign w:val="center"/>
          </w:tcPr>
          <w:p>
            <w:pPr>
              <w:spacing w:after="0" w:before="0" w:line="240" w:lineRule="auto"/>
              <w:keepNext/>
            </w:pPr>
            <w:r>
              <w:rPr>
                <w:rFonts w:ascii="Aptos" w:hAnsi="Aptos"/>
                <w:sz w:val="24"/>
              </w:rPr>
              <w:t>Agregador nacional de dados de coleções</w:t>
            </w:r>
          </w:p>
        </w:tc>
        <w:tc>
          <w:tcPr>
            <w:tcW w:type="dxa" w:w="4445"/>
            <w:vAlign w:val="center"/>
          </w:tcPr>
          <w:p>
            <w:pPr>
              <w:spacing w:after="0" w:before="0" w:line="240" w:lineRule="auto"/>
              <w:keepNext/>
            </w:pPr>
            <w:r>
              <w:rPr>
                <w:rFonts w:ascii="Aptos" w:hAnsi="Aptos"/>
                <w:sz w:val="24"/>
              </w:rPr>
              <w:t>Registro de ocorrência associado a uma coleção</w:t>
            </w:r>
          </w:p>
        </w:tc>
        <w:tc>
          <w:tcPr>
            <w:tcW w:type="dxa" w:w="4446"/>
            <w:vAlign w:val="center"/>
          </w:tcPr>
          <w:p>
            <w:pPr>
              <w:spacing w:after="0" w:before="0" w:line="240" w:lineRule="auto"/>
              <w:keepNext/>
            </w:pPr>
            <w:r>
              <w:rPr>
                <w:rFonts w:ascii="Aptos" w:hAnsi="Aptos"/>
                <w:sz w:val="24"/>
              </w:rPr>
              <w:t>Localizar e exportar espécimes provenientes de múltiplas coleções.</w:t>
            </w:r>
          </w:p>
        </w:tc>
      </w:tr>
      <w:tr>
        <w:trPr>
          <w:cantSplit/>
        </w:trPr>
        <w:tc>
          <w:tcPr>
            <w:tcW w:type="dxa" w:w="4445"/>
            <w:vAlign w:val="center"/>
          </w:tcPr>
          <w:p>
            <w:pPr>
              <w:spacing w:after="0" w:before="0" w:line="240" w:lineRule="auto"/>
              <w:keepNext/>
            </w:pPr>
            <w:r>
              <w:rPr>
                <w:rFonts w:ascii="Aptos" w:hAnsi="Aptos"/>
                <w:sz w:val="24"/>
              </w:rPr>
              <w:t>JABOT</w:t>
            </w:r>
          </w:p>
        </w:tc>
        <w:tc>
          <w:tcPr>
            <w:tcW w:type="dxa" w:w="4445"/>
            <w:vAlign w:val="center"/>
          </w:tcPr>
          <w:p>
            <w:pPr>
              <w:spacing w:after="0" w:before="0" w:line="240" w:lineRule="auto"/>
              <w:keepNext/>
            </w:pPr>
            <w:r>
              <w:rPr>
                <w:rFonts w:ascii="Aptos" w:hAnsi="Aptos"/>
                <w:sz w:val="24"/>
              </w:rPr>
              <w:t>Sistema de gestão e consulta de coleções</w:t>
            </w:r>
          </w:p>
        </w:tc>
        <w:tc>
          <w:tcPr>
            <w:tcW w:type="dxa" w:w="4445"/>
            <w:vAlign w:val="center"/>
          </w:tcPr>
          <w:p>
            <w:pPr>
              <w:spacing w:after="0" w:before="0" w:line="240" w:lineRule="auto"/>
              <w:keepNext/>
            </w:pPr>
            <w:r>
              <w:rPr>
                <w:rFonts w:ascii="Aptos" w:hAnsi="Aptos"/>
                <w:sz w:val="24"/>
              </w:rPr>
              <w:t>Item catalogado, exsicata ou registro curatorial</w:t>
            </w:r>
          </w:p>
        </w:tc>
        <w:tc>
          <w:tcPr>
            <w:tcW w:type="dxa" w:w="4446"/>
            <w:vAlign w:val="center"/>
          </w:tcPr>
          <w:p>
            <w:pPr>
              <w:spacing w:after="0" w:before="0" w:line="240" w:lineRule="auto"/>
              <w:keepNext/>
            </w:pPr>
            <w:r>
              <w:rPr>
                <w:rFonts w:ascii="Aptos" w:hAnsi="Aptos"/>
                <w:sz w:val="24"/>
              </w:rPr>
              <w:t>Consultar o acervo administrado no sistema e rastrear o herbário de origem.</w:t>
            </w:r>
          </w:p>
        </w:tc>
      </w:tr>
      <w:tr>
        <w:trPr>
          <w:cantSplit/>
        </w:trPr>
        <w:tc>
          <w:tcPr>
            <w:tcW w:type="dxa" w:w="4445"/>
            <w:vAlign w:val="center"/>
          </w:tcPr>
          <w:p>
            <w:pPr>
              <w:spacing w:after="0" w:before="0" w:line="240" w:lineRule="auto"/>
              <w:keepNext/>
            </w:pPr>
            <w:r>
              <w:rPr>
                <w:rFonts w:ascii="Aptos" w:hAnsi="Aptos"/>
                <w:sz w:val="24"/>
              </w:rPr>
              <w:t>Reflora</w:t>
            </w:r>
          </w:p>
        </w:tc>
        <w:tc>
          <w:tcPr>
            <w:tcW w:type="dxa" w:w="4445"/>
            <w:vAlign w:val="center"/>
          </w:tcPr>
          <w:p>
            <w:pPr>
              <w:spacing w:after="0" w:before="0" w:line="240" w:lineRule="auto"/>
              <w:keepNext/>
            </w:pPr>
            <w:r>
              <w:rPr>
                <w:rFonts w:ascii="Aptos" w:hAnsi="Aptos"/>
                <w:sz w:val="24"/>
              </w:rPr>
              <w:t>Herbário virtual e portal de espécimes</w:t>
            </w:r>
          </w:p>
        </w:tc>
        <w:tc>
          <w:tcPr>
            <w:tcW w:type="dxa" w:w="4445"/>
            <w:vAlign w:val="center"/>
          </w:tcPr>
          <w:p>
            <w:pPr>
              <w:spacing w:after="0" w:before="0" w:line="240" w:lineRule="auto"/>
              <w:keepNext/>
            </w:pPr>
            <w:r>
              <w:rPr>
                <w:rFonts w:ascii="Aptos" w:hAnsi="Aptos"/>
                <w:sz w:val="24"/>
              </w:rPr>
              <w:t>Espécime, imagem e relação de duplicatas</w:t>
            </w:r>
          </w:p>
        </w:tc>
        <w:tc>
          <w:tcPr>
            <w:tcW w:type="dxa" w:w="4446"/>
            <w:vAlign w:val="center"/>
          </w:tcPr>
          <w:p>
            <w:pPr>
              <w:spacing w:after="0" w:before="0" w:line="240" w:lineRule="auto"/>
              <w:keepNext/>
            </w:pPr>
            <w:r>
              <w:rPr>
                <w:rFonts w:ascii="Aptos" w:hAnsi="Aptos"/>
                <w:sz w:val="24"/>
              </w:rPr>
              <w:t>Explorar imagens e dados curatoriais de espécimes e gerar relatório filtrado.</w:t>
            </w:r>
          </w:p>
        </w:tc>
      </w:tr>
      <w:tr>
        <w:trPr>
          <w:cantSplit/>
        </w:trPr>
        <w:tc>
          <w:tcPr>
            <w:tcW w:type="dxa" w:w="4445"/>
            <w:vAlign w:val="center"/>
          </w:tcPr>
          <w:p>
            <w:pPr>
              <w:spacing w:after="0" w:before="0" w:line="240" w:lineRule="auto"/>
              <w:keepNext/>
            </w:pPr>
            <w:r>
              <w:rPr>
                <w:rFonts w:ascii="Aptos" w:hAnsi="Aptos"/>
                <w:sz w:val="24"/>
              </w:rPr>
              <w:t>Flora e Funga do Brasil</w:t>
            </w:r>
          </w:p>
        </w:tc>
        <w:tc>
          <w:tcPr>
            <w:tcW w:type="dxa" w:w="4445"/>
            <w:vAlign w:val="center"/>
          </w:tcPr>
          <w:p>
            <w:pPr>
              <w:spacing w:after="0" w:before="0" w:line="240" w:lineRule="auto"/>
              <w:keepNext/>
            </w:pPr>
            <w:r>
              <w:rPr>
                <w:rFonts w:ascii="Aptos" w:hAnsi="Aptos"/>
                <w:sz w:val="24"/>
              </w:rPr>
              <w:t>Catálogo taxonômico nacional</w:t>
            </w:r>
          </w:p>
        </w:tc>
        <w:tc>
          <w:tcPr>
            <w:tcW w:type="dxa" w:w="4445"/>
            <w:vAlign w:val="center"/>
          </w:tcPr>
          <w:p>
            <w:pPr>
              <w:spacing w:after="0" w:before="0" w:line="240" w:lineRule="auto"/>
              <w:keepNext/>
            </w:pPr>
            <w:r>
              <w:rPr>
                <w:rFonts w:ascii="Aptos" w:hAnsi="Aptos"/>
                <w:sz w:val="24"/>
              </w:rPr>
              <w:t>Táxon e uso de nome</w:t>
            </w:r>
          </w:p>
        </w:tc>
        <w:tc>
          <w:tcPr>
            <w:tcW w:type="dxa" w:w="4446"/>
            <w:vAlign w:val="center"/>
          </w:tcPr>
          <w:p>
            <w:pPr>
              <w:spacing w:after="0" w:before="0" w:line="240" w:lineRule="auto"/>
              <w:keepNext/>
            </w:pPr>
            <w:r>
              <w:rPr>
                <w:rFonts w:ascii="Aptos" w:hAnsi="Aptos"/>
                <w:sz w:val="24"/>
              </w:rPr>
              <w:t>Consultar nomes, sinonímia e distribuição no portal; reconhecer no IPT a publicação versionada do checklist completo em DwC-A.</w:t>
            </w:r>
          </w:p>
        </w:tc>
      </w:tr>
      <w:tr>
        <w:trPr>
          <w:cantSplit/>
        </w:trPr>
        <w:tc>
          <w:tcPr>
            <w:tcW w:type="dxa" w:w="4445"/>
            <w:vAlign w:val="center"/>
          </w:tcPr>
          <w:p>
            <w:pPr>
              <w:spacing w:after="0" w:before="0" w:line="240" w:lineRule="auto"/>
            </w:pPr>
            <w:r>
              <w:rPr>
                <w:rFonts w:ascii="Aptos" w:hAnsi="Aptos"/>
                <w:sz w:val="24"/>
              </w:rPr>
              <w:t>Catálogo da Fauna do Brasil</w:t>
            </w:r>
          </w:p>
        </w:tc>
        <w:tc>
          <w:tcPr>
            <w:tcW w:type="dxa" w:w="4445"/>
            <w:vAlign w:val="center"/>
          </w:tcPr>
          <w:p>
            <w:pPr>
              <w:spacing w:after="0" w:before="0" w:line="240" w:lineRule="auto"/>
            </w:pPr>
            <w:r>
              <w:rPr>
                <w:rFonts w:ascii="Aptos" w:hAnsi="Aptos"/>
                <w:sz w:val="24"/>
              </w:rPr>
              <w:t>Catálogo taxonômico nacional</w:t>
            </w:r>
          </w:p>
        </w:tc>
        <w:tc>
          <w:tcPr>
            <w:tcW w:type="dxa" w:w="4445"/>
            <w:vAlign w:val="center"/>
          </w:tcPr>
          <w:p>
            <w:pPr>
              <w:spacing w:after="0" w:before="0" w:line="240" w:lineRule="auto"/>
            </w:pPr>
            <w:r>
              <w:rPr>
                <w:rFonts w:ascii="Aptos" w:hAnsi="Aptos"/>
                <w:sz w:val="24"/>
              </w:rPr>
              <w:t>Táxon e uso de nome</w:t>
            </w:r>
          </w:p>
        </w:tc>
        <w:tc>
          <w:tcPr>
            <w:tcW w:type="dxa" w:w="4446"/>
            <w:vAlign w:val="center"/>
          </w:tcPr>
          <w:p>
            <w:pPr>
              <w:spacing w:before="0" w:after="0" w:line="240" w:lineRule="auto"/>
            </w:pPr>
            <w:r>
              <w:rPr>
                <w:sz w:val="24"/>
              </w:rPr>
              <w:t>Consultar nomes e classificação no portal; reconhecer no IPT a publicação versionada do checklist completo em DwC-A.</w:t>
            </w:r>
          </w:p>
        </w:tc>
      </w:tr>
    </w:tbl>
    <w:p>
      <w:r/>
    </w:p>
    <w:p>
      <w:pPr>
        <w:pStyle w:val="Heading2"/>
        <w:keepNext/>
        <w:keepLines w:val="1"/>
        <w:pageBreakBefore/>
      </w:pPr>
      <w:r>
        <w:t>4.0 — continuação: integração no GBIF e fontes complementares</w:t>
      </w:r>
    </w:p>
    <w:p>
      <w:r>
        <w:t>A continuação fecha o conjunto acompanhado no Explorador com o GBIF e, em seguida, reúne fontes complementares importantes para comparação, embora sem seção própria de dados locais no Explorador da Aula 1.</w:t>
      </w:r>
    </w:p>
    <w:p>
      <w:pPr>
        <w:sectPr w:rsidR="00FC693F" w:rsidRPr="0006063C" w:rsidSect="00034616">
          <w:type w:val="nextPage"/>
          <w:headerReference w:type="default" r:id="rId9"/>
          <w:footerReference w:type="default" r:id="rId10"/>
          <w:pgSz w:w="19200" w:h="10800" w:orient="landscape"/>
          <w:pgMar w:top="595" w:right="709" w:bottom="539" w:left="709" w:header="198" w:footer="198" w:gutter="0"/>
          <w:cols w:space="720"/>
          <w:docGrid w:linePitch="360"/>
        </w:sectPr>
      </w:pPr>
    </w:p>
    <w:p>
      <w:pPr>
        <w:pStyle w:val="CaptionAula"/>
        <w:spacing w:after="80" w:before="80" w:line="252" w:lineRule="auto"/>
        <w:jc w:val="left"/>
        <w:keepNext/>
        <w:keepLines/>
      </w:pPr>
      <w:r>
        <w:t>Tabela 5. 4.0 — continuação: GBIF e fontes complementares — Base, Classificação principal, Unidade predominante, Função na aula.</w:t>
      </w:r>
    </w:p>
    <w:tbl>
      <w:tblPr>
        <w:tblStyle w:val="TableGrid"/>
        <w:tblW w:type="dxa" w:w="17782"/>
        <w:tblLook w:firstColumn="1" w:firstRow="1" w:lastColumn="0" w:lastRow="0" w:noHBand="0" w:noVBand="1" w:val="04A0"/>
        <w:tblLayout w:type="fixed"/>
      </w:tblPr>
      <w:tblGrid>
        <w:gridCol w:w="4445"/>
        <w:gridCol w:w="4445"/>
        <w:gridCol w:w="4445"/>
        <w:gridCol w:w="4446"/>
      </w:tblGrid>
      <w:tr>
        <w:trPr>
          <w:cantSplit/>
          <w:tblHeader w:val="true"/>
        </w:trPr>
        <w:tc>
          <w:tcPr>
            <w:tcW w:type="dxa" w:w="4445"/>
            <w:shd w:fill="1F4E68"/>
            <w:vAlign w:val="center"/>
          </w:tcPr>
          <w:p>
            <w:pPr>
              <w:spacing w:after="0" w:before="0" w:line="240" w:lineRule="auto"/>
              <w:keepNext/>
            </w:pPr>
            <w:r>
              <w:rPr>
                <w:rFonts w:ascii="Aptos" w:hAnsi="Aptos"/>
                <w:b/>
                <w:color w:val="FFFFFF"/>
                <w:sz w:val="24"/>
              </w:rPr>
              <w:t>Base</w:t>
            </w:r>
          </w:p>
        </w:tc>
        <w:tc>
          <w:tcPr>
            <w:tcW w:type="dxa" w:w="4445"/>
            <w:shd w:fill="1F4E68"/>
            <w:vAlign w:val="center"/>
          </w:tcPr>
          <w:p>
            <w:pPr>
              <w:spacing w:after="0" w:before="0" w:line="240" w:lineRule="auto"/>
              <w:keepNext/>
            </w:pPr>
            <w:r>
              <w:rPr>
                <w:rFonts w:ascii="Aptos" w:hAnsi="Aptos"/>
                <w:b/>
                <w:color w:val="FFFFFF"/>
                <w:sz w:val="24"/>
              </w:rPr>
              <w:t>Classificação principal</w:t>
            </w:r>
          </w:p>
        </w:tc>
        <w:tc>
          <w:tcPr>
            <w:tcW w:type="dxa" w:w="4445"/>
            <w:shd w:fill="1F4E68"/>
            <w:vAlign w:val="center"/>
          </w:tcPr>
          <w:p>
            <w:pPr>
              <w:spacing w:after="0" w:before="0" w:line="240" w:lineRule="auto"/>
              <w:keepNext/>
            </w:pPr>
            <w:r>
              <w:rPr>
                <w:rFonts w:ascii="Aptos" w:hAnsi="Aptos"/>
                <w:b/>
                <w:color w:val="FFFFFF"/>
                <w:sz w:val="24"/>
              </w:rPr>
              <w:t>Unidade predominante</w:t>
            </w:r>
          </w:p>
        </w:tc>
        <w:tc>
          <w:tcPr>
            <w:tcW w:type="dxa" w:w="4446"/>
            <w:shd w:fill="1F4E68"/>
            <w:vAlign w:val="center"/>
          </w:tcPr>
          <w:p>
            <w:pPr>
              <w:spacing w:after="0" w:before="0" w:line="240" w:lineRule="auto"/>
              <w:keepNext/>
            </w:pPr>
            <w:r>
              <w:rPr>
                <w:rFonts w:ascii="Aptos" w:hAnsi="Aptos"/>
                <w:b/>
                <w:color w:val="FFFFFF"/>
                <w:sz w:val="24"/>
              </w:rPr>
              <w:t>Função na aula</w:t>
            </w:r>
          </w:p>
        </w:tc>
      </w:tr>
      <w:tr>
        <w:trPr>
          <w:cantSplit/>
        </w:trPr>
        <w:tc>
          <w:tcPr>
            <w:tcW w:type="dxa" w:w="4445"/>
            <w:vAlign w:val="center"/>
          </w:tcPr>
          <w:p>
            <w:pPr>
              <w:spacing w:after="0" w:before="0" w:line="240" w:lineRule="auto"/>
              <w:keepNext/>
            </w:pPr>
            <w:r>
              <w:rPr>
                <w:rFonts w:ascii="Aptos" w:hAnsi="Aptos"/>
                <w:sz w:val="24"/>
              </w:rPr>
              <w:t>GBIF</w:t>
            </w:r>
          </w:p>
        </w:tc>
        <w:tc>
          <w:tcPr>
            <w:tcW w:type="dxa" w:w="4445"/>
            <w:vAlign w:val="center"/>
          </w:tcPr>
          <w:p>
            <w:pPr>
              <w:spacing w:after="0" w:before="0" w:line="240" w:lineRule="auto"/>
              <w:keepNext/>
            </w:pPr>
            <w:r>
              <w:rPr>
                <w:rFonts w:ascii="Aptos" w:hAnsi="Aptos"/>
                <w:sz w:val="24"/>
              </w:rPr>
              <w:t>Agregador global e infraestrutura de dados</w:t>
            </w:r>
          </w:p>
        </w:tc>
        <w:tc>
          <w:tcPr>
            <w:tcW w:type="dxa" w:w="4445"/>
            <w:vAlign w:val="center"/>
          </w:tcPr>
          <w:p>
            <w:pPr>
              <w:spacing w:after="0" w:before="0" w:line="240" w:lineRule="auto"/>
              <w:keepNext/>
            </w:pPr>
            <w:r>
              <w:rPr>
                <w:rFonts w:ascii="Aptos" w:hAnsi="Aptos"/>
                <w:sz w:val="24"/>
              </w:rPr>
              <w:t>Ocorrência e dataset integrado</w:t>
            </w:r>
          </w:p>
        </w:tc>
        <w:tc>
          <w:tcPr>
            <w:tcW w:type="dxa" w:w="4446"/>
            <w:vAlign w:val="center"/>
          </w:tcPr>
          <w:p>
            <w:pPr>
              <w:spacing w:before="0" w:after="0" w:line="240" w:lineRule="auto"/>
              <w:keepNext/>
            </w:pPr>
            <w:r>
              <w:rPr>
                <w:sz w:val="24"/>
              </w:rPr>
              <w:t>Consolidar as fontes, aplicar backbone e obter Simple, DwC-A e Species list.</w:t>
            </w:r>
          </w:p>
        </w:tc>
      </w:tr>
      <w:tr>
        <w:trPr>
          <w:cantSplit/>
        </w:trPr>
        <w:tc>
          <w:tcPr>
            <w:tcW w:type="dxa" w:w="4445"/>
            <w:vAlign w:val="center"/>
          </w:tcPr>
          <w:p>
            <w:pPr>
              <w:spacing w:after="0" w:before="0" w:line="240" w:lineRule="auto"/>
              <w:keepNext/>
            </w:pPr>
            <w:r>
              <w:rPr>
                <w:rFonts w:ascii="Aptos" w:hAnsi="Aptos"/>
                <w:sz w:val="24"/>
              </w:rPr>
              <w:t>SiBBr</w:t>
            </w:r>
          </w:p>
        </w:tc>
        <w:tc>
          <w:tcPr>
            <w:tcW w:type="dxa" w:w="4445"/>
            <w:vAlign w:val="center"/>
          </w:tcPr>
          <w:p>
            <w:pPr>
              <w:spacing w:after="0" w:before="0" w:line="240" w:lineRule="auto"/>
              <w:keepNext/>
            </w:pPr>
            <w:r>
              <w:rPr>
                <w:rFonts w:ascii="Aptos" w:hAnsi="Aptos"/>
                <w:sz w:val="24"/>
              </w:rPr>
              <w:t>Agregador nacional e infraestrutura de dados</w:t>
            </w:r>
          </w:p>
        </w:tc>
        <w:tc>
          <w:tcPr>
            <w:tcW w:type="dxa" w:w="4445"/>
            <w:vAlign w:val="center"/>
          </w:tcPr>
          <w:p>
            <w:pPr>
              <w:spacing w:after="0" w:before="0" w:line="240" w:lineRule="auto"/>
              <w:keepNext/>
            </w:pPr>
            <w:r>
              <w:rPr>
                <w:rFonts w:ascii="Aptos" w:hAnsi="Aptos"/>
                <w:sz w:val="24"/>
              </w:rPr>
              <w:t>Ocorrência, espécie, coleção e dataset</w:t>
            </w:r>
          </w:p>
        </w:tc>
        <w:tc>
          <w:tcPr>
            <w:tcW w:type="dxa" w:w="4446"/>
            <w:vAlign w:val="center"/>
          </w:tcPr>
          <w:p>
            <w:pPr>
              <w:spacing w:after="0" w:before="0" w:line="240" w:lineRule="auto"/>
              <w:keepNext/>
            </w:pPr>
            <w:r>
              <w:rPr>
                <w:rFonts w:ascii="Aptos" w:hAnsi="Aptos"/>
                <w:sz w:val="24"/>
              </w:rPr>
              <w:t>Explorar o índice integrado e distinguir Portal SiBBr de IPT SiBBr.</w:t>
            </w:r>
          </w:p>
        </w:tc>
      </w:tr>
      <w:tr>
        <w:trPr>
          <w:cantSplit/>
        </w:trPr>
        <w:tc>
          <w:tcPr>
            <w:tcW w:type="dxa" w:w="4445"/>
            <w:vAlign w:val="center"/>
          </w:tcPr>
          <w:p>
            <w:pPr>
              <w:spacing w:after="0" w:before="0" w:line="240" w:lineRule="auto"/>
              <w:keepNext/>
            </w:pPr>
            <w:r>
              <w:rPr>
                <w:rFonts w:ascii="Aptos" w:hAnsi="Aptos"/>
                <w:sz w:val="24"/>
              </w:rPr>
              <w:t>Catalogue of Life</w:t>
            </w:r>
          </w:p>
        </w:tc>
        <w:tc>
          <w:tcPr>
            <w:tcW w:type="dxa" w:w="4445"/>
            <w:vAlign w:val="center"/>
          </w:tcPr>
          <w:p>
            <w:pPr>
              <w:spacing w:after="0" w:before="0" w:line="240" w:lineRule="auto"/>
              <w:keepNext/>
            </w:pPr>
            <w:r>
              <w:rPr>
                <w:rFonts w:ascii="Aptos" w:hAnsi="Aptos"/>
                <w:sz w:val="24"/>
              </w:rPr>
              <w:t>Catálogo taxonômico global</w:t>
            </w:r>
          </w:p>
        </w:tc>
        <w:tc>
          <w:tcPr>
            <w:tcW w:type="dxa" w:w="4445"/>
            <w:vAlign w:val="center"/>
          </w:tcPr>
          <w:p>
            <w:pPr>
              <w:spacing w:after="0" w:before="0" w:line="240" w:lineRule="auto"/>
              <w:keepNext/>
            </w:pPr>
            <w:r>
              <w:rPr>
                <w:rFonts w:ascii="Aptos" w:hAnsi="Aptos"/>
                <w:sz w:val="24"/>
              </w:rPr>
              <w:t>Táxon e conceito taxonômico</w:t>
            </w:r>
          </w:p>
        </w:tc>
        <w:tc>
          <w:tcPr>
            <w:tcW w:type="dxa" w:w="4446"/>
            <w:vAlign w:val="center"/>
          </w:tcPr>
          <w:p>
            <w:pPr>
              <w:spacing w:after="0" w:before="0" w:line="240" w:lineRule="auto"/>
              <w:keepNext/>
            </w:pPr>
            <w:r>
              <w:rPr>
                <w:rFonts w:ascii="Aptos" w:hAnsi="Aptos"/>
                <w:sz w:val="24"/>
              </w:rPr>
              <w:t>Comparar nomes aceitos e sinônimos em contexto global.</w:t>
            </w:r>
          </w:p>
        </w:tc>
      </w:tr>
      <w:tr>
        <w:trPr>
          <w:cantSplit/>
        </w:trPr>
        <w:tc>
          <w:tcPr>
            <w:tcW w:type="dxa" w:w="4445"/>
            <w:vAlign w:val="center"/>
          </w:tcPr>
          <w:p>
            <w:pPr>
              <w:spacing w:after="0" w:before="0" w:line="240" w:lineRule="auto"/>
              <w:keepNext/>
            </w:pPr>
            <w:r>
              <w:rPr>
                <w:rFonts w:ascii="Aptos" w:hAnsi="Aptos"/>
                <w:sz w:val="24"/>
              </w:rPr>
              <w:t>POWO</w:t>
            </w:r>
          </w:p>
        </w:tc>
        <w:tc>
          <w:tcPr>
            <w:tcW w:type="dxa" w:w="4445"/>
            <w:vAlign w:val="center"/>
          </w:tcPr>
          <w:p>
            <w:pPr>
              <w:spacing w:after="0" w:before="0" w:line="240" w:lineRule="auto"/>
              <w:keepNext/>
            </w:pPr>
            <w:r>
              <w:rPr>
                <w:rFonts w:ascii="Aptos" w:hAnsi="Aptos"/>
                <w:sz w:val="24"/>
              </w:rPr>
              <w:t>Referência taxonômica global especializada</w:t>
            </w:r>
          </w:p>
        </w:tc>
        <w:tc>
          <w:tcPr>
            <w:tcW w:type="dxa" w:w="4445"/>
            <w:vAlign w:val="center"/>
          </w:tcPr>
          <w:p>
            <w:pPr>
              <w:spacing w:after="0" w:before="0" w:line="240" w:lineRule="auto"/>
              <w:keepNext/>
            </w:pPr>
            <w:r>
              <w:rPr>
                <w:rFonts w:ascii="Aptos" w:hAnsi="Aptos"/>
                <w:sz w:val="24"/>
              </w:rPr>
              <w:t>Táxon de planta e distribuição</w:t>
            </w:r>
          </w:p>
        </w:tc>
        <w:tc>
          <w:tcPr>
            <w:tcW w:type="dxa" w:w="4446"/>
            <w:vAlign w:val="center"/>
          </w:tcPr>
          <w:p>
            <w:pPr>
              <w:spacing w:after="0" w:before="0" w:line="240" w:lineRule="auto"/>
              <w:keepNext/>
            </w:pPr>
            <w:r>
              <w:rPr>
                <w:rFonts w:ascii="Aptos" w:hAnsi="Aptos"/>
                <w:sz w:val="24"/>
              </w:rPr>
              <w:t>Comparar tratamento global de plantas com as fontes brasileiras.</w:t>
            </w:r>
          </w:p>
        </w:tc>
      </w:tr>
      <w:tr>
        <w:trPr>
          <w:cantSplit/>
        </w:trPr>
        <w:tc>
          <w:tcPr>
            <w:tcW w:type="dxa" w:w="4445"/>
            <w:vAlign w:val="center"/>
          </w:tcPr>
          <w:p>
            <w:pPr>
              <w:spacing w:after="0" w:before="0" w:line="240" w:lineRule="auto"/>
            </w:pPr>
            <w:r>
              <w:rPr>
                <w:rFonts w:ascii="Aptos" w:hAnsi="Aptos"/>
                <w:sz w:val="24"/>
              </w:rPr>
              <w:t>iNaturalist</w:t>
            </w:r>
          </w:p>
        </w:tc>
        <w:tc>
          <w:tcPr>
            <w:tcW w:type="dxa" w:w="4445"/>
            <w:vAlign w:val="center"/>
          </w:tcPr>
          <w:p>
            <w:pPr>
              <w:spacing w:after="0" w:before="0" w:line="240" w:lineRule="auto"/>
            </w:pPr>
            <w:r>
              <w:rPr>
                <w:rFonts w:ascii="Aptos" w:hAnsi="Aptos"/>
                <w:sz w:val="24"/>
              </w:rPr>
              <w:t>Plataforma de ciência cidadã</w:t>
            </w:r>
          </w:p>
        </w:tc>
        <w:tc>
          <w:tcPr>
            <w:tcW w:type="dxa" w:w="4445"/>
            <w:vAlign w:val="center"/>
          </w:tcPr>
          <w:p>
            <w:pPr>
              <w:spacing w:after="0" w:before="0" w:line="240" w:lineRule="auto"/>
            </w:pPr>
            <w:r>
              <w:rPr>
                <w:rFonts w:ascii="Aptos" w:hAnsi="Aptos"/>
                <w:sz w:val="24"/>
              </w:rPr>
              <w:t>Observação documentada e mídia</w:t>
            </w:r>
          </w:p>
        </w:tc>
        <w:tc>
          <w:tcPr>
            <w:tcW w:type="dxa" w:w="4446"/>
            <w:vAlign w:val="center"/>
          </w:tcPr>
          <w:p>
            <w:pPr>
              <w:spacing w:after="0" w:before="0" w:line="240" w:lineRule="auto"/>
            </w:pPr>
            <w:r>
              <w:rPr>
                <w:rFonts w:ascii="Aptos" w:hAnsi="Aptos"/>
                <w:sz w:val="24"/>
              </w:rPr>
              <w:t>Interpretar observação humana, identificação comunitária e licenças da evidência.</w:t>
            </w:r>
          </w:p>
        </w:tc>
      </w:tr>
    </w:tbl>
    <w:p>
      <w:pPr>
        <w:pStyle w:val="Heading2"/>
        <w:keepNext/>
        <w:keepLines w:val="1"/>
        <w:pageBreakBefore/>
      </w:pPr>
      <w:r>
        <w:t>4.1 speciesLink</w:t>
      </w:r>
    </w:p>
    <w:p>
      <w:pPr>
        <w:pStyle w:val="Heading3"/>
        <w:keepNext/>
      </w:pPr>
      <w:r>
        <w:t>4.1.1 O que é e que dados oferece</w:t>
      </w:r>
    </w:p>
    <w:p>
      <w:pPr/>
      <w:r>
        <w:t>O speciesLink é um agregador nacional de dados de coleções. Nesta aula, utilizamos registros de ocorrência de coleções, observando instituição, coleção, número de catálogo, coleta, coordenadas e nome científico.</w:t>
      </w:r>
    </w:p>
    <w:p>
      <w:pPr>
        <w:pStyle w:val="Heading3"/>
        <w:keepNext/>
      </w:pPr>
      <w:r>
        <w:t>4.1.2 Como usamos nesta aula</w:t>
      </w:r>
    </w:p>
    <w:p>
      <w:pPr/>
      <w:r>
        <w:t>Executamos um filtro comparável no portal e observamos o arquivo baixado, preservando filtros, data, coleções provedoras e condições de uso.</w:t>
      </w:r>
    </w:p>
    <w:p>
      <w:pPr>
        <w:pStyle w:val="Heading3"/>
        <w:keepNext/>
      </w:pPr>
      <w:r>
        <w:t>4.1.3 Produto e evidências observadas</w:t>
      </w:r>
    </w:p>
    <w:p>
      <w:pPr>
        <w:keepNext w:val="1"/>
        <w:keepLines w:val="1"/>
      </w:pPr>
      <w:r>
        <w:t>Portal</w:t>
      </w:r>
    </w:p>
    <w:p>
      <w:pPr>
        <w:keepNext w:val="1"/>
        <w:keepLines w:val="1"/>
      </w:pPr>
      <w:hyperlink r:id="rId18" w:history="1">
        <w:r>
          <w:rPr>
            <w:color w:val="0563C1"/>
            <w:u w:val="single"/>
          </w:rPr>
          <w:t>https://specieslink.net/search/</w:t>
        </w:r>
      </w:hyperlink>
    </w:p>
    <w:p>
      <w:pPr>
        <w:sectPr w:rsidR="00FC693F" w:rsidRPr="0006063C" w:rsidSect="00034616">
          <w:type w:val="nextPage"/>
          <w:headerReference w:type="default" r:id="rId9"/>
          <w:footerReference w:type="default" r:id="rId10"/>
          <w:pgSz w:w="19200" w:h="10800" w:orient="landscape"/>
          <w:pgMar w:top="595" w:right="709" w:bottom="539" w:left="709" w:header="198" w:footer="198" w:gutter="0"/>
          <w:cols w:space="720"/>
          <w:docGrid w:linePitch="360"/>
        </w:sectPr>
        <w:keepNext w:val="1"/>
        <w:keepLines w:val="1"/>
      </w:pPr>
    </w:p>
    <w:p>
      <w:pPr>
        <w:pStyle w:val="CaptionAula"/>
        <w:spacing w:after="80" w:before="80" w:line="252" w:lineRule="auto"/>
        <w:jc w:val="left"/>
        <w:keepNext/>
        <w:keepLines/>
      </w:pPr>
      <w:r>
        <w:t>Tabela 6. 4.1 speciesLink — Papel, Uso na aula, Evidência a observar, Cautela.</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Uso na aula</w:t>
            </w:r>
          </w:p>
        </w:tc>
        <w:tc>
          <w:tcPr>
            <w:tcW w:type="dxa" w:w="4445"/>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Evidência a observar</w:t>
            </w:r>
          </w:p>
        </w:tc>
        <w:tc>
          <w:tcPr>
            <w:tcW w:type="dxa" w:w="4446"/>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Cautela</w:t>
            </w:r>
          </w:p>
        </w:tc>
      </w:tr>
      <w:tr>
        <w:trPr>
          <w:cantSplit/>
        </w:trPr>
        <w:tc>
          <w:tcPr>
            <w:tcW w:type="dxa" w:w="4445"/>
            <w:tcMar>
              <w:top w:w="100" w:type="dxa"/>
              <w:start w:w="120" w:type="dxa"/>
              <w:bottom w:w="100" w:type="dxa"/>
              <w:end w:w="120" w:type="dxa"/>
            </w:tcMar>
            <w:vAlign w:val="center"/>
          </w:tcPr>
          <w:p>
            <w:pPr>
              <w:spacing w:after="0" w:before="0" w:line="240" w:lineRule="auto"/>
            </w:pPr>
            <w:r>
              <w:rPr>
                <w:rFonts w:ascii="Aptos" w:hAnsi="Aptos"/>
                <w:sz w:val="24"/>
              </w:rPr>
              <w:t>Agregador nacional de dados de coleções</w:t>
            </w:r>
          </w:p>
        </w:tc>
        <w:tc>
          <w:tcPr>
            <w:tcW w:type="dxa" w:w="444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Executar o filtro equivalente e baixar registros de coleções.</w:t>
            </w:r>
          </w:p>
        </w:tc>
        <w:tc>
          <w:tcPr>
            <w:tcW w:type="dxa" w:w="444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institutionCode, collectionCode, catalogNumber, coletor, coordenadas.</w:t>
            </w:r>
          </w:p>
        </w:tc>
        <w:tc>
          <w:tcPr>
            <w:tcW w:type="dxa" w:w="4446"/>
            <w:tcMar>
              <w:top w:w="100" w:type="dxa"/>
              <w:start w:w="120" w:type="dxa"/>
              <w:bottom w:w="100" w:type="dxa"/>
              <w:end w:w="120" w:type="dxa"/>
            </w:tcMar>
            <w:vAlign w:val="center"/>
          </w:tcPr>
          <w:p>
            <w:pPr>
              <w:spacing w:before="0" w:after="0" w:line="240" w:lineRule="auto"/>
            </w:pPr>
            <w:r>
              <w:rPr>
                <w:sz w:val="24"/>
              </w:rPr>
              <w:t>A política geral declara CC BY 4.0 para textos e CC BY-SA 4.0 para imagens. Algumas coleções publicam condições diferentes. Verificar a política da rede, a página da coleção e a licença no arquivo; em caso de conflito, não presumir qual prevalece.</w:t>
            </w:r>
          </w:p>
        </w:tc>
      </w:tr>
    </w:tbl>
    <w:p>
      <w:pPr>
        <w:pStyle w:val="Heading3"/>
        <w:keepNext/>
      </w:pPr>
      <w:r>
        <w:t>4.1.4 Licença, proveniência e cautelas</w:t>
      </w:r>
    </w:p>
    <w:p>
      <w:pPr>
        <w:pStyle w:val="Heading4"/>
        <w:keepNext/>
        <w:keepLines w:val="1"/>
      </w:pPr>
      <w:r>
        <w:t>4.1.4.1 Licença no speciesLink — política da rede × condições da coleção</w:t>
      </w:r>
    </w:p>
    <w:p>
      <w:pPr/>
      <w:r>
        <w:t>Política geral da rede — A página oficial de compartilhamento declara que os dados textuais servidos pelo speciesLink adotam CC BY 4.0 e que as imagens são servidas sob CC BY-SA 4.0. Em ambas é permitida a utilização comercial; CC BY exige atribuição, link da licença e indicação de mudanças, enquanto CC BY-SA exige também que adaptações sejam compartilhadas sob a mesma licença.</w:t>
      </w:r>
    </w:p>
    <w:p>
      <w:pPr/>
      <w:r>
        <w:t>Cautela — Algumas páginas de coleções apresentam condições diferentes da política geral. A documentação pública consultada não esclarece qual condição prevalece. Portanto, verifique a política da rede, a página da coleção e, quando disponível, a licença registrada no próprio arquivo.</w:t>
      </w:r>
    </w:p>
    <w:p>
      <w:pPr/>
      <w:r>
        <w:t>Evidência — Política geral de compartilhamento do speciesLink</w:t>
      </w:r>
    </w:p>
    <w:p>
      <w:pPr/>
      <w:hyperlink r:id="rId19" w:history="1">
        <w:r>
          <w:rPr>
            <w:color w:val="0563C1"/>
            <w:u w:val="single"/>
          </w:rPr>
          <w:t>https://specieslink.net/data_sharing_policy</w:t>
        </w:r>
      </w:hyperlink>
    </w:p>
    <w:p>
      <w:pPr/>
      <w:r>
        <w:t>Evidência de condição diferente — Herbário SPSC: CC BY-NC 4.0</w:t>
      </w:r>
    </w:p>
    <w:p>
      <w:pPr/>
      <w:hyperlink r:id="rId20" w:history="1">
        <w:r>
          <w:rPr>
            <w:color w:val="0563C1"/>
            <w:u w:val="single"/>
          </w:rPr>
          <w:t>https://specieslink.net/col/SPSC/</w:t>
        </w:r>
      </w:hyperlink>
    </w:p>
    <w:p>
      <w:pPr/>
      <w:r>
        <w:t>Evidência de condição diferente — F-Seedplants: CC0 para dados e CC BY-NC 4.0 para multimídia</w:t>
      </w:r>
    </w:p>
    <w:p>
      <w:pPr/>
      <w:hyperlink r:id="rId21" w:history="1">
        <w:r>
          <w:rPr>
            <w:color w:val="0563C1"/>
            <w:u w:val="single"/>
          </w:rPr>
          <w:t>https://specieslink.net/col/F-Seedplants/</w:t>
        </w:r>
      </w:hyperlink>
    </w:p>
    <w:p>
      <w:pPr/>
      <w:r>
        <w:t>Procedimento seguro para a aula e para o reúso — Preserve o arquivo baixado, os filtros e a data; identifique as coleções provedoras; salve a política geral e a página de condições de cada coleção; separe dados textuais de imagens; cite a rede e as coleções. Se houver conflito entre licenças, não presuma que a regra mais permissiva prevalece: solicite esclarecimento ao CRIA/speciesLink ou à coleção antes de redistribuir ou usar o material em finalidade incompatível com a condição mais restritiva.</w:t>
      </w:r>
    </w:p>
    <w:p>
      <w:pPr>
        <w:pStyle w:val="Heading3"/>
        <w:keepNext/>
      </w:pPr>
      <w:r>
        <w:t>4.1.5 No Explorador da Aula 1</w:t>
      </w:r>
    </w:p>
    <w:p>
      <w:pPr>
        <w:pStyle w:val="IntenseQuote"/>
        <w:keepNext w:val="0"/>
      </w:pPr>
      <w:r>
        <w:t xml:space="preserve">ABRIR O EXPLORADOR — </w:t>
      </w:r>
      <w:hyperlink r:id="rId41">
        <w:r>
          <w:rPr>
            <w:color w:val="0563C1"/>
            <w:u w:val="single"/>
            <w:b/>
          </w:rPr>
          <w:t>Explorador da Aula 1 — speciesLink</w:t>
        </w:r>
      </w:hyperlink>
      <w:r>
        <w:t xml:space="preserve"> — localize o arquivo, a licença e as evidências que sustentam a leitura desta seção.</w:t>
      </w:r>
    </w:p>
    <w:p>
      <w:pPr>
        <w:spacing w:after="20"/>
      </w:pPr>
      <w:r/>
    </w:p>
    <w:p>
      <w:pPr>
        <w:pStyle w:val="Heading2"/>
        <w:keepNext/>
        <w:keepLines w:val="1"/>
        <w:pageBreakBefore/>
      </w:pPr>
      <w:r>
        <w:t>4.2 JABOT</w:t>
      </w:r>
    </w:p>
    <w:p>
      <w:pPr>
        <w:pStyle w:val="Heading3"/>
        <w:keepNext/>
      </w:pPr>
      <w:r>
        <w:t>4.2.1 O que é e que dados oferece</w:t>
      </w:r>
    </w:p>
    <w:p>
      <w:pPr/>
      <w:r>
        <w:t>O JABOT é um sistema de gestão e consulta de coleções. Nesta aula, utilizamos registros de coleção com dados curatoriais, coleta, identificação e imagens quando disponíveis.</w:t>
      </w:r>
    </w:p>
    <w:p>
      <w:pPr>
        <w:pStyle w:val="Heading3"/>
        <w:keepNext/>
      </w:pPr>
      <w:r>
        <w:t>4.2.2 Como usamos nesta aula</w:t>
      </w:r>
    </w:p>
    <w:p>
      <w:pPr/>
      <w:r>
        <w:t>No Portal JABOT, filtramos e exportamos um recorte. No IPT JABOT, escolhemos uma coleção e observamos a versão publicada do dataset em Darwin Core Archive (DwC-A).</w:t>
      </w:r>
    </w:p>
    <w:p>
      <w:pPr>
        <w:pStyle w:val="Heading3"/>
        <w:keepNext/>
      </w:pPr>
      <w:r>
        <w:t>4.2.3 Produto e evidências observadas</w:t>
      </w:r>
    </w:p>
    <w:p>
      <w:r>
        <w:t>Portal</w:t>
      </w:r>
    </w:p>
    <w:p>
      <w:pPr/>
      <w:hyperlink r:id="rId22" w:history="1">
        <w:r>
          <w:rPr>
            <w:color w:val="0563C1"/>
            <w:u w:val="single"/>
          </w:rPr>
          <w:t>https://jabot.jbrj.gov.br</w:t>
        </w:r>
      </w:hyperlink>
    </w:p>
    <w:p>
      <w:pPr>
        <w:pStyle w:val="CaptionAula"/>
        <w:spacing w:after="80" w:before="80" w:line="252" w:lineRule="auto"/>
        <w:jc w:val="left"/>
        <w:keepNext/>
        <w:keepLines/>
      </w:pPr>
      <w:r>
        <w:t>Tabela 7. 4.2 JABOT — Papel, Uso na aula, Evidência a observar, Cautela.</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Uso na aula</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Evidência a observar</w:t>
            </w:r>
          </w:p>
        </w:tc>
        <w:tc>
          <w:tcPr>
            <w:tcW w:type="dxa" w:w="4446"/>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Cautela</w:t>
            </w:r>
          </w:p>
        </w:tc>
      </w:tr>
      <w:tr>
        <w:trPr>
          <w:cantSplit/>
        </w:trPr>
        <w:tc>
          <w:tcPr>
            <w:tcW w:type="dxa" w:w="4445"/>
            <w:tcMar>
              <w:top w:w="100" w:type="dxa"/>
              <w:start w:w="120" w:type="dxa"/>
              <w:bottom w:w="100" w:type="dxa"/>
              <w:end w:w="120" w:type="dxa"/>
            </w:tcMar>
            <w:vAlign w:val="center"/>
          </w:tcPr>
          <w:p>
            <w:pPr>
              <w:spacing w:after="0" w:before="0" w:line="240" w:lineRule="auto"/>
            </w:pPr>
            <w:r>
              <w:rPr>
                <w:rFonts w:ascii="Aptos" w:hAnsi="Aptos"/>
                <w:sz w:val="24"/>
              </w:rPr>
              <w:t>Sistema de gestão e consulta de coleções</w:t>
            </w:r>
          </w:p>
        </w:tc>
        <w:tc>
          <w:tcPr>
            <w:tcW w:type="dxa" w:w="4445"/>
            <w:tcMar>
              <w:top w:w="100" w:type="dxa"/>
              <w:start w:w="120" w:type="dxa"/>
              <w:bottom w:w="100" w:type="dxa"/>
              <w:end w:w="120" w:type="dxa"/>
            </w:tcMar>
            <w:vAlign w:val="center"/>
          </w:tcPr>
          <w:p>
            <w:pPr>
              <w:spacing w:before="0" w:after="0" w:line="240" w:lineRule="auto"/>
            </w:pPr>
            <w:r>
              <w:rPr>
                <w:sz w:val="24"/>
              </w:rPr>
              <w:t>No portal, filtrar registros. No IPT JABOT, escolher uma coleção e baixar o DwC-A integral; repetir por coleção quando for necessário reunir o conjunto amplo.</w:t>
            </w:r>
          </w:p>
        </w:tc>
        <w:tc>
          <w:tcPr>
            <w:tcW w:type="dxa" w:w="4445"/>
            <w:tcMar>
              <w:top w:w="100" w:type="dxa"/>
              <w:start w:w="120" w:type="dxa"/>
              <w:bottom w:w="100" w:type="dxa"/>
              <w:end w:w="120" w:type="dxa"/>
            </w:tcMar>
            <w:vAlign w:val="center"/>
          </w:tcPr>
          <w:p>
            <w:pPr>
              <w:spacing w:after="0" w:before="0" w:line="240" w:lineRule="auto"/>
            </w:pPr>
            <w:r>
              <w:rPr>
                <w:sz w:val="24"/>
              </w:rPr>
              <w:t>Portal: catalogNumber, recordedBy, identifiedBy e imagens/etiquetas. IPT: DwC-A, EML, licença, citação, versão e contagem.</w:t>
            </w:r>
          </w:p>
        </w:tc>
        <w:tc>
          <w:tcPr>
            <w:tcW w:type="dxa" w:w="4446"/>
            <w:tcMar>
              <w:top w:w="100" w:type="dxa"/>
              <w:start w:w="120" w:type="dxa"/>
              <w:bottom w:w="100" w:type="dxa"/>
              <w:end w:w="120" w:type="dxa"/>
            </w:tcMar>
            <w:vAlign w:val="center"/>
          </w:tcPr>
          <w:p>
            <w:pPr>
              <w:spacing w:before="0" w:after="0" w:line="240" w:lineRule="auto"/>
            </w:pPr>
            <w:r>
              <w:rPr>
                <w:sz w:val="24"/>
              </w:rPr>
              <w:t>O IPT não filtra ocorrências dentro do dataset publicado. A totalidade exige integrar os DwC-A das coleções pertinentes e controlar proveniência e sobreposições.</w:t>
            </w:r>
          </w:p>
        </w:tc>
      </w:tr>
    </w:tbl>
    <w:p>
      <w:pPr>
        <w:spacing w:after="160" w:before="100"/>
        <w:shd w:fill="EAF3F6"/>
        <w:keepLines/>
        <w:pBdr>
          <w:left w:val="single" w:sz="18" w:space="8" w:color="1F6F8B"/>
        </w:pBdr>
        <w:ind w:left="160"/>
        <w:shd w:fill="EAF3F6"/>
        <w:pBdr>
          <w:left w:val="single" w:sz="18" w:space="8" w:color="1F6F8B"/>
        </w:pBdr>
      </w:pPr>
      <w:r>
        <w:t>Demonstração — consulta filtrada no portal × download por coleção no IPT JABOT. No Portal JABOT, aplique os filtros e exporte o recorte. Depois, abra o IPT JABOT, escolha uma coleção pelo título do dataset e baixe o DwC-A integral daquela coleção. O IPT não repete os filtros do portal. Para obter o conjunto amplo das coleções disponibilizadas no IPT, os DwC-A precisam ser baixados coleção por coleção e reunidos com controle de proveniência, versões e registros sobrepostos.</w:t>
      </w:r>
    </w:p>
    <w:p>
      <w:pPr>
        <w:pStyle w:val="IntenseQuote"/>
      </w:pPr>
      <w:r>
        <w:t>O que significa Archive em Darwin Core Archive (DwC-A)? — Archive é um pacote organizado para intercâmbio: reúne um ou mais arquivos tabulares e um meta.xml que descreve como esses arquivos estão estruturados e devem ser interpretados. Em publicações via IPT, normalmente também há um eml.xml com os metadados do dataset, e o conjunto é distribuído como um arquivo ZIP.</w:t>
      </w:r>
    </w:p>
    <w:p>
      <w:pPr/>
      <w:r>
        <w:t>Nesta Aula 1 — reconheça apenas o Core, as eventuais extensões, meta.xml, eml.xml e o ZIP. A leitura de &lt;id&gt;, &lt;coreid&gt;, rowType, cardinalidades e relações entre Core e extensões será feita na Aula 2.</w:t>
      </w:r>
    </w:p>
    <w:p>
      <w:pPr>
        <w:pStyle w:val="Heading4"/>
        <w:pageBreakBefore/>
        <w:keepNext/>
        <w:keepLines w:val="1"/>
      </w:pPr>
      <w:r>
        <w:t>4.2.3.1 Publicação no IPT JABOT — publicação e download de dataset</w:t>
      </w:r>
    </w:p>
    <w:p>
      <w:r>
        <w:t>Abrir rapidamente</w:t>
      </w:r>
    </w:p>
    <w:p>
      <w:pPr/>
      <w:hyperlink r:id="rId23" w:history="1">
        <w:r>
          <w:rPr>
            <w:color w:val="0563C1"/>
            <w:u w:val="single"/>
          </w:rPr>
          <w:t>https://ipt.jbrj.gov.br/jabot/</w:t>
        </w:r>
      </w:hyperlink>
    </w:p>
    <w:p>
      <w:r>
        <w:t>No Portal JABOT, a unidade de trabalho é o resultado filtrado da consulta ao sistema de coleções. No IPT JABOT, não se filtram ocorrências: escolhe-se o dataset correspondente a uma coleção/herbário e baixa-se a versão publicada dessa coleção, normalmente como Darwin Core Archive (DwC-A). Para reunir a totalidade disponibilizada pelas coleções no IPT, é necessário baixar os datasets publicados de todas as coleções pertinentes e integrá-los.</w:t>
      </w:r>
      <w:r>
        <w:t xml:space="preserve"> Ao integrá-los, preserve a identificação do dataset/coleção e verifique duplicações, sobreposições e diferenças de versão.</w:t>
      </w:r>
    </w:p>
    <w:p>
      <w:r>
        <w:br w:type="page"/>
      </w:r>
    </w:p>
    <w:p>
      <w:pPr>
        <w:pStyle w:val="CaptionAula"/>
        <w:pageBreakBefore w:val="0"/>
        <w:spacing w:after="80" w:before="80" w:line="252" w:lineRule="auto"/>
        <w:jc w:val="left"/>
        <w:keepLines/>
      </w:pPr>
      <w:r>
        <w:t>Tabela 8. 4.2.3.1 IPT JABOT — publicação e download de dataset no IPT — Aspecto, Portal JABOT, IPT JABOT.</w:t>
      </w:r>
    </w:p>
    <w:tbl>
      <w:tblPr>
        <w:tblStyle w:val="TableGrid"/>
        <w:tblW w:type="dxa" w:w="17782"/>
        <w:jc w:val="center"/>
        <w:tblLook w:firstColumn="1" w:firstRow="1" w:lastColumn="0" w:lastRow="0" w:noHBand="0" w:noVBand="1" w:val="04A0"/>
        <w:tblLayout w:type="fixed"/>
      </w:tblPr>
      <w:tblGrid>
        <w:gridCol w:w="5927"/>
        <w:gridCol w:w="5927"/>
        <w:gridCol w:w="5927"/>
      </w:tblGrid>
      <w:tr>
        <w:trPr>
          <w:cantSplit/>
          <w:tblHeader w:val="true"/>
        </w:trPr>
        <w:tc>
          <w:tcPr>
            <w:tcW w:type="dxa" w:w="5927"/>
            <w:vAlign w:val="center"/>
            <w:shd w:fill="1F4E68"/>
          </w:tcPr>
          <w:p>
            <w:pPr>
              <w:spacing w:after="0" w:before="0" w:line="240" w:lineRule="auto"/>
            </w:pPr>
            <w:r>
              <w:rPr>
                <w:rFonts w:ascii="Aptos" w:hAnsi="Aptos"/>
                <w:b/>
                <w:color w:val="FFFFFF"/>
                <w:sz w:val="23"/>
              </w:rPr>
              <w:t>Aspecto</w:t>
            </w:r>
          </w:p>
        </w:tc>
        <w:tc>
          <w:tcPr>
            <w:tcW w:type="dxa" w:w="5927"/>
            <w:vAlign w:val="center"/>
            <w:shd w:fill="1F4E68"/>
          </w:tcPr>
          <w:p>
            <w:pPr>
              <w:spacing w:after="0" w:before="0" w:line="240" w:lineRule="auto"/>
            </w:pPr>
            <w:r>
              <w:rPr>
                <w:rFonts w:ascii="Aptos" w:hAnsi="Aptos"/>
                <w:b/>
                <w:color w:val="FFFFFF"/>
                <w:sz w:val="23"/>
              </w:rPr>
              <w:t>Portal JABOT</w:t>
            </w:r>
          </w:p>
        </w:tc>
        <w:tc>
          <w:tcPr>
            <w:tcW w:type="dxa" w:w="5927"/>
            <w:vAlign w:val="center"/>
            <w:shd w:fill="1F4E68"/>
          </w:tcPr>
          <w:p>
            <w:pPr>
              <w:spacing w:after="0" w:before="0" w:line="240" w:lineRule="auto"/>
            </w:pPr>
            <w:r>
              <w:rPr>
                <w:rFonts w:ascii="Aptos" w:hAnsi="Aptos"/>
                <w:b/>
                <w:color w:val="FFFFFF"/>
                <w:sz w:val="23"/>
              </w:rPr>
              <w:t>IPT JABOT</w:t>
            </w:r>
          </w:p>
        </w:tc>
      </w:tr>
      <w:tr>
        <w:trPr>
          <w:cantSplit/>
        </w:trPr>
        <w:tc>
          <w:tcPr>
            <w:tcW w:type="dxa" w:w="5927"/>
            <w:vAlign w:val="center"/>
          </w:tcPr>
          <w:p>
            <w:r/>
            <w:r>
              <w:rPr>
                <w:rFonts w:ascii="Aptos" w:hAnsi="Aptos"/>
                <w:b w:val="0"/>
                <w:sz w:val="24"/>
              </w:rPr>
              <w:t>Tipo de pergunta</w:t>
            </w:r>
          </w:p>
        </w:tc>
        <w:tc>
          <w:tcPr>
            <w:tcW w:type="dxa" w:w="5927"/>
            <w:vAlign w:val="center"/>
          </w:tcPr>
          <w:p>
            <w:r/>
            <w:r>
              <w:rPr>
                <w:rFonts w:ascii="Aptos" w:hAnsi="Aptos"/>
                <w:b w:val="0"/>
                <w:sz w:val="24"/>
              </w:rPr>
              <w:t>Localizar registros que atendem aos filtros aplicados no portal.</w:t>
            </w:r>
          </w:p>
        </w:tc>
        <w:tc>
          <w:tcPr>
            <w:tcW w:type="dxa" w:w="5927"/>
            <w:vAlign w:val="center"/>
          </w:tcPr>
          <w:p>
            <w:r/>
            <w:r>
              <w:rPr>
                <w:rFonts w:ascii="Aptos" w:hAnsi="Aptos"/>
                <w:b w:val="0"/>
                <w:sz w:val="24"/>
              </w:rPr>
              <w:t>Identificar qual coleção/herbário publicou o dataset e em qual versão.</w:t>
            </w:r>
          </w:p>
        </w:tc>
      </w:tr>
      <w:tr>
        <w:trPr>
          <w:cantSplit/>
        </w:trPr>
        <w:tc>
          <w:tcPr>
            <w:tcW w:type="dxa" w:w="5927"/>
            <w:vAlign w:val="center"/>
          </w:tcPr>
          <w:p>
            <w:pPr>
              <w:spacing w:after="0" w:before="0" w:line="240" w:lineRule="auto"/>
            </w:pPr>
            <w:r>
              <w:rPr>
                <w:rFonts w:ascii="Aptos" w:hAnsi="Aptos"/>
                <w:sz w:val="23"/>
              </w:rPr>
              <w:t>Consulta</w:t>
            </w:r>
          </w:p>
        </w:tc>
        <w:tc>
          <w:tcPr>
            <w:tcW w:type="dxa" w:w="5927"/>
            <w:vAlign w:val="center"/>
          </w:tcPr>
          <w:p>
            <w:pPr>
              <w:spacing w:after="0" w:before="0" w:line="240" w:lineRule="auto"/>
            </w:pPr>
            <w:r>
              <w:rPr>
                <w:sz w:val="23"/>
              </w:rPr>
              <w:t>Filtros por táxon, tombo, coletor, localidade e outros campos disponíveis.</w:t>
            </w:r>
          </w:p>
        </w:tc>
        <w:tc>
          <w:tcPr>
            <w:tcW w:type="dxa" w:w="5927"/>
            <w:vAlign w:val="center"/>
          </w:tcPr>
          <w:p>
            <w:pPr>
              <w:spacing w:after="0" w:before="0" w:line="240" w:lineRule="auto"/>
            </w:pPr>
            <w:r>
              <w:rPr>
                <w:sz w:val="23"/>
              </w:rPr>
              <w:t>Não filtra ocorrências dentro do dataset publicado. A página inicial lista datasets publicados por coleção; escolha pelo título, acrônimo e publicador.</w:t>
            </w:r>
          </w:p>
        </w:tc>
      </w:tr>
      <w:tr>
        <w:trPr>
          <w:cantSplit/>
        </w:trPr>
        <w:tc>
          <w:tcPr>
            <w:tcW w:type="dxa" w:w="5927"/>
            <w:vAlign w:val="center"/>
          </w:tcPr>
          <w:p>
            <w:pPr>
              <w:spacing w:after="0" w:before="0" w:line="240" w:lineRule="auto"/>
            </w:pPr>
            <w:r>
              <w:rPr>
                <w:rFonts w:ascii="Aptos" w:hAnsi="Aptos"/>
                <w:sz w:val="23"/>
              </w:rPr>
              <w:t>Download</w:t>
            </w:r>
          </w:p>
        </w:tc>
        <w:tc>
          <w:tcPr>
            <w:tcW w:type="dxa" w:w="5927"/>
            <w:vAlign w:val="center"/>
          </w:tcPr>
          <w:p>
            <w:pPr>
              <w:spacing w:after="0" w:before="0" w:line="240" w:lineRule="auto"/>
            </w:pPr>
            <w:r>
              <w:rPr>
                <w:sz w:val="23"/>
              </w:rPr>
              <w:t>Exportação do recorte retornado pela consulta.</w:t>
            </w:r>
          </w:p>
        </w:tc>
        <w:tc>
          <w:tcPr>
            <w:tcW w:type="dxa" w:w="5927"/>
            <w:vAlign w:val="center"/>
          </w:tcPr>
          <w:p>
            <w:pPr>
              <w:spacing w:after="0" w:before="0" w:line="240" w:lineRule="auto"/>
            </w:pPr>
            <w:r>
              <w:rPr>
                <w:sz w:val="23"/>
              </w:rPr>
              <w:t>Download integral da coleção escolhida, normalmente como Darwin Core Archive (DwC-A).</w:t>
            </w:r>
          </w:p>
        </w:tc>
      </w:tr>
      <w:tr>
        <w:trPr>
          <w:cantSplit/>
        </w:trPr>
        <w:tc>
          <w:tcPr>
            <w:tcW w:type="dxa" w:w="5927"/>
            <w:vAlign w:val="center"/>
          </w:tcPr>
          <w:p>
            <w:pPr>
              <w:spacing w:after="0" w:before="0" w:line="240" w:lineRule="auto"/>
            </w:pPr>
            <w:r>
              <w:rPr>
                <w:rFonts w:ascii="Aptos" w:hAnsi="Aptos"/>
                <w:sz w:val="23"/>
              </w:rPr>
              <w:t>Arquivos e metadados</w:t>
            </w:r>
          </w:p>
        </w:tc>
        <w:tc>
          <w:tcPr>
            <w:tcW w:type="dxa" w:w="5927"/>
            <w:vAlign w:val="center"/>
          </w:tcPr>
          <w:p>
            <w:pPr>
              <w:spacing w:after="0" w:before="0" w:line="240" w:lineRule="auto"/>
            </w:pPr>
            <w:r>
              <w:rPr>
                <w:sz w:val="23"/>
              </w:rPr>
              <w:t>Arquivo de exportação com os registros filtrados; metadados de publicação podem não acompanhar o CSV.</w:t>
            </w:r>
          </w:p>
        </w:tc>
        <w:tc>
          <w:tcPr>
            <w:tcW w:type="dxa" w:w="5927"/>
            <w:vAlign w:val="center"/>
          </w:tcPr>
          <w:p>
            <w:pPr>
              <w:spacing w:after="0" w:before="0" w:line="240" w:lineRule="auto"/>
            </w:pPr>
            <w:r>
              <w:rPr>
                <w:sz w:val="23"/>
              </w:rPr>
              <w:t>DwC-A da coleção, com meta.xml e arquivos de dados; EML/RTF, licença, citação, versão e contagem quando disponíveis.</w:t>
            </w:r>
          </w:p>
        </w:tc>
      </w:tr>
      <w:tr>
        <w:trPr>
          <w:cantSplit/>
        </w:trPr>
        <w:tc>
          <w:tcPr>
            <w:tcW w:type="dxa" w:w="5927"/>
            <w:vAlign w:val="center"/>
          </w:tcPr>
          <w:p>
            <w:pPr>
              <w:spacing w:after="0" w:before="0" w:line="240" w:lineRule="auto"/>
            </w:pPr>
            <w:r>
              <w:rPr>
                <w:rFonts w:ascii="Aptos" w:hAnsi="Aptos"/>
                <w:sz w:val="23"/>
              </w:rPr>
              <w:t>Registro mínimo para a aula</w:t>
            </w:r>
          </w:p>
        </w:tc>
        <w:tc>
          <w:tcPr>
            <w:tcW w:type="dxa" w:w="5927"/>
            <w:vAlign w:val="center"/>
          </w:tcPr>
          <w:p>
            <w:pPr>
              <w:spacing w:after="0" w:before="0" w:line="240" w:lineRule="auto"/>
            </w:pPr>
            <w:r>
              <w:rPr>
                <w:sz w:val="23"/>
              </w:rPr>
              <w:t>Filtros, data, número de resultados e nome do arquivo.</w:t>
            </w:r>
          </w:p>
        </w:tc>
        <w:tc>
          <w:tcPr>
            <w:tcW w:type="dxa" w:w="5927"/>
            <w:vAlign w:val="center"/>
          </w:tcPr>
          <w:p>
            <w:pPr>
              <w:spacing w:after="0" w:before="0" w:line="240" w:lineRule="auto"/>
            </w:pPr>
            <w:r>
              <w:rPr>
                <w:sz w:val="23"/>
              </w:rPr>
              <w:t>Coleção, título do dataset, publicador, versão, data, licença, citação e arquivos presentes.</w:t>
            </w:r>
          </w:p>
        </w:tc>
      </w:tr>
    </w:tbl>
    <w:p>
      <w:pPr>
        <w:pStyle w:val="Heading3"/>
        <w:keepNext/>
      </w:pPr>
      <w:r>
        <w:t>4.2.4 Licença, proveniência e cautelas</w:t>
      </w:r>
    </w:p>
    <w:p>
      <w:pPr/>
      <w:r>
        <w:t>O recorte do portal e o dataset publicado no IPT devem manter sua proveniência, coleção, versão, data, licença e citação. Ao reunir coleções, verifique sobreposições e diferenças de versão.</w:t>
      </w:r>
    </w:p>
    <w:p>
      <w:pPr>
        <w:pStyle w:val="Heading3"/>
        <w:keepNext/>
      </w:pPr>
      <w:r>
        <w:t>4.2.5 No Explorador da Aula 1</w:t>
      </w:r>
    </w:p>
    <w:p>
      <w:pPr>
        <w:pStyle w:val="IntenseQuote"/>
        <w:keepNext w:val="0"/>
      </w:pPr>
      <w:r>
        <w:t xml:space="preserve">ABRIR O EXPLORADOR — </w:t>
      </w:r>
      <w:hyperlink r:id="rId42">
        <w:r>
          <w:rPr>
            <w:color w:val="0563C1"/>
            <w:u w:val="single"/>
            <w:b/>
          </w:rPr>
          <w:t>Explorador da Aula 1 — JABOT</w:t>
        </w:r>
      </w:hyperlink>
      <w:r>
        <w:t xml:space="preserve"> — compare o recorte do portal com o produto observado no arquivo fornecido.</w:t>
      </w:r>
    </w:p>
    <w:p>
      <w:pPr>
        <w:pStyle w:val="IntenseQuote"/>
        <w:keepNext w:val="0"/>
      </w:pPr>
      <w:r>
        <w:t xml:space="preserve">ABRIR O EXPLORADOR — </w:t>
      </w:r>
      <w:hyperlink r:id="rId43">
        <w:r>
          <w:rPr>
            <w:color w:val="0563C1"/>
            <w:u w:val="single"/>
            <w:b/>
          </w:rPr>
          <w:t>IPT JABOT / BHCB</w:t>
        </w:r>
      </w:hyperlink>
      <w:r/>
    </w:p>
    <w:p>
      <w:pPr>
        <w:pStyle w:val="Heading2"/>
        <w:pageBreakBefore/>
        <w:keepNext/>
        <w:keepLines w:val="1"/>
      </w:pPr>
      <w:r>
        <w:t>4.3 Reflora — Herbário Virtual</w:t>
      </w:r>
    </w:p>
    <w:p>
      <w:pPr>
        <w:pStyle w:val="Heading3"/>
        <w:keepNext/>
      </w:pPr>
      <w:r>
        <w:t>4.3.1 O que é e que dados oferece</w:t>
      </w:r>
    </w:p>
    <w:p>
      <w:pPr/>
      <w:r>
        <w:t>O Reflora é um herbário virtual e portal de espécimes. Nesta aula, utilizamos registros de espécimes, imagens, origem, nome, coleta, tombo, duplicatas e o relatório gerado pela consulta.</w:t>
      </w:r>
    </w:p>
    <w:p>
      <w:pPr>
        <w:pStyle w:val="Heading3"/>
        <w:keepNext/>
      </w:pPr>
      <w:r>
        <w:t>4.3.2 Como usamos nesta aula</w:t>
      </w:r>
    </w:p>
    <w:p>
      <w:pPr/>
      <w:r>
        <w:t>No Herbário Virtual Reflora, filtramos espécimes e geramos o relatório. No IPT Reflora, escolhemos uma coleção e observamos a versão publicada do dataset em Darwin Core Archive (DwC-A).</w:t>
      </w:r>
    </w:p>
    <w:p>
      <w:pPr>
        <w:pStyle w:val="Heading3"/>
        <w:keepNext/>
      </w:pPr>
      <w:r>
        <w:t>4.3.3 Produto e evidências observadas</w:t>
      </w:r>
    </w:p>
    <w:p>
      <w:r>
        <w:t>Portal</w:t>
      </w:r>
    </w:p>
    <w:p>
      <w:pPr/>
      <w:hyperlink r:id="rId24" w:history="1">
        <w:r>
          <w:rPr>
            <w:color w:val="0563C1"/>
            <w:u w:val="single"/>
          </w:rPr>
          <w:t>https://reflora.jbrj.gov.br/reflora/herbarioVirtual</w:t>
        </w:r>
      </w:hyperlink>
    </w:p>
    <w:p>
      <w:pPr>
        <w:pStyle w:val="CaptionAula"/>
        <w:spacing w:after="80" w:before="80" w:line="252" w:lineRule="auto"/>
        <w:jc w:val="left"/>
        <w:keepNext/>
        <w:keepLines/>
      </w:pPr>
      <w:r>
        <w:t>Tabela 9. 4.3 Reflora — Herbário Virtual — Papel, Uso na aula, Evidência a observar, Cautela.</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Uso na aula</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Evidência a observar</w:t>
            </w:r>
          </w:p>
        </w:tc>
        <w:tc>
          <w:tcPr>
            <w:tcW w:type="dxa" w:w="4446"/>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Cautela</w:t>
            </w:r>
          </w:p>
        </w:tc>
      </w:tr>
      <w:tr>
        <w:trPr>
          <w:cantSplit/>
        </w:trPr>
        <w:tc>
          <w:tcPr>
            <w:tcW w:type="dxa" w:w="4445"/>
            <w:tcMar>
              <w:top w:w="100" w:type="dxa"/>
              <w:start w:w="120" w:type="dxa"/>
              <w:bottom w:w="100" w:type="dxa"/>
              <w:end w:w="120" w:type="dxa"/>
            </w:tcMar>
            <w:vAlign w:val="center"/>
          </w:tcPr>
          <w:p>
            <w:pPr>
              <w:spacing w:after="0" w:before="0" w:line="240" w:lineRule="auto"/>
            </w:pPr>
            <w:r>
              <w:rPr>
                <w:rFonts w:ascii="Aptos" w:hAnsi="Aptos"/>
                <w:sz w:val="24"/>
              </w:rPr>
              <w:t>Herbário virtual e portal de espécimes</w:t>
            </w:r>
          </w:p>
        </w:tc>
        <w:tc>
          <w:tcPr>
            <w:tcW w:type="dxa" w:w="4445"/>
            <w:tcMar>
              <w:top w:w="100" w:type="dxa"/>
              <w:start w:w="120" w:type="dxa"/>
              <w:bottom w:w="100" w:type="dxa"/>
              <w:end w:w="120" w:type="dxa"/>
            </w:tcMar>
            <w:vAlign w:val="center"/>
          </w:tcPr>
          <w:p>
            <w:pPr>
              <w:spacing w:before="0" w:after="0" w:line="240" w:lineRule="auto"/>
            </w:pPr>
            <w:r>
              <w:rPr>
                <w:sz w:val="24"/>
              </w:rPr>
              <w:t>No portal, filtrar espécimes e gerar o relatório. No IPT Reflora, escolher uma coleção e baixar seu DwC-A integral; repetir por coleção para reunir o conjunto amplo.</w:t>
            </w:r>
          </w:p>
        </w:tc>
        <w:tc>
          <w:tcPr>
            <w:tcW w:type="dxa" w:w="4445"/>
            <w:tcMar>
              <w:top w:w="100" w:type="dxa"/>
              <w:start w:w="120" w:type="dxa"/>
              <w:bottom w:w="100" w:type="dxa"/>
              <w:end w:w="120" w:type="dxa"/>
            </w:tcMar>
            <w:vAlign w:val="center"/>
          </w:tcPr>
          <w:p>
            <w:pPr>
              <w:spacing w:after="0" w:before="0" w:line="240" w:lineRule="auto"/>
            </w:pPr>
            <w:r>
              <w:rPr>
                <w:rFonts w:ascii="Aptos" w:hAnsi="Aptos"/>
                <w:sz w:val="24"/>
              </w:rPr>
              <w:t>Portal: imagem, origem, nome, coleta, tombo, duplicatas e relatório. IPT: DwC-A, EML, licença, citação, versão e contagem do dataset.</w:t>
            </w:r>
          </w:p>
        </w:tc>
        <w:tc>
          <w:tcPr>
            <w:tcW w:type="dxa" w:w="4446"/>
            <w:tcMar>
              <w:top w:w="100" w:type="dxa"/>
              <w:start w:w="120" w:type="dxa"/>
              <w:bottom w:w="100" w:type="dxa"/>
              <w:end w:w="120" w:type="dxa"/>
            </w:tcMar>
            <w:vAlign w:val="center"/>
          </w:tcPr>
          <w:p>
            <w:pPr>
              <w:spacing w:before="0" w:after="0" w:line="240" w:lineRule="auto"/>
            </w:pPr>
            <w:r>
              <w:rPr>
                <w:sz w:val="24"/>
              </w:rPr>
              <w:t>O IPT não filtra espécimes dentro do dataset publicado. A totalidade exige integrar os DwC-A das coleções pertinentes e controlar proveniência, duplicatas e versões.</w:t>
            </w:r>
          </w:p>
        </w:tc>
      </w:tr>
    </w:tbl>
    <w:p>
      <w:pPr>
        <w:spacing w:after="160" w:before="100"/>
        <w:shd w:fill="EAF3F6"/>
        <w:keepLines/>
        <w:pBdr>
          <w:left w:val="single" w:sz="18" w:space="8" w:color="1F6F8B"/>
        </w:pBdr>
        <w:ind w:left="160"/>
        <w:shd w:fill="EAF3F6"/>
        <w:pBdr>
          <w:left w:val="single" w:sz="18" w:space="8" w:color="1F6F8B"/>
        </w:pBdr>
      </w:pPr>
      <w:r>
        <w:t>Demonstração — relatório filtrado no portal × download por coleção no IPT Reflora. No Herbário Virtual Reflora, filtre espécimes e gere o relatório XLSX. Depois, abra o IPT Reflora, escolha o dataset correspondente a uma coleção e baixe o DwC-A integral daquela coleção. Não há filtro de ocorrências dentro do dataset no IPT. Para obter o conjunto amplo das coleções disponibilizadas no IPT, os DwC-A precisam ser baixados coleção por coleção e integrados.</w:t>
      </w:r>
    </w:p>
    <w:p>
      <w:pPr>
        <w:pStyle w:val="Heading4"/>
        <w:pageBreakBefore/>
        <w:keepNext/>
        <w:keepLines w:val="1"/>
      </w:pPr>
      <w:r>
        <w:t>4.3.3.1 Publicação no IPT Reflora — publicação e download de dataset</w:t>
      </w:r>
    </w:p>
    <w:p>
      <w:r>
        <w:t>Abrir rapidamente</w:t>
      </w:r>
    </w:p>
    <w:p>
      <w:pPr/>
      <w:hyperlink r:id="rId25" w:history="1">
        <w:r>
          <w:rPr>
            <w:color w:val="0563C1"/>
            <w:u w:val="single"/>
          </w:rPr>
          <w:t>https://ipt.jbrj.gov.br/reflora/</w:t>
        </w:r>
      </w:hyperlink>
    </w:p>
    <w:p>
      <w:r>
        <w:t>No Herbário Virtual Reflora, a consulta retorna espécimes e imagens segundo os filtros aplicados. No IPT Reflora, não se filtram registros de espécimes: escolhe-se o dataset correspondente a uma coleção/herbário e baixa-se seu Darwin Core Archive (DwC-A). Para reunir a totalidade disponibilizada pelas coleções no IPT, é necessário baixar os datasets publicados de todas as coleções pertinentes e integrá-los.</w:t>
      </w:r>
      <w:r>
        <w:t xml:space="preserve"> Ao integrá-los, preserve a coleção de origem e trate duplicatas, sobreposições e diferenças de versão.</w:t>
      </w:r>
    </w:p>
    <w:p>
      <w:r>
        <w:br w:type="page"/>
      </w:r>
    </w:p>
    <w:p>
      <w:pPr>
        <w:pStyle w:val="CaptionAula"/>
        <w:pageBreakBefore w:val="0"/>
        <w:spacing w:after="80" w:before="80" w:line="252" w:lineRule="auto"/>
        <w:jc w:val="left"/>
        <w:keepNext/>
        <w:keepLines/>
      </w:pPr>
      <w:r>
        <w:t>Tabela 10. 4.3.3.1 IPT Reflora — publicação e download de dataset no IPT — Aspecto, Portal Reflora, IPT Reflora.</w:t>
      </w:r>
    </w:p>
    <w:tbl>
      <w:tblPr>
        <w:tblStyle w:val="TableGrid"/>
        <w:tblW w:type="dxa" w:w="17782"/>
        <w:jc w:val="center"/>
        <w:tblLook w:firstColumn="1" w:firstRow="1" w:lastColumn="0" w:lastRow="0" w:noHBand="0" w:noVBand="1" w:val="04A0"/>
        <w:tblLayout w:type="fixed"/>
      </w:tblPr>
      <w:tblGrid>
        <w:gridCol w:w="5927"/>
        <w:gridCol w:w="5927"/>
        <w:gridCol w:w="5927"/>
      </w:tblGrid>
      <w:tr>
        <w:trPr>
          <w:cantSplit/>
          <w:tblHeader w:val="true"/>
        </w:trPr>
        <w:tc>
          <w:tcPr>
            <w:tcW w:type="dxa" w:w="5927"/>
            <w:vAlign w:val="center"/>
            <w:shd w:fill="1F4E68"/>
          </w:tcPr>
          <w:p>
            <w:pPr>
              <w:spacing w:after="0" w:before="0" w:line="240" w:lineRule="auto"/>
            </w:pPr>
            <w:r>
              <w:rPr>
                <w:rFonts w:ascii="Aptos" w:hAnsi="Aptos"/>
                <w:b/>
                <w:color w:val="FFFFFF"/>
                <w:sz w:val="23"/>
              </w:rPr>
              <w:t>Aspecto</w:t>
            </w:r>
          </w:p>
        </w:tc>
        <w:tc>
          <w:tcPr>
            <w:tcW w:type="dxa" w:w="5927"/>
            <w:vAlign w:val="center"/>
            <w:shd w:fill="1F4E68"/>
          </w:tcPr>
          <w:p>
            <w:pPr>
              <w:spacing w:after="0" w:before="0" w:line="240" w:lineRule="auto"/>
            </w:pPr>
            <w:r>
              <w:rPr>
                <w:rFonts w:ascii="Aptos" w:hAnsi="Aptos"/>
                <w:b/>
                <w:color w:val="FFFFFF"/>
                <w:sz w:val="23"/>
              </w:rPr>
              <w:t>Portal Reflora</w:t>
            </w:r>
          </w:p>
        </w:tc>
        <w:tc>
          <w:tcPr>
            <w:tcW w:type="dxa" w:w="5927"/>
            <w:vAlign w:val="center"/>
            <w:shd w:fill="1F4E68"/>
          </w:tcPr>
          <w:p>
            <w:pPr>
              <w:spacing w:after="0" w:before="0" w:line="240" w:lineRule="auto"/>
            </w:pPr>
            <w:r>
              <w:rPr>
                <w:rFonts w:ascii="Aptos" w:hAnsi="Aptos"/>
                <w:b/>
                <w:color w:val="FFFFFF"/>
                <w:sz w:val="23"/>
              </w:rPr>
              <w:t>IPT Reflora</w:t>
            </w:r>
          </w:p>
        </w:tc>
      </w:tr>
      <w:tr>
        <w:trPr>
          <w:cantSplit/>
        </w:trPr>
        <w:tc>
          <w:tcPr>
            <w:tcW w:type="dxa" w:w="5927"/>
            <w:vAlign w:val="center"/>
          </w:tcPr>
          <w:p>
            <w:r/>
            <w:r>
              <w:rPr>
                <w:rFonts w:ascii="Aptos" w:hAnsi="Aptos"/>
                <w:b w:val="0"/>
                <w:sz w:val="24"/>
              </w:rPr>
              <w:t>Tipo de pergunta</w:t>
            </w:r>
          </w:p>
        </w:tc>
        <w:tc>
          <w:tcPr>
            <w:tcW w:type="dxa" w:w="5927"/>
            <w:vAlign w:val="center"/>
          </w:tcPr>
          <w:p>
            <w:r/>
            <w:r>
              <w:rPr>
                <w:rFonts w:ascii="Aptos" w:hAnsi="Aptos"/>
                <w:b w:val="0"/>
                <w:sz w:val="24"/>
              </w:rPr>
              <w:t>Localizar espécimes e imagens que atendem aos filtros do portal.</w:t>
            </w:r>
          </w:p>
        </w:tc>
        <w:tc>
          <w:tcPr>
            <w:tcW w:type="dxa" w:w="5927"/>
            <w:vAlign w:val="center"/>
          </w:tcPr>
          <w:p>
            <w:r/>
            <w:r>
              <w:rPr>
                <w:rFonts w:ascii="Aptos" w:hAnsi="Aptos"/>
                <w:b w:val="0"/>
                <w:sz w:val="24"/>
              </w:rPr>
              <w:t>Identificar qual coleção/herbário publicou o dataset e em qual versão.</w:t>
            </w:r>
          </w:p>
        </w:tc>
      </w:tr>
      <w:tr>
        <w:trPr>
          <w:cantSplit/>
        </w:trPr>
        <w:tc>
          <w:tcPr>
            <w:tcW w:type="dxa" w:w="5927"/>
            <w:vAlign w:val="center"/>
          </w:tcPr>
          <w:p>
            <w:pPr>
              <w:spacing w:after="0" w:before="0" w:line="240" w:lineRule="auto"/>
            </w:pPr>
            <w:r>
              <w:rPr>
                <w:rFonts w:ascii="Aptos" w:hAnsi="Aptos"/>
                <w:sz w:val="23"/>
              </w:rPr>
              <w:t>Consulta</w:t>
            </w:r>
          </w:p>
        </w:tc>
        <w:tc>
          <w:tcPr>
            <w:tcW w:type="dxa" w:w="5927"/>
            <w:vAlign w:val="center"/>
          </w:tcPr>
          <w:p>
            <w:pPr>
              <w:spacing w:after="0" w:before="0" w:line="240" w:lineRule="auto"/>
            </w:pPr>
            <w:r>
              <w:rPr>
                <w:sz w:val="23"/>
              </w:rPr>
              <w:t>Filtros sobre espécimes; visualização de imagens, códigos de barras, duplicatas e dados curatoriais.</w:t>
            </w:r>
          </w:p>
        </w:tc>
        <w:tc>
          <w:tcPr>
            <w:tcW w:type="dxa" w:w="5927"/>
            <w:vAlign w:val="center"/>
          </w:tcPr>
          <w:p>
            <w:pPr>
              <w:spacing w:after="0" w:before="0" w:line="240" w:lineRule="auto"/>
            </w:pPr>
            <w:r>
              <w:rPr>
                <w:sz w:val="23"/>
              </w:rPr>
              <w:t>Não filtra espécimes dentro do dataset publicado. A página inicial lista datasets publicados por coleção; escolha pelo título, acrônimo e publicador.</w:t>
            </w:r>
          </w:p>
        </w:tc>
      </w:tr>
      <w:tr>
        <w:trPr>
          <w:cantSplit/>
        </w:trPr>
        <w:tc>
          <w:tcPr>
            <w:tcW w:type="dxa" w:w="5927"/>
            <w:vAlign w:val="center"/>
          </w:tcPr>
          <w:p>
            <w:pPr>
              <w:spacing w:after="0" w:before="0" w:line="240" w:lineRule="auto"/>
            </w:pPr>
            <w:r>
              <w:rPr>
                <w:rFonts w:ascii="Aptos" w:hAnsi="Aptos"/>
                <w:sz w:val="23"/>
              </w:rPr>
              <w:t>Download</w:t>
            </w:r>
          </w:p>
        </w:tc>
        <w:tc>
          <w:tcPr>
            <w:tcW w:type="dxa" w:w="5927"/>
            <w:vAlign w:val="center"/>
          </w:tcPr>
          <w:p>
            <w:pPr>
              <w:spacing w:after="0" w:before="0" w:line="240" w:lineRule="auto"/>
            </w:pPr>
            <w:r>
              <w:rPr>
                <w:sz w:val="23"/>
              </w:rPr>
              <w:t>Relatório XLSX correspondente ao recorte da consulta.</w:t>
            </w:r>
          </w:p>
        </w:tc>
        <w:tc>
          <w:tcPr>
            <w:tcW w:type="dxa" w:w="5927"/>
            <w:vAlign w:val="center"/>
          </w:tcPr>
          <w:p>
            <w:pPr>
              <w:spacing w:after="0" w:before="0" w:line="240" w:lineRule="auto"/>
            </w:pPr>
            <w:r>
              <w:rPr>
                <w:sz w:val="23"/>
              </w:rPr>
              <w:t>Download integral da coleção escolhida, normalmente como Darwin Core Archive (DwC-A).</w:t>
            </w:r>
          </w:p>
        </w:tc>
      </w:tr>
      <w:tr>
        <w:trPr>
          <w:cantSplit/>
        </w:trPr>
        <w:tc>
          <w:tcPr>
            <w:tcW w:type="dxa" w:w="5927"/>
            <w:vAlign w:val="center"/>
          </w:tcPr>
          <w:p>
            <w:pPr>
              <w:spacing w:after="0" w:before="0" w:line="240" w:lineRule="auto"/>
            </w:pPr>
            <w:r>
              <w:rPr>
                <w:rFonts w:ascii="Aptos" w:hAnsi="Aptos"/>
                <w:sz w:val="23"/>
              </w:rPr>
              <w:t>Forma dos dados</w:t>
            </w:r>
          </w:p>
        </w:tc>
        <w:tc>
          <w:tcPr>
            <w:tcW w:type="dxa" w:w="5927"/>
            <w:vAlign w:val="center"/>
          </w:tcPr>
          <w:p>
            <w:pPr>
              <w:spacing w:after="0" w:before="0" w:line="240" w:lineRule="auto"/>
            </w:pPr>
            <w:r>
              <w:rPr>
                <w:sz w:val="23"/>
              </w:rPr>
              <w:t>Colunas curatoriais próprias; o arquivo depende dos filtros aplicados.</w:t>
            </w:r>
          </w:p>
        </w:tc>
        <w:tc>
          <w:tcPr>
            <w:tcW w:type="dxa" w:w="5927"/>
            <w:vAlign w:val="center"/>
          </w:tcPr>
          <w:p>
            <w:pPr>
              <w:spacing w:after="0" w:before="0" w:line="240" w:lineRule="auto"/>
            </w:pPr>
            <w:r>
              <w:rPr>
                <w:sz w:val="23"/>
              </w:rPr>
              <w:t>Core e eventuais extensões da coleção descritos em meta.xml; EML/RTF, licença, citação, versão e contagem quando disponíveis.</w:t>
            </w:r>
          </w:p>
        </w:tc>
      </w:tr>
      <w:tr>
        <w:trPr>
          <w:cantSplit/>
        </w:trPr>
        <w:tc>
          <w:tcPr>
            <w:tcW w:type="dxa" w:w="5927"/>
            <w:vAlign w:val="center"/>
          </w:tcPr>
          <w:p>
            <w:pPr>
              <w:spacing w:after="0" w:before="0" w:line="240" w:lineRule="auto"/>
            </w:pPr>
            <w:r>
              <w:rPr>
                <w:rFonts w:ascii="Aptos" w:hAnsi="Aptos"/>
                <w:sz w:val="23"/>
              </w:rPr>
              <w:t>Registro mínimo para a aula</w:t>
            </w:r>
          </w:p>
        </w:tc>
        <w:tc>
          <w:tcPr>
            <w:tcW w:type="dxa" w:w="5927"/>
            <w:vAlign w:val="center"/>
          </w:tcPr>
          <w:p>
            <w:pPr>
              <w:spacing w:after="0" w:before="0" w:line="240" w:lineRule="auto"/>
            </w:pPr>
            <w:r>
              <w:rPr>
                <w:sz w:val="23"/>
              </w:rPr>
              <w:t>Filtros, data, quantidade retornada e arquivo do relatório.</w:t>
            </w:r>
          </w:p>
        </w:tc>
        <w:tc>
          <w:tcPr>
            <w:tcW w:type="dxa" w:w="5927"/>
            <w:vAlign w:val="center"/>
          </w:tcPr>
          <w:p>
            <w:pPr>
              <w:spacing w:after="0" w:before="0" w:line="240" w:lineRule="auto"/>
            </w:pPr>
            <w:r>
              <w:rPr>
                <w:sz w:val="23"/>
              </w:rPr>
              <w:t>Coleção, título do dataset, publicador, versão, data, licença, citação e estrutura do archive.</w:t>
            </w:r>
          </w:p>
        </w:tc>
      </w:tr>
    </w:tbl>
    <w:p>
      <w:pPr>
        <w:pStyle w:val="Heading3"/>
        <w:keepNext/>
      </w:pPr>
      <w:r>
        <w:t>4.3.4 Licença, proveniência e cautelas</w:t>
      </w:r>
    </w:p>
    <w:p>
      <w:pPr/>
      <w:r>
        <w:t>O relatório do portal e o dataset publicado no IPT têm finalidades diferentes. Preserve filtros, coleção de origem, versão, data, licença e citação; ao integrar coleções, trate duplicatas, sobreposições e diferenças de versão.</w:t>
      </w:r>
    </w:p>
    <w:p>
      <w:pPr>
        <w:pStyle w:val="Heading3"/>
        <w:keepNext/>
      </w:pPr>
      <w:r>
        <w:t>4.3.5 No Explorador da Aula 1</w:t>
      </w:r>
    </w:p>
    <w:p>
      <w:pPr>
        <w:pStyle w:val="IntenseQuote"/>
        <w:keepNext w:val="0"/>
      </w:pPr>
      <w:r>
        <w:t xml:space="preserve">ABRIR O EXPLORADOR — </w:t>
      </w:r>
      <w:hyperlink r:id="rId44">
        <w:r>
          <w:rPr>
            <w:color w:val="0563C1"/>
            <w:u w:val="single"/>
            <w:b/>
          </w:rPr>
          <w:t>Explorador da Aula 1 — Reflora</w:t>
        </w:r>
      </w:hyperlink>
      <w:r>
        <w:t xml:space="preserve"> — compare o relatório filtrado com as evidências disponíveis no arquivo fornecido.</w:t>
      </w:r>
    </w:p>
    <w:p>
      <w:pPr>
        <w:pStyle w:val="IntenseQuote"/>
        <w:keepNext w:val="0"/>
      </w:pPr>
      <w:r>
        <w:t xml:space="preserve">ABRIR O EXPLORADOR — </w:t>
      </w:r>
      <w:hyperlink r:id="rId45">
        <w:r>
          <w:rPr>
            <w:color w:val="0563C1"/>
            <w:u w:val="single"/>
            <w:b/>
          </w:rPr>
          <w:t>Explorador da Aula 1 — IPT Reflora / CESJ</w:t>
        </w:r>
      </w:hyperlink>
      <w:r>
        <w:t xml:space="preserve"> — reconheça no segundo Archive os mesmos componentes observados no IPT JABOT.</w:t>
      </w:r>
    </w:p>
    <w:p>
      <w:pPr>
        <w:pStyle w:val="Heading2"/>
        <w:pageBreakBefore/>
        <w:keepNext/>
        <w:keepLines w:val="1"/>
      </w:pPr>
      <w:r>
        <w:t>4.4 Flora e Funga do Brasil</w:t>
      </w:r>
    </w:p>
    <w:p>
      <w:pPr>
        <w:pStyle w:val="Heading3"/>
        <w:keepNext/>
      </w:pPr>
      <w:r>
        <w:t>4.4.1 O que é e que dados oferece</w:t>
      </w:r>
    </w:p>
    <w:p>
      <w:pPr/>
      <w:r>
        <w:t>Flora e Funga do Brasil é um catálogo taxonômico nacional e um checklist publicado no IPT. Nesta aula, utilizamos nomes aceitos, sinônimos, autoria, classificação, distribuição e tratamentos.</w:t>
      </w:r>
    </w:p>
    <w:p>
      <w:pPr>
        <w:pStyle w:val="Heading3"/>
        <w:keepNext/>
      </w:pPr>
      <w:r>
        <w:t>4.4.2 Como usamos nesta aula</w:t>
      </w:r>
    </w:p>
    <w:p>
      <w:pPr/>
      <w:r>
        <w:t>No portal, pesquisamos um táxon e interpretamos seu tratamento. No IPT, observamos a versão publicada do checklist e seu Darwin Core Archive (DwC-A).</w:t>
      </w:r>
    </w:p>
    <w:p>
      <w:pPr>
        <w:pStyle w:val="Heading3"/>
        <w:keepNext/>
      </w:pPr>
      <w:r>
        <w:t>4.4.3 Produto e evidências observadas</w:t>
      </w:r>
    </w:p>
    <w:p>
      <w:r>
        <w:t>Portal</w:t>
      </w:r>
    </w:p>
    <w:p>
      <w:pPr/>
      <w:hyperlink r:id="rId28" w:history="1">
        <w:r>
          <w:rPr>
            <w:color w:val="0563C1"/>
            <w:u w:val="single"/>
          </w:rPr>
          <w:t>https://floradobrasil.jbrj.gov.br</w:t>
        </w:r>
      </w:hyperlink>
    </w:p>
    <w:p>
      <w:pPr>
        <w:pStyle w:val="CaptionAula"/>
        <w:spacing w:after="80" w:before="80" w:line="252" w:lineRule="auto"/>
        <w:jc w:val="left"/>
        <w:keepNext/>
        <w:keepLines/>
      </w:pPr>
      <w:r>
        <w:t>Tabela 11. 4.4 Flora e Funga do Brasil — Papel, Uso na aula, Evidência a observar, Cautela.</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Uso na aula</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Evidência a observar</w:t>
            </w:r>
          </w:p>
        </w:tc>
        <w:tc>
          <w:tcPr>
            <w:tcW w:type="dxa" w:w="4446"/>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Cautela</w:t>
            </w:r>
          </w:p>
        </w:tc>
      </w:tr>
      <w:tr>
        <w:trPr>
          <w:cantSplit/>
        </w:trPr>
        <w:tc>
          <w:tcPr>
            <w:tcW w:type="dxa" w:w="4445"/>
            <w:tcMar>
              <w:top w:w="100" w:type="dxa"/>
              <w:start w:w="120" w:type="dxa"/>
              <w:bottom w:w="100" w:type="dxa"/>
              <w:end w:w="120" w:type="dxa"/>
            </w:tcMar>
            <w:vAlign w:val="center"/>
          </w:tcPr>
          <w:p>
            <w:pPr>
              <w:spacing w:before="0" w:after="0" w:line="240" w:lineRule="auto"/>
            </w:pPr>
            <w:r>
              <w:rPr>
                <w:sz w:val="24"/>
              </w:rPr>
              <w:t>Catálogo taxonômico nacional e checklist publicado no IPT.</w:t>
            </w:r>
          </w:p>
        </w:tc>
        <w:tc>
          <w:tcPr>
            <w:tcW w:type="dxa" w:w="4445"/>
            <w:tcMar>
              <w:top w:w="100" w:type="dxa"/>
              <w:start w:w="120" w:type="dxa"/>
              <w:bottom w:w="100" w:type="dxa"/>
              <w:end w:w="120" w:type="dxa"/>
            </w:tcMar>
            <w:vAlign w:val="center"/>
          </w:tcPr>
          <w:p>
            <w:pPr>
              <w:spacing w:before="0" w:after="0" w:line="240" w:lineRule="auto"/>
            </w:pPr>
            <w:r>
              <w:rPr>
                <w:sz w:val="24"/>
              </w:rPr>
              <w:t>No portal, pesquisar táxons, nomes aceitos, sinônimos, distribuição e tratamentos. No IPT, abrir o dataset publicado e baixar a versão integral do checklist.</w:t>
            </w:r>
          </w:p>
        </w:tc>
        <w:tc>
          <w:tcPr>
            <w:tcW w:type="dxa" w:w="4445"/>
            <w:tcMar>
              <w:top w:w="100" w:type="dxa"/>
              <w:start w:w="120" w:type="dxa"/>
              <w:bottom w:w="100" w:type="dxa"/>
              <w:end w:w="120" w:type="dxa"/>
            </w:tcMar>
            <w:vAlign w:val="center"/>
          </w:tcPr>
          <w:p>
            <w:pPr>
              <w:spacing w:before="0" w:after="0" w:line="240" w:lineRule="auto"/>
            </w:pPr>
            <w:r>
              <w:rPr>
                <w:sz w:val="24"/>
              </w:rPr>
              <w:t>Portal: página e tratamento do táxon. IPT: Taxon Core, seis extensões, meta.xml, EML/RTF, versão, licença, citação e DOI/registro no GBIF.</w:t>
            </w:r>
          </w:p>
        </w:tc>
        <w:tc>
          <w:tcPr>
            <w:tcW w:type="dxa" w:w="4446"/>
            <w:tcMar>
              <w:top w:w="100" w:type="dxa"/>
              <w:start w:w="120" w:type="dxa"/>
              <w:bottom w:w="100" w:type="dxa"/>
              <w:end w:w="120" w:type="dxa"/>
            </w:tcMar>
            <w:vAlign w:val="center"/>
          </w:tcPr>
          <w:p>
            <w:pPr>
              <w:spacing w:before="0" w:after="0" w:line="240" w:lineRule="auto"/>
            </w:pPr>
            <w:r>
              <w:rPr>
                <w:sz w:val="24"/>
              </w:rPr>
              <w:t>O portal é uma consulta dinâmica; o DwC-A é uma publicação versionada. Não tratar o resultado de uma busca no portal como equivalente ao archive completo.</w:t>
            </w:r>
          </w:p>
        </w:tc>
      </w:tr>
    </w:tbl>
    <w:p>
      <w:pPr>
        <w:pStyle w:val="Heading4"/>
        <w:keepNext/>
      </w:pPr>
      <w:r>
        <w:t>4.4.3.1 Publicação no IPT JBRJ — Flora e Funga do Brasil</w:t>
      </w:r>
    </w:p>
    <w:p>
      <w:pPr/>
      <w:r>
        <w:t>IPT JBRJ — Flora e Funga do Brasil: dataset publicado</w:t>
      </w:r>
    </w:p>
    <w:p>
      <w:pPr/>
      <w:hyperlink r:id="rId29" w:history="1">
        <w:r>
          <w:rPr>
            <w:color w:val="0563C1"/>
            <w:u w:val="single"/>
          </w:rPr>
          <w:t>https://ipt.jbrj.gov.br/jbrj/resource?r=lista_especies_flora_brasil</w:t>
        </w:r>
      </w:hyperlink>
    </w:p>
    <w:p>
      <w:pPr/>
      <w:r>
        <w:t>Demonstração — No portal, pesquise um táxon e observe nome aceito, sinônimos, autoria, classificação e distribuição. Em seguida, abra o IPT: registre versão, licença CC BY 4.0, citação e estrutura; baixe o DwC-A integral e identifique taxon.txt como Taxon Core e as extensões declaradas em meta.xml. O IPT não reproduz os filtros do portal.</w:t>
      </w:r>
    </w:p>
    <w:p>
      <w:pPr/>
      <w:r>
        <w:t xml:space="preserve">Arquivo fornecido — </w:t>
      </w:r>
      <w:hyperlink r:id="rId14" w:history="1">
        <w:r>
          <w:rPr>
            <w:color w:val="0563C1"/>
            <w:u w:val="single"/>
          </w:rPr>
          <w:t>data/exemplos/ipt_jbrj/flora_e_funga_do_brasil/taxon_core/dwca-lista_especies_flora_brasil-v393.428.zip</w:t>
        </w:r>
      </w:hyperlink>
      <w:r>
        <w:t>. Na Aula 1, reconheça a publicação; na Atividade Aula 3_4, o mesmo conjunto pode ser escolhido para investigar um Taxon Core com extensões.</w:t>
      </w:r>
    </w:p>
    <w:p>
      <w:pPr>
        <w:pStyle w:val="Heading3"/>
        <w:keepNext/>
      </w:pPr>
      <w:r>
        <w:t>4.4.4 Licença, proveniência e cautelas</w:t>
      </w:r>
    </w:p>
    <w:p>
      <w:pPr/>
      <w:r>
        <w:t>O portal é uma consulta dinâmica e o DwC-A é uma publicação versionada. Preserve a versão, a licença, a citação e os metadados do dataset; não trate o resultado de uma busca no portal como equivalente ao archive completo.</w:t>
      </w:r>
    </w:p>
    <w:p>
      <w:pPr>
        <w:pStyle w:val="Heading3"/>
        <w:keepNext/>
      </w:pPr>
      <w:r>
        <w:t>4.4.5 No Explorador da Aula 1</w:t>
      </w:r>
    </w:p>
    <w:p>
      <w:pPr>
        <w:pStyle w:val="IntenseQuote"/>
        <w:keepNext w:val="0"/>
      </w:pPr>
      <w:r>
        <w:t xml:space="preserve">ABRIR O EXPLORADOR — </w:t>
      </w:r>
      <w:hyperlink r:id="rId46">
        <w:r>
          <w:rPr>
            <w:color w:val="0563C1"/>
            <w:u w:val="single"/>
            <w:b/>
          </w:rPr>
          <w:t>Explorador da Aula 1 — Flora e Funga</w:t>
        </w:r>
      </w:hyperlink>
      <w:r>
        <w:t xml:space="preserve"> — compare a consulta no portal com o dataset publicado no IPT.</w:t>
      </w:r>
    </w:p>
    <w:p>
      <w:pPr>
        <w:pStyle w:val="Heading2"/>
        <w:pageBreakBefore/>
        <w:keepNext/>
        <w:keepLines w:val="1"/>
      </w:pPr>
      <w:r>
        <w:t>4.5 Catálogo Taxonômico da Fauna do Brasil</w:t>
      </w:r>
    </w:p>
    <w:p>
      <w:pPr>
        <w:pStyle w:val="Heading3"/>
        <w:keepNext/>
      </w:pPr>
      <w:r>
        <w:t>4.5.1 O que é e que dados oferece</w:t>
      </w:r>
    </w:p>
    <w:p>
      <w:pPr/>
      <w:r>
        <w:t>O Catálogo Taxonômico da Fauna do Brasil é um catálogo taxonômico nacional e um checklist publicado no IPT. Nesta aula, utilizamos nomes válidos, sinonímia e classificação.</w:t>
      </w:r>
    </w:p>
    <w:p>
      <w:pPr>
        <w:pStyle w:val="Heading3"/>
        <w:keepNext/>
      </w:pPr>
      <w:r>
        <w:t>4.5.2 Como usamos nesta aula</w:t>
      </w:r>
    </w:p>
    <w:p>
      <w:pPr/>
      <w:r>
        <w:t>No portal, pesquisamos um táxon e interpretamos nome válido, sinônimos e classificação. No IPT, observamos a versão publicada do checklist e seu Darwin Core Archive (DwC-A).</w:t>
      </w:r>
    </w:p>
    <w:p>
      <w:pPr>
        <w:pStyle w:val="Heading3"/>
        <w:keepNext/>
      </w:pPr>
      <w:r>
        <w:t>4.5.3 Produto e evidências observadas</w:t>
      </w:r>
    </w:p>
    <w:p>
      <w:r>
        <w:t>Portal</w:t>
      </w:r>
    </w:p>
    <w:p>
      <w:pPr/>
      <w:hyperlink r:id="rId30" w:history="1">
        <w:r>
          <w:rPr>
            <w:color w:val="0563C1"/>
            <w:u w:val="single"/>
          </w:rPr>
          <w:t>https://fauna.jbrj.gov.br</w:t>
        </w:r>
      </w:hyperlink>
    </w:p>
    <w:p>
      <w:pPr>
        <w:pStyle w:val="CaptionAula"/>
        <w:spacing w:after="80" w:before="80" w:line="252" w:lineRule="auto"/>
        <w:jc w:val="left"/>
        <w:keepNext/>
        <w:keepLines/>
      </w:pPr>
      <w:r>
        <w:t>Tabela 12. 4.5 Catálogo Taxonômico da Fauna do Brasil — Papel, Uso na aula, Evidência a observar, Cautela.</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Uso na aula</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Evidência a observar</w:t>
            </w:r>
          </w:p>
        </w:tc>
        <w:tc>
          <w:tcPr>
            <w:tcW w:type="dxa" w:w="4446"/>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Cautela</w:t>
            </w:r>
          </w:p>
        </w:tc>
      </w:tr>
      <w:tr>
        <w:trPr>
          <w:cantSplit/>
        </w:trPr>
        <w:tc>
          <w:tcPr>
            <w:tcW w:type="dxa" w:w="4445"/>
            <w:tcMar>
              <w:top w:w="100" w:type="dxa"/>
              <w:start w:w="120" w:type="dxa"/>
              <w:bottom w:w="100" w:type="dxa"/>
              <w:end w:w="120" w:type="dxa"/>
            </w:tcMar>
            <w:vAlign w:val="center"/>
          </w:tcPr>
          <w:p>
            <w:pPr>
              <w:spacing w:before="0" w:after="0" w:line="240" w:lineRule="auto"/>
            </w:pPr>
            <w:r>
              <w:rPr>
                <w:sz w:val="24"/>
              </w:rPr>
              <w:t>Catálogo taxonômico nacional e checklist publicado no IPT.</w:t>
            </w:r>
          </w:p>
        </w:tc>
        <w:tc>
          <w:tcPr>
            <w:tcW w:type="dxa" w:w="4445"/>
            <w:tcMar>
              <w:top w:w="100" w:type="dxa"/>
              <w:start w:w="120" w:type="dxa"/>
              <w:bottom w:w="100" w:type="dxa"/>
              <w:end w:w="120" w:type="dxa"/>
            </w:tcMar>
            <w:vAlign w:val="center"/>
          </w:tcPr>
          <w:p>
            <w:pPr>
              <w:spacing w:before="0" w:after="0" w:line="240" w:lineRule="auto"/>
            </w:pPr>
            <w:r>
              <w:rPr>
                <w:sz w:val="24"/>
              </w:rPr>
              <w:t>No portal, pesquisar táxons, nomes válidos, sinonímia e classificação. No IPT, abrir o dataset publicado e baixar a versão integral do checklist.</w:t>
            </w:r>
          </w:p>
        </w:tc>
        <w:tc>
          <w:tcPr>
            <w:tcW w:type="dxa" w:w="4445"/>
            <w:tcMar>
              <w:top w:w="100" w:type="dxa"/>
              <w:start w:w="120" w:type="dxa"/>
              <w:bottom w:w="100" w:type="dxa"/>
              <w:end w:w="120" w:type="dxa"/>
            </w:tcMar>
            <w:vAlign w:val="center"/>
          </w:tcPr>
          <w:p>
            <w:pPr>
              <w:spacing w:before="0" w:after="0" w:line="240" w:lineRule="auto"/>
            </w:pPr>
            <w:r>
              <w:rPr>
                <w:sz w:val="24"/>
              </w:rPr>
              <w:t>Portal: consulta e página do táxon. IPT: Taxon Core, quatro extensões, meta.xml, EML/RTF, versão, licença, citação e registro no GBIF.</w:t>
            </w:r>
          </w:p>
        </w:tc>
        <w:tc>
          <w:tcPr>
            <w:tcW w:type="dxa" w:w="4446"/>
            <w:tcMar>
              <w:top w:w="100" w:type="dxa"/>
              <w:start w:w="120" w:type="dxa"/>
              <w:bottom w:w="100" w:type="dxa"/>
              <w:end w:w="120" w:type="dxa"/>
            </w:tcMar>
            <w:vAlign w:val="center"/>
          </w:tcPr>
          <w:p>
            <w:pPr>
              <w:spacing w:before="0" w:after="0" w:line="240" w:lineRule="auto"/>
            </w:pPr>
            <w:r>
              <w:rPr>
                <w:sz w:val="24"/>
              </w:rPr>
              <w:t>O portal é dinâmico; o DwC-A fixa uma versão publicada. Contagens e conteúdo podem mudar entre a consulta atual e o arquivo fornecido.</w:t>
            </w:r>
          </w:p>
        </w:tc>
      </w:tr>
    </w:tbl>
    <w:p>
      <w:pPr>
        <w:pStyle w:val="Heading4"/>
        <w:keepNext/>
      </w:pPr>
      <w:r>
        <w:t>4.5.3.1 Publicação no IPT JBRJ — Catálogo da Fauna</w:t>
      </w:r>
    </w:p>
    <w:p>
      <w:pPr/>
      <w:r>
        <w:t>IPT JBRJ — Catálogo Taxonômico da Fauna do Brasil: dataset publicado</w:t>
      </w:r>
    </w:p>
    <w:p>
      <w:pPr/>
      <w:hyperlink r:id="rId31" w:history="1">
        <w:r>
          <w:rPr>
            <w:color w:val="0563C1"/>
            <w:u w:val="single"/>
          </w:rPr>
          <w:t>https://ipt.jbrj.gov.br/jbrj/resource?r=catalogo_taxonomico_da_fauna_do_brasil</w:t>
        </w:r>
      </w:hyperlink>
    </w:p>
    <w:p>
      <w:pPr/>
      <w:r>
        <w:t>Demonstração — No portal, pesquise um táxon e observe o nome válido, sinônimos e classificação. Em seguida, abra o IPT: registre versão, licença CC BY 4.0, citação e estrutura; baixe o DwC-A integral e identifique taxon.txt como Taxon Core e as extensões declaradas. O IPT não é uma segunda interface de busca por táxon: é a página de publicação e download de dataset no IPT.</w:t>
      </w:r>
    </w:p>
    <w:p>
      <w:pPr/>
      <w:r>
        <w:t xml:space="preserve">Arquivo fornecido — </w:t>
      </w:r>
      <w:hyperlink r:id="rId15" w:history="1">
        <w:r>
          <w:rPr>
            <w:color w:val="0563C1"/>
            <w:u w:val="single"/>
          </w:rPr>
          <w:t>data/exemplos/ipt_jbrj/catalogo_taxonomico_da_fauna_do_brasil/taxon_core/dwca-catalogo_taxonomico_da_fauna_do_brasil-v1.53.zip</w:t>
        </w:r>
      </w:hyperlink>
      <w:r>
        <w:t>. Na Aula 1, reconheça a publicação; na questão 8 da AF1, esse conjunto pode ser designado para a aplicação integrada.</w:t>
      </w:r>
    </w:p>
    <w:p>
      <w:pPr>
        <w:pStyle w:val="Heading3"/>
        <w:keepNext/>
      </w:pPr>
      <w:r>
        <w:t>4.5.4 Licença, proveniência e cautelas</w:t>
      </w:r>
    </w:p>
    <w:p>
      <w:pPr/>
      <w:r>
        <w:t>O portal é dinâmico e o DwC-A fixa uma versão publicada. Preserve versão, licença, citação e metadados; contagens e conteúdo podem mudar entre a consulta atual e o arquivo fornecido.</w:t>
      </w:r>
    </w:p>
    <w:p>
      <w:pPr>
        <w:pStyle w:val="Heading3"/>
        <w:keepNext/>
      </w:pPr>
      <w:r>
        <w:t>4.5.5 No Explorador da Aula 1</w:t>
      </w:r>
    </w:p>
    <w:p>
      <w:pPr>
        <w:pStyle w:val="IntenseQuote"/>
        <w:keepNext w:val="0"/>
      </w:pPr>
      <w:r>
        <w:t xml:space="preserve">ABRIR O EXPLORADOR — </w:t>
      </w:r>
      <w:hyperlink r:id="rId47">
        <w:r>
          <w:rPr>
            <w:color w:val="0563C1"/>
            <w:u w:val="single"/>
            <w:b/>
          </w:rPr>
          <w:t>Explorador da Aula 1 — Catálogo da Fauna</w:t>
        </w:r>
      </w:hyperlink>
      <w:r>
        <w:t xml:space="preserve"> — compare a consulta no portal com o dataset publicado no IPT.</w:t>
      </w:r>
    </w:p>
    <w:p>
      <w:pPr>
        <w:pStyle w:val="Heading2"/>
        <w:keepNext/>
        <w:keepLines w:val="1"/>
        <w:pageBreakBefore/>
      </w:pPr>
      <w:r>
        <w:t>4.6 GBIF — Global Biodiversity Information Facility</w:t>
      </w:r>
    </w:p>
    <w:p>
      <w:pPr>
        <w:pStyle w:val="Heading3"/>
        <w:keepNext/>
      </w:pPr>
      <w:r>
        <w:t>4.6.1 O que é e que dados oferece</w:t>
      </w:r>
    </w:p>
    <w:p>
      <w:pPr/>
      <w:r>
        <w:t>O GBIF é um agregador global e uma infraestrutura de dados de biodiversidade. Nesta aula, utilizamos ocorrências integradas e comparamos Simple, Darwin Core Archive (DwC-A) e Species list.</w:t>
      </w:r>
    </w:p>
    <w:p>
      <w:pPr>
        <w:pStyle w:val="Heading3"/>
        <w:keepNext/>
      </w:pPr>
      <w:r>
        <w:t>4.6.2 Como usamos nesta aula</w:t>
      </w:r>
    </w:p>
    <w:p>
      <w:pPr/>
      <w:r>
        <w:t>Aplicamos filtros equivalentes, registramos o DOI do download e comparamos produtos diferentes da mesma infraestrutura, preservando dataset, publicador, filtros e proveniência.</w:t>
      </w:r>
    </w:p>
    <w:p>
      <w:pPr>
        <w:pStyle w:val="Heading3"/>
        <w:keepNext/>
      </w:pPr>
      <w:r>
        <w:t>4.6.3 Produto e evidências observadas</w:t>
      </w:r>
    </w:p>
    <w:p>
      <w:r>
        <w:t>Portal</w:t>
      </w:r>
    </w:p>
    <w:p>
      <w:pPr/>
      <w:hyperlink r:id="rId36" w:history="1">
        <w:r>
          <w:rPr>
            <w:color w:val="0563C1"/>
            <w:u w:val="single"/>
          </w:rPr>
          <w:t>https://www.gbif.org/occurrence/search</w:t>
        </w:r>
      </w:hyperlink>
    </w:p>
    <w:p>
      <w:pPr>
        <w:sectPr w:rsidR="00FC693F" w:rsidRPr="0006063C" w:rsidSect="00034616">
          <w:type w:val="nextPage"/>
          <w:headerReference w:type="default" r:id="rId9"/>
          <w:footerReference w:type="default" r:id="rId10"/>
          <w:pgSz w:w="19200" w:h="10800" w:orient="landscape"/>
          <w:pgMar w:top="595" w:right="709" w:bottom="539" w:left="709" w:header="198" w:footer="198" w:gutter="0"/>
          <w:cols w:space="720"/>
          <w:docGrid w:linePitch="360"/>
        </w:sectPr>
      </w:pPr>
    </w:p>
    <w:p>
      <w:pPr>
        <w:pStyle w:val="Heading4"/>
        <w:keepNext/>
      </w:pPr>
      <w:r>
        <w:t>4.6.3.1 Produtos utilizados: Simple, DwC-A e Species list</w:t>
      </w:r>
    </w:p>
    <w:p>
      <w:pPr>
        <w:pStyle w:val="CaptionAula"/>
        <w:spacing w:after="80" w:before="80" w:line="252" w:lineRule="auto"/>
        <w:jc w:val="left"/>
        <w:keepNext/>
        <w:keepLines/>
      </w:pPr>
      <w:r>
        <w:t>Tabela 13. 4.6 GBIF — Global Biodiversity Information Facility — Papel, Uso na aula, Evidência a observar, Cautela.</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Uso na aula</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Evidência a observar</w:t>
            </w:r>
          </w:p>
        </w:tc>
        <w:tc>
          <w:tcPr>
            <w:tcW w:type="dxa" w:w="4446"/>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Cautela</w:t>
            </w:r>
          </w:p>
        </w:tc>
      </w:tr>
      <w:tr>
        <w:trPr>
          <w:cantSplit/>
        </w:trPr>
        <w:tc>
          <w:tcPr>
            <w:tcW w:type="dxa" w:w="4445"/>
            <w:tcMar>
              <w:top w:w="100" w:type="dxa"/>
              <w:start w:w="120" w:type="dxa"/>
              <w:bottom w:w="100" w:type="dxa"/>
              <w:end w:w="120" w:type="dxa"/>
            </w:tcMar>
            <w:vAlign w:val="center"/>
          </w:tcPr>
          <w:p>
            <w:pPr>
              <w:spacing w:after="0" w:before="0" w:line="240" w:lineRule="auto"/>
            </w:pPr>
            <w:r>
              <w:rPr>
                <w:rFonts w:ascii="Aptos" w:hAnsi="Aptos"/>
                <w:sz w:val="24"/>
              </w:rPr>
              <w:t>Agregador global e infraestrutura de dados</w:t>
            </w:r>
          </w:p>
        </w:tc>
        <w:tc>
          <w:tcPr>
            <w:tcW w:type="dxa" w:w="444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Integrar a comparação; selecionar backbone; baixar Simple, DwC-A e Species list.</w:t>
            </w:r>
          </w:p>
        </w:tc>
        <w:tc>
          <w:tcPr>
            <w:tcW w:type="dxa" w:w="444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dataset, publisher, occurrenceID, basisOfRecord, licença, DOI do download e filtros.</w:t>
            </w:r>
          </w:p>
        </w:tc>
        <w:tc>
          <w:tcPr>
            <w:tcW w:type="dxa" w:w="4446"/>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O resultado é mediado e reúne datasets de origem distintos; no bloco acompanhado pelo Explorador, o GBIF fica por último para consolidar as demais fontes com exemplos locais.</w:t>
            </w:r>
          </w:p>
        </w:tc>
      </w:tr>
    </w:tbl>
    <w:p>
      <w:pPr>
        <w:spacing w:after="20"/>
      </w:pPr>
      <w:r/>
    </w:p>
    <w:p>
      <w:pPr>
        <w:pStyle w:val="Heading3"/>
        <w:keepNext/>
      </w:pPr>
      <w:r>
        <w:t>4.6.4 Licença, proveniência e cautelas</w:t>
      </w:r>
    </w:p>
    <w:p>
      <w:pPr/>
      <w:r>
        <w:t>O download agregado reúne datasets de origem distintos. Preserve DOI, filtros, dataset, publicador, proveniência e as licenças aplicáveis aos registros e às mídias.</w:t>
      </w:r>
    </w:p>
    <w:p>
      <w:pPr>
        <w:pStyle w:val="Heading3"/>
        <w:keepNext/>
      </w:pPr>
      <w:r>
        <w:t>4.6.5 No Explorador da Aula 1</w:t>
      </w:r>
    </w:p>
    <w:p>
      <w:pPr>
        <w:pStyle w:val="IntenseQuote"/>
        <w:keepNext w:val="0"/>
      </w:pPr>
      <w:r>
        <w:t xml:space="preserve">ABRIR O EXPLORADOR — </w:t>
      </w:r>
      <w:hyperlink r:id="rId48">
        <w:r>
          <w:rPr>
            <w:color w:val="0563C1"/>
            <w:u w:val="single"/>
            <w:b/>
          </w:rPr>
          <w:t>Explorador da Aula 1 — GBIF</w:t>
        </w:r>
      </w:hyperlink>
      <w:r>
        <w:t xml:space="preserve"> — observe Simple, DwC-A e Species list como produtos diferentes da mesma infraestrutura de integração.</w:t>
      </w:r>
    </w:p>
    <w:p>
      <w:pPr>
        <w:pStyle w:val="IntenseQuote"/>
      </w:pPr>
      <w:r>
        <w:t>OUTRAS FONTES IMPORTANTES PARA CONHECER — SiBBr/IPT SiBBr, Catalogue of Life, POWO e iNaturalist ampliam o panorama da aula com outras formas de agregação, publicação, referência taxonômica e ciência cidadã.</w:t>
      </w:r>
    </w:p>
    <w:p>
      <w:pPr>
        <w:pStyle w:val="Heading2"/>
        <w:pageBreakBefore/>
        <w:keepNext/>
        <w:keepLines w:val="1"/>
      </w:pPr>
      <w:r>
        <w:t>4.7 SiBBr e Integrated Publishing Toolkit (IPT)</w:t>
      </w:r>
    </w:p>
    <w:p>
      <w:pPr>
        <w:pStyle w:val="Heading3"/>
        <w:keepNext/>
      </w:pPr>
      <w:r>
        <w:t>4.7.1 O que é e que dados oferece</w:t>
      </w:r>
    </w:p>
    <w:p>
      <w:pPr/>
      <w:r>
        <w:t>O SiBBr é um agregador nacional e uma infraestrutura de dados. Nesta aula, observamos ocorrências, espécies, coleções e datasets no portal, além de datasets publicados no IPT SiBBr.</w:t>
      </w:r>
    </w:p>
    <w:p>
      <w:pPr>
        <w:pStyle w:val="Heading3"/>
        <w:keepNext/>
      </w:pPr>
      <w:r>
        <w:t>4.7.2 Como usamos nesta aula</w:t>
      </w:r>
    </w:p>
    <w:p>
      <w:pPr/>
      <w:r>
        <w:t>No Portal SiBBr, exploramos e filtramos o índice integrado. No IPT SiBBr, escolhemos um dataset publicado e observamos sua versão e o download do pacote correspondente.</w:t>
      </w:r>
    </w:p>
    <w:p>
      <w:pPr>
        <w:pStyle w:val="Heading3"/>
        <w:keepNext/>
      </w:pPr>
      <w:r>
        <w:t>4.7.3 Produto e evidências observadas</w:t>
      </w:r>
    </w:p>
    <w:p>
      <w:r>
        <w:t>Portal SiBBr</w:t>
      </w:r>
    </w:p>
    <w:p>
      <w:pPr/>
      <w:hyperlink r:id="rId26" w:history="1">
        <w:r>
          <w:rPr>
            <w:color w:val="0563C1"/>
            <w:u w:val="single"/>
          </w:rPr>
          <w:t>https://sibbr.gov.br/</w:t>
        </w:r>
      </w:hyperlink>
    </w:p>
    <w:p>
      <w:pPr>
        <w:pStyle w:val="Heading4"/>
        <w:keepNext/>
      </w:pPr>
      <w:r>
        <w:t>4.7.3.1 Publicação no IPT SiBBr</w:t>
      </w:r>
    </w:p>
    <w:p>
      <w:r>
        <w:t>IPT SiBBr</w:t>
      </w:r>
    </w:p>
    <w:p>
      <w:pPr/>
      <w:hyperlink r:id="rId27" w:history="1">
        <w:r>
          <w:rPr>
            <w:color w:val="0563C1"/>
            <w:u w:val="single"/>
          </w:rPr>
          <w:t>https://ipt.sibbr.gov.br/sibbr/</w:t>
        </w:r>
      </w:hyperlink>
    </w:p>
    <w:p>
      <w:r>
        <w:t>O Portal SiBBr integra e permite explorar registros, espécies, coleções e conjuntos provenientes de diferentes fontes; a consulta produz um recorte do índice agregado. O IPT SiBBr organiza datasets por publicador e disponibiliza a versão publicada de cada dataset, normalmente como DwC-A, além de EML/RTF, licença, citação, contagem e histórico de versões. O download do portal responde aos filtros aplicados; o download do IPT corresponde ao dataset e à versão escolhidos.</w:t>
      </w:r>
    </w:p>
    <w:p>
      <w:pPr>
        <w:pStyle w:val="CaptionAula"/>
        <w:spacing w:after="80" w:before="80" w:line="252" w:lineRule="auto"/>
        <w:jc w:val="left"/>
        <w:keepNext/>
        <w:keepLines/>
      </w:pPr>
      <w:r>
        <w:t>Tabela 14. 4.7 SiBBr e Integrated Publishing Toolkit (IPT) — Papel, Uso na aula, Evidência a observar, Cautela.</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Uso na aula</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Evidência a observar</w:t>
            </w:r>
          </w:p>
        </w:tc>
        <w:tc>
          <w:tcPr>
            <w:tcW w:type="dxa" w:w="4446"/>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Cautela</w:t>
            </w:r>
          </w:p>
        </w:tc>
      </w:tr>
      <w:tr>
        <w:trPr>
          <w:cantSplit/>
        </w:trPr>
        <w:tc>
          <w:tcPr>
            <w:tcW w:type="dxa" w:w="4445"/>
            <w:tcMar>
              <w:top w:w="100" w:type="dxa"/>
              <w:start w:w="120" w:type="dxa"/>
              <w:bottom w:w="100" w:type="dxa"/>
              <w:end w:w="120" w:type="dxa"/>
            </w:tcMar>
            <w:vAlign w:val="center"/>
          </w:tcPr>
          <w:p>
            <w:pPr>
              <w:spacing w:after="0" w:before="0" w:line="240" w:lineRule="auto"/>
            </w:pPr>
            <w:r>
              <w:rPr>
                <w:rFonts w:ascii="Aptos" w:hAnsi="Aptos"/>
                <w:sz w:val="24"/>
              </w:rPr>
              <w:t>Agregador nacional e infraestrutura de dados</w:t>
            </w:r>
          </w:p>
        </w:tc>
        <w:tc>
          <w:tcPr>
            <w:tcW w:type="dxa" w:w="4445"/>
            <w:tcMar>
              <w:top w:w="100" w:type="dxa"/>
              <w:start w:w="120" w:type="dxa"/>
              <w:bottom w:w="100" w:type="dxa"/>
              <w:end w:w="120" w:type="dxa"/>
            </w:tcMar>
            <w:vAlign w:val="center"/>
          </w:tcPr>
          <w:p>
            <w:pPr>
              <w:spacing w:after="0" w:before="0" w:line="240" w:lineRule="auto"/>
            </w:pPr>
            <w:r>
              <w:rPr>
                <w:sz w:val="24"/>
              </w:rPr>
              <w:t>No Portal SiBBr, explorar e filtrar o índice integrado; no IPT SiBBr, escolher um dataset publicado e baixar sua versão publicada.</w:t>
            </w:r>
          </w:p>
        </w:tc>
        <w:tc>
          <w:tcPr>
            <w:tcW w:type="dxa" w:w="4445"/>
            <w:tcMar>
              <w:top w:w="100" w:type="dxa"/>
              <w:start w:w="120" w:type="dxa"/>
              <w:bottom w:w="100" w:type="dxa"/>
              <w:end w:w="120" w:type="dxa"/>
            </w:tcMar>
            <w:vAlign w:val="center"/>
          </w:tcPr>
          <w:p>
            <w:pPr>
              <w:spacing w:after="0" w:before="0" w:line="240" w:lineRule="auto"/>
            </w:pPr>
            <w:r>
              <w:rPr>
                <w:sz w:val="24"/>
              </w:rPr>
              <w:t>Portal: ocorrências, filtros, espécies, coleções e datasets. IPT: DwC-A, EML/RTF, licença, versão, citação e contagem.</w:t>
            </w:r>
          </w:p>
        </w:tc>
        <w:tc>
          <w:tcPr>
            <w:tcW w:type="dxa" w:w="4446"/>
            <w:tcMar>
              <w:top w:w="100" w:type="dxa"/>
              <w:start w:w="120" w:type="dxa"/>
              <w:bottom w:w="100" w:type="dxa"/>
              <w:end w:w="120" w:type="dxa"/>
            </w:tcMar>
            <w:vAlign w:val="center"/>
          </w:tcPr>
          <w:p>
            <w:pPr>
              <w:spacing w:after="0" w:before="0" w:line="240" w:lineRule="auto"/>
            </w:pPr>
            <w:r>
              <w:rPr>
                <w:sz w:val="24"/>
              </w:rPr>
              <w:t>O recorte do portal e o pacote do IPT têm unidades, tempos de atualização e finalidades diferentes; não comparar contagens sem documentar consulta e versão.</w:t>
            </w:r>
          </w:p>
        </w:tc>
      </w:tr>
    </w:tbl>
    <w:tbl>
      <w:tblPr>
        <w:tblW w:type="auto" w:w="0"/>
        <w:tblLook w:firstColumn="1" w:firstRow="1" w:lastColumn="0" w:lastRow="0" w:noHBand="0" w:noVBand="1" w:val="04A0"/>
      </w:tblPr>
      <w:tblGrid>
        <w:gridCol w:w="17782"/>
      </w:tblGrid>
      <w:tr>
        <w:trPr>
          <w:cantSplit/>
          <w:tblHeader w:val="true"/>
        </w:trPr>
        <w:tc>
          <w:tcPr>
            <w:tcW w:type="dxa" w:w="17782"/>
            <w:shd w:fill="EAF3F6"/>
            <w:vAlign w:val="center"/>
          </w:tcPr>
          <w:p>
            <w:r/>
            <w:r>
              <w:rPr>
                <w:b/>
              </w:rPr>
              <w:t xml:space="preserve">Base conceitual — Robertson et al. (2014) — </w:t>
            </w:r>
            <w:r>
              <w:t>O IPT mapeia dados locais para padrões, registra metadados, publica versões e disponibiliza Darwin Core Archives. Portal, IPT, dataset publicado, publicador e agregador não são sinônimos.</w:t>
            </w:r>
          </w:p>
          <w:p>
            <w:r>
              <w:rPr>
                <w:i/>
              </w:rPr>
              <w:t xml:space="preserve">Referência local: </w:t>
            </w:r>
            <w:hyperlink r:id="rId13" w:history="1">
              <w:r>
                <w:rPr>
                  <w:i/>
                  <w:color w:val="0563C1"/>
                  <w:u w:val="single"/>
                </w:rPr>
                <w:t>00_Disciplina/referencias/artigos/Robertson_et_al_2014_IPT.pdf</w:t>
              </w:r>
            </w:hyperlink>
          </w:p>
        </w:tc>
      </w:tr>
    </w:tbl>
    <w:p>
      <w:pPr>
        <w:pStyle w:val="Heading3"/>
        <w:keepNext/>
      </w:pPr>
      <w:r>
        <w:t>4.7.4 Licença, proveniência e cautelas</w:t>
      </w:r>
    </w:p>
    <w:p>
      <w:pPr/>
      <w:r>
        <w:t>O recorte do portal e o pacote publicado no IPT têm unidades, tempos de atualização e finalidades diferentes. Preserve a consulta do portal e, no IPT, o dataset, a versão, a licença e a citação.</w:t>
      </w:r>
    </w:p>
    <w:p>
      <w:pPr>
        <w:pStyle w:val="Heading2"/>
        <w:keepNext/>
        <w:keepLines w:val="1"/>
        <w:pageBreakBefore/>
      </w:pPr>
      <w:r>
        <w:t>4.8 Catalogue of Life (COL)</w:t>
      </w:r>
    </w:p>
    <w:p>
      <w:pPr>
        <w:pStyle w:val="Heading3"/>
        <w:keepNext/>
      </w:pPr>
      <w:r>
        <w:t>4.8.1 O que é e que dados oferece</w:t>
      </w:r>
    </w:p>
    <w:p>
      <w:pPr/>
      <w:r>
        <w:t>O Catalogue of Life é um catálogo taxonômico global. Nesta aula, utilizamos nome aceito, sinônimo, classificação, identificador e fonte taxonômica.</w:t>
      </w:r>
    </w:p>
    <w:p>
      <w:pPr>
        <w:pStyle w:val="Heading3"/>
        <w:keepNext/>
      </w:pPr>
      <w:r>
        <w:t>4.8.2 Como usamos nesta aula</w:t>
      </w:r>
    </w:p>
    <w:p>
      <w:pPr/>
      <w:r>
        <w:t>Comparamos conceitos e sinônimos com os contextos taxonômicos usados no GBIF.</w:t>
      </w:r>
    </w:p>
    <w:p>
      <w:pPr>
        <w:pStyle w:val="Heading3"/>
        <w:keepNext/>
      </w:pPr>
      <w:r>
        <w:t>4.8.3 Produto e evidências observadas</w:t>
      </w:r>
    </w:p>
    <w:p>
      <w:r>
        <w:t>Portal</w:t>
      </w:r>
    </w:p>
    <w:p>
      <w:pPr/>
      <w:hyperlink r:id="rId32" w:history="1">
        <w:r>
          <w:rPr>
            <w:color w:val="0563C1"/>
            <w:u w:val="single"/>
          </w:rPr>
          <w:t>https://www.catalogueoflife.org</w:t>
        </w:r>
      </w:hyperlink>
    </w:p>
    <w:p>
      <w:pPr>
        <w:pStyle w:val="CaptionAula"/>
        <w:spacing w:after="80" w:before="80" w:line="252" w:lineRule="auto"/>
        <w:jc w:val="left"/>
        <w:keepNext/>
        <w:keepLines/>
      </w:pPr>
      <w:r>
        <w:t>Tabela 15. 4.8 Catalogue of Life (COL) — Papel, Uso na aula, Evidência a observar, Cautela.</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Uso na aula</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Evidência a observar</w:t>
            </w:r>
          </w:p>
        </w:tc>
        <w:tc>
          <w:tcPr>
            <w:tcW w:type="dxa" w:w="4446"/>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Cautela</w:t>
            </w:r>
          </w:p>
        </w:tc>
      </w:tr>
      <w:tr>
        <w:trPr>
          <w:cantSplit/>
        </w:trPr>
        <w:tc>
          <w:tcPr>
            <w:tcW w:type="dxa" w:w="4445"/>
            <w:tcMar>
              <w:top w:w="100" w:type="dxa"/>
              <w:start w:w="120" w:type="dxa"/>
              <w:bottom w:w="100" w:type="dxa"/>
              <w:end w:w="120" w:type="dxa"/>
            </w:tcMar>
            <w:vAlign w:val="center"/>
          </w:tcPr>
          <w:p>
            <w:pPr>
              <w:spacing w:after="0" w:before="0" w:line="240" w:lineRule="auto"/>
            </w:pPr>
            <w:r>
              <w:rPr>
                <w:rFonts w:ascii="Aptos" w:hAnsi="Aptos"/>
                <w:sz w:val="24"/>
              </w:rPr>
              <w:t>Catálogo taxonômico global</w:t>
            </w:r>
          </w:p>
        </w:tc>
        <w:tc>
          <w:tcPr>
            <w:tcW w:type="dxa" w:w="444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Comparar conceitos e sinônimos com contextos taxonômicos usados no GBIF.</w:t>
            </w:r>
          </w:p>
        </w:tc>
        <w:tc>
          <w:tcPr>
            <w:tcW w:type="dxa" w:w="444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accepted name, synonym, classificação, identificador e fonte taxonômica.</w:t>
            </w:r>
          </w:p>
        </w:tc>
        <w:tc>
          <w:tcPr>
            <w:tcW w:type="dxa" w:w="4446"/>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Catálogo taxonômico não substitui evidência de ocorrência.</w:t>
            </w:r>
          </w:p>
        </w:tc>
      </w:tr>
    </w:tbl>
    <w:p>
      <w:pPr>
        <w:spacing w:after="20"/>
      </w:pPr>
      <w:r/>
    </w:p>
    <w:p>
      <w:pPr>
        <w:pStyle w:val="Heading3"/>
        <w:keepNext/>
      </w:pPr>
      <w:r>
        <w:t>4.8.4 Licença, proveniência e cautelas</w:t>
      </w:r>
    </w:p>
    <w:p>
      <w:pPr/>
      <w:r>
        <w:t>Catálogo taxonômico não substitui evidência de ocorrência. Preserve o identificador e a fonte taxonômica usados na comparação.</w:t>
      </w:r>
    </w:p>
    <w:p>
      <w:pPr>
        <w:pStyle w:val="Heading2"/>
        <w:keepNext/>
        <w:keepLines w:val="1"/>
        <w:pageBreakBefore/>
      </w:pPr>
      <w:r>
        <w:t>4.9 Plants of the World Online — POWO</w:t>
      </w:r>
    </w:p>
    <w:p>
      <w:pPr>
        <w:pStyle w:val="Heading3"/>
        <w:keepNext/>
      </w:pPr>
      <w:r>
        <w:t>4.9.1 O que é e que dados oferece</w:t>
      </w:r>
    </w:p>
    <w:p>
      <w:pPr/>
      <w:r>
        <w:t>Plants of the World Online é uma referência taxonômica global especializada em plantas. Nesta aula, utilizamos nome aceito, sinônimo, distribuição e referência.</w:t>
      </w:r>
    </w:p>
    <w:p>
      <w:pPr>
        <w:pStyle w:val="Heading3"/>
        <w:keepNext/>
      </w:pPr>
      <w:r>
        <w:t>4.9.2 Como usamos nesta aula</w:t>
      </w:r>
    </w:p>
    <w:p>
      <w:pPr/>
      <w:r>
        <w:t>Comparamos sinonímia e distribuição global com as fontes brasileiras apresentadas na aula.</w:t>
      </w:r>
    </w:p>
    <w:p>
      <w:pPr>
        <w:pStyle w:val="Heading3"/>
        <w:keepNext/>
      </w:pPr>
      <w:r>
        <w:t>4.9.3 Produto e evidências observadas</w:t>
      </w:r>
    </w:p>
    <w:p>
      <w:r>
        <w:t>Portal</w:t>
      </w:r>
    </w:p>
    <w:p>
      <w:pPr/>
      <w:hyperlink r:id="rId33" w:history="1">
        <w:r>
          <w:rPr>
            <w:color w:val="0563C1"/>
            <w:u w:val="single"/>
          </w:rPr>
          <w:t>https://powo.science.kew.org</w:t>
        </w:r>
      </w:hyperlink>
    </w:p>
    <w:p>
      <w:pPr>
        <w:pStyle w:val="CaptionAula"/>
        <w:spacing w:after="80" w:before="80" w:line="252" w:lineRule="auto"/>
        <w:jc w:val="left"/>
        <w:keepNext/>
        <w:keepLines/>
      </w:pPr>
      <w:r>
        <w:t>Tabela 16. 4.9 Plants of the World Online — POWO — Papel, Uso na aula, Evidência a observar, Cautela.</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Uso na aula</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Evidência a observar</w:t>
            </w:r>
          </w:p>
        </w:tc>
        <w:tc>
          <w:tcPr>
            <w:tcW w:type="dxa" w:w="4446"/>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Cautela</w:t>
            </w:r>
          </w:p>
        </w:tc>
      </w:tr>
      <w:tr>
        <w:trPr>
          <w:cantSplit/>
        </w:trPr>
        <w:tc>
          <w:tcPr>
            <w:tcW w:type="dxa" w:w="4445"/>
            <w:tcMar>
              <w:top w:w="100" w:type="dxa"/>
              <w:start w:w="120" w:type="dxa"/>
              <w:bottom w:w="100" w:type="dxa"/>
              <w:end w:w="120" w:type="dxa"/>
            </w:tcMar>
            <w:vAlign w:val="center"/>
          </w:tcPr>
          <w:p>
            <w:pPr>
              <w:spacing w:after="0" w:before="0" w:line="240" w:lineRule="auto"/>
            </w:pPr>
            <w:r>
              <w:rPr>
                <w:rFonts w:ascii="Aptos" w:hAnsi="Aptos"/>
                <w:sz w:val="24"/>
              </w:rPr>
              <w:t>Referência taxonômica global especializada em plantas</w:t>
            </w:r>
          </w:p>
        </w:tc>
        <w:tc>
          <w:tcPr>
            <w:tcW w:type="dxa" w:w="444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Comparar sinonímia e distribuição global com fontes brasileiras.</w:t>
            </w:r>
          </w:p>
        </w:tc>
        <w:tc>
          <w:tcPr>
            <w:tcW w:type="dxa" w:w="444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nome aceito, sinônimo, distribuição e referência.</w:t>
            </w:r>
          </w:p>
        </w:tc>
        <w:tc>
          <w:tcPr>
            <w:tcW w:type="dxa" w:w="4446"/>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Escopo global e tratamento brasileiro podem divergir legitimamente.</w:t>
            </w:r>
          </w:p>
        </w:tc>
      </w:tr>
    </w:tbl>
    <w:p>
      <w:pPr>
        <w:spacing w:after="20"/>
      </w:pPr>
      <w:r/>
    </w:p>
    <w:p>
      <w:pPr>
        <w:pStyle w:val="Heading3"/>
        <w:keepNext/>
      </w:pPr>
      <w:r>
        <w:t>4.9.4 Licença, proveniência e cautelas</w:t>
      </w:r>
    </w:p>
    <w:p>
      <w:pPr/>
      <w:r>
        <w:t>O escopo global e o tratamento brasileiro podem divergir legitimamente. Preserve a referência usada na interpretação.</w:t>
      </w:r>
    </w:p>
    <w:p>
      <w:pPr>
        <w:pStyle w:val="Heading2"/>
        <w:keepNext/>
        <w:keepLines w:val="1"/>
        <w:pageBreakBefore/>
      </w:pPr>
      <w:r>
        <w:t>4.10 iNaturalist</w:t>
      </w:r>
    </w:p>
    <w:p>
      <w:pPr>
        <w:pStyle w:val="Heading3"/>
        <w:keepNext/>
      </w:pPr>
      <w:r>
        <w:t>4.10.1 O que é e que dados oferece</w:t>
      </w:r>
    </w:p>
    <w:p>
      <w:pPr/>
      <w:r>
        <w:t>O iNaturalist é uma plataforma de ciência cidadã. Nesta aula, utilizamos observações com observador, data, coordenada, foto, identificação comunitária e licença.</w:t>
      </w:r>
    </w:p>
    <w:p>
      <w:pPr>
        <w:pStyle w:val="Heading3"/>
        <w:keepNext/>
      </w:pPr>
      <w:r>
        <w:t>4.10.2 Como usamos nesta aula</w:t>
      </w:r>
    </w:p>
    <w:p>
      <w:pPr/>
      <w:r>
        <w:t>Comparamos a observação humana com o espécime preservado e acompanhamos mídia, identificação e condições de uso.</w:t>
      </w:r>
    </w:p>
    <w:p>
      <w:pPr>
        <w:pStyle w:val="Heading3"/>
        <w:keepNext/>
      </w:pPr>
      <w:r>
        <w:t>4.10.3 Produto e evidências observadas</w:t>
      </w:r>
    </w:p>
    <w:p>
      <w:r>
        <w:t>Portal</w:t>
      </w:r>
    </w:p>
    <w:p>
      <w:pPr/>
      <w:hyperlink r:id="rId34" w:history="1">
        <w:r>
          <w:rPr>
            <w:color w:val="0563C1"/>
            <w:u w:val="single"/>
          </w:rPr>
          <w:t>https://www.inaturalist.org/observations</w:t>
        </w:r>
      </w:hyperlink>
    </w:p>
    <w:p>
      <w:pPr>
        <w:pStyle w:val="CaptionAula"/>
        <w:spacing w:after="80" w:before="80" w:line="252" w:lineRule="auto"/>
        <w:jc w:val="left"/>
        <w:keepNext/>
        <w:keepLines/>
      </w:pPr>
      <w:r>
        <w:t>Tabela 17. 4.10 iNaturalist — Papel, Uso na aula, Evidência a observar, Cautela.</w:t>
      </w:r>
    </w:p>
    <w:tbl>
      <w:tblPr>
        <w:tblStyle w:val="TableGrid"/>
        <w:tblW w:type="dxa" w:w="17782"/>
        <w:jc w:val="center"/>
        <w:tblLayout w:type="fixed"/>
        <w:tblLook w:firstColumn="1" w:firstRow="1" w:lastColumn="0" w:lastRow="0" w:noHBand="0" w:noVBand="1" w:val="04A0"/>
      </w:tblPr>
      <w:tblGrid>
        <w:gridCol w:w="4445"/>
        <w:gridCol w:w="4445"/>
        <w:gridCol w:w="4445"/>
        <w:gridCol w:w="4446"/>
      </w:tblGrid>
      <w:tr>
        <w:trPr>
          <w:cantSplit/>
          <w:tblHeader w:val="true"/>
        </w:trPr>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Papel</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Uso na aula</w:t>
            </w:r>
          </w:p>
        </w:tc>
        <w:tc>
          <w:tcPr>
            <w:tcW w:type="dxa" w:w="444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Evidência a observar</w:t>
            </w:r>
          </w:p>
        </w:tc>
        <w:tc>
          <w:tcPr>
            <w:tcW w:type="dxa" w:w="4446"/>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Cautela</w:t>
            </w:r>
          </w:p>
        </w:tc>
      </w:tr>
      <w:tr>
        <w:trPr>
          <w:cantSplit/>
        </w:trPr>
        <w:tc>
          <w:tcPr>
            <w:tcW w:type="dxa" w:w="4445"/>
            <w:tcMar>
              <w:top w:w="100" w:type="dxa"/>
              <w:start w:w="120" w:type="dxa"/>
              <w:bottom w:w="100" w:type="dxa"/>
              <w:end w:w="120" w:type="dxa"/>
            </w:tcMar>
            <w:vAlign w:val="center"/>
          </w:tcPr>
          <w:p>
            <w:pPr>
              <w:spacing w:after="0" w:before="0" w:line="240" w:lineRule="auto"/>
            </w:pPr>
            <w:r>
              <w:rPr>
                <w:rFonts w:ascii="Aptos" w:hAnsi="Aptos"/>
                <w:sz w:val="24"/>
              </w:rPr>
              <w:t>Plataforma de ciência cidadã</w:t>
            </w:r>
          </w:p>
        </w:tc>
        <w:tc>
          <w:tcPr>
            <w:tcW w:type="dxa" w:w="444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Comparar observação humana com espécime preservado; seguir mídia e identificação.</w:t>
            </w:r>
          </w:p>
        </w:tc>
        <w:tc>
          <w:tcPr>
            <w:tcW w:type="dxa" w:w="444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observador, data, coordenada, foto, identificação comunitária e licença.</w:t>
            </w:r>
          </w:p>
        </w:tc>
        <w:tc>
          <w:tcPr>
            <w:tcW w:type="dxa" w:w="4446"/>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Esforço oportunístico e licença da mídia podem diferir dos metadados.</w:t>
            </w:r>
          </w:p>
        </w:tc>
      </w:tr>
    </w:tbl>
    <w:p>
      <w:pPr>
        <w:spacing w:after="20"/>
      </w:pPr>
      <w:r/>
    </w:p>
    <w:p>
      <w:pPr>
        <w:pStyle w:val="Heading3"/>
        <w:keepNext/>
      </w:pPr>
      <w:r>
        <w:t>4.10.4 Licença, proveniência e cautelas</w:t>
      </w:r>
    </w:p>
    <w:p>
      <w:pPr/>
      <w:r>
        <w:t>O esforço é oportunístico e a licença da mídia pode diferir dos metadados da observação. Preserve autoria, identificação, localização e a licença aplicável ao conteúdo reutilizado.</w:t>
      </w:r>
    </w:p>
    <w:p>
      <w:pPr>
        <w:shd w:fill="EAF3F6"/>
        <w:keepLines/>
        <w:pBdr>
          <w:left w:val="single" w:sz="18" w:space="8" w:color="1F6F8B"/>
        </w:pBdr>
        <w:spacing w:before="120" w:after="160"/>
        <w:ind w:left="160"/>
        <w:shd w:fill="EAF3F6"/>
        <w:pBdr>
          <w:left w:val="single" w:sz="18" w:space="8" w:color="1F6F8B"/>
        </w:pBdr>
      </w:pPr>
      <w:r>
        <w:t>Síntese — O percurso prático acompanha primeiro, na mesma ordem do Explorador, speciesLink, JABOT/IPT JABOT, Reflora/IPT Reflora, Flora e Funga, Catálogo da Fauna e GBIF. Em seguida, SiBBr/IPT SiBBr, Catalogue of Life, POWO e iNaturalist ampliam o panorama com outras formas de agregação, publicação, referência taxonômica e ciência cidadã. Esses papéis ajudam a comparar os produtos, mas não definem de forma absoluta todas as funções que cada infraestrutura pode exercer.</w:t>
      </w:r>
    </w:p>
    <w:p>
      <w:pPr>
        <w:pStyle w:val="Heading1"/>
        <w:pageBreakBefore w:val="1"/>
        <w:keepNext/>
        <w:keepLines w:val="1"/>
      </w:pPr>
      <w:r>
        <w:t>5. Aplicação dos princípios FAIR: evidências dos arquivos e dos portais</w:t>
      </w:r>
    </w:p>
    <w:p>
      <w:pPr>
        <w:pStyle w:val="IntenseQuote"/>
      </w:pPr>
      <w:r>
        <w:t>Integração com o Explorador — Cada chamada abre uma prática delimitada no HTML por INÍCIO, ações, resultado esperado e FIM. Leia primeiro a explicação para a leitura, localize a evidência nos dados e somente depois consulte a interpretação. Todos os registros incorporados, todas as colunas, dicionários e análises permanecem disponíveis.</w:t>
      </w:r>
    </w:p>
    <w:p>
      <w:pPr>
        <w:keepNext w:val="0"/>
        <w:spacing w:after="20"/>
      </w:pPr>
      <w:r>
        <w:t xml:space="preserve">ABRIR O EXPLORADOR — </w:t>
      </w:r>
      <w:hyperlink r:id="rId49">
        <w:r>
          <w:rPr>
            <w:color w:val="0563C1"/>
            <w:u w:val="single"/>
          </w:rPr>
          <w:t>Explorador da Aula 1 — evidências FAIR</w:t>
        </w:r>
      </w:hyperlink>
      <w:r>
        <w:t xml:space="preserve"> — compare Findable, Accessible, Interoperable e Reusable com evidências dos arquivos e dos portais. FAIR não é uma nota nem sinônimo de acesso gratuito: cada afirmação deve indicar evidência, limite e consequência prática.</w:t>
      </w:r>
    </w:p>
    <w:p>
      <w:pPr>
        <w:sectPr w:rsidR="00FC693F" w:rsidRPr="0006063C" w:rsidSect="00034616">
          <w:type w:val="nextPage"/>
          <w:headerReference w:type="default" r:id="rId9"/>
          <w:footerReference w:type="default" r:id="rId10"/>
          <w:pgSz w:w="19200" w:h="10800" w:orient="landscape"/>
          <w:pgMar w:top="595" w:right="709" w:bottom="539" w:left="709" w:header="198" w:footer="198" w:gutter="0"/>
          <w:cols w:space="720"/>
          <w:docGrid w:linePitch="360"/>
        </w:sectPr>
      </w:pPr>
    </w:p>
    <w:p>
      <w:pPr>
        <w:pStyle w:val="CaptionAula"/>
        <w:spacing w:after="80" w:before="80" w:line="252" w:lineRule="auto"/>
        <w:jc w:val="left"/>
        <w:keepNext/>
        <w:keepLines/>
      </w:pPr>
      <w:r>
        <w:t>Tabela 18. Princípios FAIR: evidências dos arquivos e dos portais — Exemplo real, F, A, I, R.</w:t>
      </w:r>
    </w:p>
    <w:tbl>
      <w:tblPr>
        <w:tblStyle w:val="TableGrid"/>
        <w:tblW w:type="dxa" w:w="17782"/>
        <w:jc w:val="center"/>
        <w:tblLayout w:type="fixed"/>
        <w:tblLook w:firstColumn="1" w:firstRow="1" w:lastColumn="0" w:lastRow="0" w:noHBand="0" w:noVBand="1" w:val="04A0"/>
      </w:tblPr>
      <w:tblGrid>
        <w:gridCol w:w="2600"/>
        <w:gridCol w:w="2700"/>
        <w:gridCol w:w="3000"/>
        <w:gridCol w:w="3200"/>
        <w:gridCol w:w="6281"/>
      </w:tblGrid>
      <w:tr>
        <w:trPr>
          <w:cantSplit/>
          <w:tblHeader w:val="true"/>
        </w:trPr>
        <w:tc>
          <w:tcPr>
            <w:tcW w:type="dxa" w:w="2600"/>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3"/>
              </w:rPr>
              <w:t>Exemplo real</w:t>
            </w:r>
          </w:p>
        </w:tc>
        <w:tc>
          <w:tcPr>
            <w:tcW w:type="dxa" w:w="2700"/>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3"/>
              </w:rPr>
              <w:t>F</w:t>
            </w:r>
          </w:p>
        </w:tc>
        <w:tc>
          <w:tcPr>
            <w:tcW w:type="dxa" w:w="3000"/>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3"/>
              </w:rPr>
              <w:t>A</w:t>
            </w:r>
          </w:p>
        </w:tc>
        <w:tc>
          <w:tcPr>
            <w:tcW w:type="dxa" w:w="3200"/>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3"/>
              </w:rPr>
              <w:t>I</w:t>
            </w:r>
          </w:p>
        </w:tc>
        <w:tc>
          <w:tcPr>
            <w:tcW w:type="dxa" w:w="6281"/>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3"/>
              </w:rPr>
              <w:t>R</w:t>
            </w:r>
          </w:p>
        </w:tc>
      </w:tr>
      <w:tr>
        <w:trPr>
          <w:cantSplit/>
        </w:trPr>
        <w:tc>
          <w:tcPr>
            <w:tcW w:type="dxa" w:w="2600"/>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3"/>
              </w:rPr>
              <w:t>GBIF Simple/DwC-A</w:t>
            </w:r>
          </w:p>
        </w:tc>
        <w:tc>
          <w:tcPr>
            <w:tcW w:type="dxa" w:w="2700"/>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3"/>
              </w:rPr>
              <w:t>DOI e filtros registrados</w:t>
            </w:r>
          </w:p>
        </w:tc>
        <w:tc>
          <w:tcPr>
            <w:tcW w:type="dxa" w:w="3000"/>
            <w:tcMar>
              <w:top w:w="100" w:type="dxa"/>
              <w:start w:w="120" w:type="dxa"/>
              <w:bottom w:w="100" w:type="dxa"/>
              <w:end w:w="120" w:type="dxa"/>
            </w:tcMar>
            <w:vAlign w:val="center"/>
          </w:tcPr>
          <w:p>
            <w:pPr>
              <w:spacing w:before="0" w:after="0" w:line="240" w:lineRule="auto"/>
              <w:keepNext/>
            </w:pPr>
            <w:r>
              <w:rPr>
                <w:rFonts w:ascii="Aptos" w:hAnsi="Aptos"/>
                <w:sz w:val="23"/>
              </w:rPr>
              <w:t>Portal/API e download; DOI e metadados persistem mesmo se os dados deixarem de estar disponíveis.</w:t>
            </w:r>
          </w:p>
        </w:tc>
        <w:tc>
          <w:tcPr>
            <w:tcW w:type="dxa" w:w="3200"/>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3"/>
              </w:rPr>
              <w:t>TSV/DwC-A e termos padronizados</w:t>
            </w:r>
          </w:p>
        </w:tc>
        <w:tc>
          <w:tcPr>
            <w:tcW w:type="dxa" w:w="6281"/>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3"/>
              </w:rPr>
              <w:t>Licenças, datasets, citação e procedência</w:t>
            </w:r>
          </w:p>
        </w:tc>
      </w:tr>
      <w:tr>
        <w:trPr>
          <w:cantSplit/>
        </w:trPr>
        <w:tc>
          <w:tcPr>
            <w:tcW w:type="dxa" w:w="2600"/>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3"/>
              </w:rPr>
              <w:t>speciesLink — 38 registros</w:t>
            </w:r>
          </w:p>
        </w:tc>
        <w:tc>
          <w:tcPr>
            <w:tcW w:type="dxa" w:w="2700"/>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3"/>
              </w:rPr>
              <w:t>Referência do download</w:t>
            </w:r>
          </w:p>
        </w:tc>
        <w:tc>
          <w:tcPr>
            <w:tcW w:type="dxa" w:w="3000"/>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3"/>
              </w:rPr>
              <w:t>TXT.GZ disponível</w:t>
            </w:r>
          </w:p>
        </w:tc>
        <w:tc>
          <w:tcPr>
            <w:tcW w:type="dxa" w:w="3200"/>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3"/>
              </w:rPr>
              <w:t>Tabela com campos de coleção</w:t>
            </w:r>
          </w:p>
        </w:tc>
        <w:tc>
          <w:tcPr>
            <w:tcW w:type="dxa" w:w="6281"/>
            <w:tcMar>
              <w:top w:w="100" w:type="dxa"/>
              <w:start w:w="120" w:type="dxa"/>
              <w:bottom w:w="100" w:type="dxa"/>
              <w:end w:w="120" w:type="dxa"/>
            </w:tcMar>
            <w:vAlign w:val="center"/>
            <w:shd w:fill="F4F8FA"/>
          </w:tcPr>
          <w:p>
            <w:pPr>
              <w:spacing w:before="0" w:after="0" w:line="240" w:lineRule="auto"/>
              <w:keepNext/>
            </w:pPr>
            <w:r>
              <w:rPr>
                <w:sz w:val="23"/>
              </w:rPr>
              <w:t>A política geral informa CC BY 4.0 para textos e CC BY-SA 4.0 para imagens. Algumas páginas de coleção apresentam condições diferentes. O TXT.GZ não contém licença; preservar política, páginas das coleções, data e citação.</w:t>
            </w:r>
          </w:p>
        </w:tc>
      </w:tr>
      <w:tr>
        <w:trPr>
          <w:cantSplit/>
        </w:trPr>
        <w:tc>
          <w:tcPr>
            <w:tcW w:type="dxa" w:w="2600"/>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3"/>
              </w:rPr>
              <w:t>JABOT — 7 registros</w:t>
            </w:r>
          </w:p>
        </w:tc>
        <w:tc>
          <w:tcPr>
            <w:tcW w:type="dxa" w:w="2700"/>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3"/>
              </w:rPr>
              <w:t>IDs/tombos rastreáveis</w:t>
            </w:r>
          </w:p>
        </w:tc>
        <w:tc>
          <w:tcPr>
            <w:tcW w:type="dxa" w:w="3000"/>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3"/>
              </w:rPr>
              <w:t>CSV local</w:t>
            </w:r>
          </w:p>
        </w:tc>
        <w:tc>
          <w:tcPr>
            <w:tcW w:type="dxa" w:w="3200"/>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3"/>
              </w:rPr>
              <w:t>Muitos campos reconhecíveis, mas scientifcname está grafado incorretamente</w:t>
            </w:r>
          </w:p>
        </w:tc>
        <w:tc>
          <w:tcPr>
            <w:tcW w:type="dxa" w:w="6281"/>
            <w:tcMar>
              <w:top w:w="100" w:type="dxa"/>
              <w:start w:w="120" w:type="dxa"/>
              <w:bottom w:w="100" w:type="dxa"/>
              <w:end w:w="120" w:type="dxa"/>
            </w:tcMar>
            <w:vAlign w:val="center"/>
          </w:tcPr>
          <w:p>
            <w:r>
              <w:rPr>
                <w:sz w:val="24"/>
              </w:rPr>
              <w:t>O CSV informa apenas right = Creative Commons; o dataset BHCB no IPT declara CC BY 4.0. Confirmar a licença do conjunto específico.</w:t>
            </w:r>
          </w:p>
        </w:tc>
      </w:tr>
      <w:tr>
        <w:trPr>
          <w:cantSplit/>
        </w:trPr>
        <w:tc>
          <w:tcPr>
            <w:tcW w:type="dxa" w:w="2600"/>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3"/>
              </w:rPr>
              <w:t>Reflora — 22 registros</w:t>
            </w:r>
          </w:p>
        </w:tc>
        <w:tc>
          <w:tcPr>
            <w:tcW w:type="dxa" w:w="2700"/>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3"/>
              </w:rPr>
              <w:t>Arquivo e códigos de barra localizáveis</w:t>
            </w:r>
          </w:p>
        </w:tc>
        <w:tc>
          <w:tcPr>
            <w:tcW w:type="dxa" w:w="3000"/>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3"/>
              </w:rPr>
              <w:t>XLSX abre no Excel/LibreOffice</w:t>
            </w:r>
          </w:p>
        </w:tc>
        <w:tc>
          <w:tcPr>
            <w:tcW w:type="dxa" w:w="3200"/>
            <w:tcMar>
              <w:top w:w="100" w:type="dxa"/>
              <w:start w:w="120" w:type="dxa"/>
              <w:bottom w:w="100" w:type="dxa"/>
              <w:end w:w="120" w:type="dxa"/>
            </w:tcMar>
            <w:vAlign w:val="center"/>
            <w:shd w:fill="F4F8FA"/>
          </w:tcPr>
          <w:p>
            <w:pPr>
              <w:spacing w:before="0" w:after="0" w:line="240" w:lineRule="auto"/>
            </w:pPr>
            <w:r>
              <w:rPr>
                <w:rFonts w:ascii="Aptos" w:hAnsi="Aptos"/>
                <w:sz w:val="23"/>
              </w:rPr>
              <w:t>Relatório com vocabulário próprio; o XLSX declara internamente dimensão A1, embora contenha 22 registros e 36 colunas.</w:t>
            </w:r>
          </w:p>
        </w:tc>
        <w:tc>
          <w:tcPr>
            <w:tcW w:type="dxa" w:w="6281"/>
            <w:tcMar>
              <w:top w:w="100" w:type="dxa"/>
              <w:start w:w="120" w:type="dxa"/>
              <w:bottom w:w="100" w:type="dxa"/>
              <w:end w:w="120" w:type="dxa"/>
            </w:tcMar>
            <w:vAlign w:val="center"/>
            <w:shd w:fill="F4F8FA"/>
          </w:tcPr>
          <w:p>
            <w:pPr>
              <w:spacing w:before="0" w:after="0" w:line="240" w:lineRule="auto"/>
            </w:pPr>
            <w:r>
              <w:rPr>
                <w:rFonts w:ascii="Aptos" w:hAnsi="Aptos"/>
                <w:sz w:val="23"/>
              </w:rPr>
              <w:t>Guardar consulta, data, publicador e licença aplicável ao conjunto e às imagens; o relatório não traz licença explícita.</w:t>
            </w:r>
          </w:p>
        </w:tc>
      </w:tr>
    </w:tbl>
    <w:tbl>
      <w:tblPr>
        <w:tblStyle w:val="TableGrid"/>
        <w:tblW w:type="auto" w:w="0"/>
        <w:tblLayout w:type="fixed"/>
        <w:tblLook w:firstColumn="1" w:firstRow="1" w:lastColumn="0" w:lastRow="0" w:noHBand="0" w:noVBand="1" w:val="04A0"/>
      </w:tblPr>
      <w:tblGrid>
        <w:gridCol w:w="17782"/>
      </w:tblGrid>
      <w:tr>
        <w:trPr>
          <w:tblHeader w:val="true"/>
        </w:trPr>
        <w:tc>
          <w:tcPr>
            <w:tcW w:type="dxa" w:w="9432"/>
            <w:shd w:fill="EAF3F6"/>
            <w:tcMar>
              <w:top w:w="120" w:type="dxa"/>
              <w:start w:w="160" w:type="dxa"/>
              <w:bottom w:w="120" w:type="dxa"/>
              <w:end w:w="160" w:type="dxa"/>
            </w:tcMar>
            <w:vAlign w:val="center"/>
          </w:tcPr>
          <w:p>
            <w:r>
              <w:rPr>
                <w:rFonts w:ascii="Aptos" w:hAnsi="Aptos"/>
                <w:b/>
                <w:i w:val="0"/>
                <w:color w:val="15566D"/>
                <w:sz w:val="25"/>
              </w:rPr>
              <w:t xml:space="preserve">Interpretação — </w:t>
            </w:r>
            <w:r>
              <w:rPr>
                <w:rFonts w:ascii="Aptos" w:hAnsi="Aptos"/>
                <w:b w:val="0"/>
                <w:i w:val="0"/>
                <w:color w:val="1F2933"/>
                <w:sz w:val="25"/>
              </w:rPr>
              <w:t>FAIR não é nota única nem sinônimo de aberto. O diagnóstico deve citar evidência observável e consequência prática para localizar, acessar, integrar ou reutilizar.</w:t>
            </w:r>
          </w:p>
        </w:tc>
      </w:tr>
    </w:tbl>
    <w:p>
      <w:pPr>
        <w:spacing w:after="20"/>
      </w:pPr>
      <w:r/>
    </w:p>
    <w:p>
      <w:pPr>
        <w:pStyle w:val="Heading2"/>
        <w:keepNext/>
        <w:keepLines w:val="1"/>
        <w:pageBreakBefore/>
      </w:pPr>
      <w:r>
        <w:t>5.1 Qualidade e adequação ao uso</w:t>
      </w:r>
    </w:p>
    <w:p>
      <w:pPr/>
      <w:r>
        <w:t>Qualidade não é uma nota absoluta do portal ou do conjunto. Deve ser avaliada em relação à pergunta e ao uso pretendido — fitness-for-use. Um registro sem coordenadas pode ser inadequado para modelagem espacial e continuar útil como evidência histórica ou de coleção.</w:t>
      </w:r>
    </w:p>
    <w:p>
      <w:pPr>
        <w:pStyle w:val="ListBullet"/>
      </w:pPr>
      <w:r>
        <w:t>Procedência, versão e método de obtenção documentados.</w:t>
      </w:r>
    </w:p>
    <w:p>
      <w:pPr>
        <w:pStyle w:val="ListBullet"/>
      </w:pPr>
      <w:r>
        <w:t>Presença e preenchimento dos campos necessários à pergunta.</w:t>
      </w:r>
    </w:p>
    <w:p>
      <w:pPr>
        <w:pStyle w:val="ListBullet"/>
      </w:pPr>
      <w:r>
        <w:t>Consistência de formatos, vocabulários e unidades.</w:t>
      </w:r>
    </w:p>
    <w:p>
      <w:pPr>
        <w:pStyle w:val="ListBullet"/>
      </w:pPr>
      <w:r>
        <w:t>Resolução temporal, espacial e taxonômica adequada ao uso.</w:t>
      </w:r>
    </w:p>
    <w:p>
      <w:pPr>
        <w:pStyle w:val="ListBullet"/>
      </w:pPr>
      <w:r>
        <w:t>Licença e citação compatíveis com o reúso pretendido e devidamente documentadas.</w:t>
      </w:r>
    </w:p>
    <w:tbl>
      <w:tblPr>
        <w:tblW w:type="auto" w:w="0"/>
        <w:tblLook w:firstColumn="1" w:firstRow="1" w:lastColumn="0" w:lastRow="0" w:noHBand="0" w:noVBand="1" w:val="04A0"/>
      </w:tblPr>
      <w:tblGrid>
        <w:gridCol w:w="17782"/>
      </w:tblGrid>
      <w:tr>
        <w:trPr>
          <w:cantSplit/>
          <w:tblHeader w:val="true"/>
        </w:trPr>
        <w:tc>
          <w:tcPr>
            <w:tcW w:type="dxa" w:w="17782"/>
            <w:shd w:fill="EAF3F6"/>
            <w:vAlign w:val="center"/>
          </w:tcPr>
          <w:p>
            <w:r/>
            <w:r>
              <w:rPr>
                <w:b/>
              </w:rPr>
              <w:t xml:space="preserve">Base conceitual — Chapman (2005) — </w:t>
            </w:r>
            <w:r>
              <w:t>Avalie completude, consistência, atualidade, detalhe, relevância e facilidade de interpretação em relação ao uso pretendido.</w:t>
            </w:r>
          </w:p>
          <w:p>
            <w:r>
              <w:rPr>
                <w:i/>
              </w:rPr>
              <w:t xml:space="preserve">Referência local em português: </w:t>
            </w:r>
            <w:hyperlink r:id="rId17" w:history="1">
              <w:r>
                <w:rPr>
                  <w:i/>
                  <w:color w:val="0563C1"/>
                  <w:u w:val="single"/>
                </w:rPr>
                <w:t>00_Disciplina/referencias/artigos/Chapman_2005_Principles_Data_Quality_PT.pdf</w:t>
              </w:r>
            </w:hyperlink>
          </w:p>
        </w:tc>
      </w:tr>
    </w:tbl>
    <w:p>
      <w:pPr>
        <w:pStyle w:val="Heading1"/>
        <w:pageBreakBefore w:val="1"/>
        <w:keepNext/>
        <w:keepLines w:val="1"/>
      </w:pPr>
      <w:r>
        <w:t>6. Aplicação das licenças e condições de reúso: comparação entre as fontes</w:t>
      </w:r>
    </w:p>
    <w:p>
      <w:pPr>
        <w:spacing w:after="20"/>
      </w:pPr>
      <w:r>
        <w:t>Aplique agora o quadro da seção 3.2 aos produtos reais. A licença pode estar documentada no portal, no conjunto de dados, no registro ou na mídia; esses níveis não devem ser tratados como automaticamente equivalentes.</w:t>
      </w:r>
    </w:p>
    <w:p>
      <w:pPr>
        <w:pStyle w:val="IntenseQuote"/>
        <w:keepNext w:val="0"/>
      </w:pPr>
      <w:r>
        <w:t xml:space="preserve">ABRIR O EXPLORADOR — </w:t>
      </w:r>
      <w:hyperlink r:id="rId50">
        <w:r>
          <w:rPr>
            <w:color w:val="0563C1"/>
            <w:u w:val="single"/>
            <w:b/>
          </w:rPr>
          <w:t>Explorador da Aula 1 — licenças e reúso</w:t>
        </w:r>
      </w:hyperlink>
      <w:r>
        <w:t xml:space="preserve"> — compare onde a licença está declarada e o que precisa acompanhar o dado para um reúso responsável.</w:t>
      </w:r>
    </w:p>
    <w:p>
      <w:pPr>
        <w:pStyle w:val="CaptionAula"/>
        <w:spacing w:after="80" w:before="80" w:line="252" w:lineRule="auto"/>
        <w:jc w:val="left"/>
        <w:keepNext/>
        <w:keepLines/>
      </w:pPr>
      <w:r>
        <w:t>Tabela 19. GBIF Simple — licenças observadas no TSV fornecido — Licença, Número de registros, Interpretação.</w:t>
      </w:r>
    </w:p>
    <w:tbl>
      <w:tblPr>
        <w:tblStyle w:val="TableGrid"/>
        <w:tblW w:type="dxa" w:w="17782"/>
        <w:jc w:val="center"/>
        <w:tblLayout w:type="fixed"/>
        <w:tblLook w:firstColumn="1" w:firstRow="1" w:lastColumn="0" w:lastRow="0" w:noHBand="0" w:noVBand="1" w:val="04A0"/>
      </w:tblPr>
      <w:tblGrid>
        <w:gridCol w:w="3556"/>
        <w:gridCol w:w="4000"/>
        <w:gridCol w:w="10225"/>
      </w:tblGrid>
      <w:tr>
        <w:trPr>
          <w:cantSplit/>
          <w:tblHeader w:val="true"/>
        </w:trPr>
        <w:tc>
          <w:tcPr>
            <w:tcW w:type="dxa" w:w="3556"/>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Licença</w:t>
            </w:r>
          </w:p>
        </w:tc>
        <w:tc>
          <w:tcPr>
            <w:tcW w:type="dxa" w:w="4000"/>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No TSV fornecido</w:t>
            </w:r>
          </w:p>
        </w:tc>
        <w:tc>
          <w:tcPr>
            <w:tcW w:type="dxa" w:w="10225"/>
            <w:shd w:fill="15566D"/>
            <w:tcMar>
              <w:top w:w="100" w:type="dxa"/>
              <w:start w:w="120" w:type="dxa"/>
              <w:bottom w:w="100" w:type="dxa"/>
              <w:end w:w="120" w:type="dxa"/>
            </w:tcMar>
            <w:vAlign w:val="center"/>
          </w:tcPr>
          <w:p>
            <w:pPr>
              <w:spacing w:before="0" w:after="0" w:line="240" w:lineRule="auto"/>
              <w:jc w:val="center"/>
            </w:pPr>
            <w:r>
              <w:rPr>
                <w:rFonts w:ascii="Aptos" w:hAnsi="Aptos"/>
                <w:b/>
                <w:i w:val="0"/>
                <w:color w:val="FFFFFF"/>
                <w:sz w:val="24"/>
              </w:rPr>
              <w:t>Interpretação</w:t>
            </w:r>
          </w:p>
        </w:tc>
      </w:tr>
      <w:tr>
        <w:trPr>
          <w:cantSplit/>
        </w:trPr>
        <w:tc>
          <w:tcPr>
            <w:tcW w:type="dxa" w:w="3556"/>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CC BY 4.0</w:t>
            </w:r>
          </w:p>
        </w:tc>
        <w:tc>
          <w:tcPr>
            <w:tcW w:type="dxa" w:w="4000"/>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1.404 registros</w:t>
            </w:r>
          </w:p>
        </w:tc>
        <w:tc>
          <w:tcPr>
            <w:tcW w:type="dxa" w:w="1022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Reuso permitido com atribuição, link da licença e indicação de mudanças.</w:t>
            </w:r>
          </w:p>
        </w:tc>
      </w:tr>
      <w:tr>
        <w:trPr>
          <w:cantSplit/>
        </w:trPr>
        <w:tc>
          <w:tcPr>
            <w:tcW w:type="dxa" w:w="3556"/>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4"/>
              </w:rPr>
              <w:t>CC0 1.0</w:t>
            </w:r>
          </w:p>
        </w:tc>
        <w:tc>
          <w:tcPr>
            <w:tcW w:type="dxa" w:w="4000"/>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4"/>
              </w:rPr>
              <w:t>13 registros</w:t>
            </w:r>
          </w:p>
        </w:tc>
        <w:tc>
          <w:tcPr>
            <w:tcW w:type="dxa" w:w="10225"/>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4"/>
              </w:rPr>
              <w:t>Sem condições autorais obrigatórias; ainda assim, procedência e citação são boas práticas científicas.</w:t>
            </w:r>
          </w:p>
        </w:tc>
      </w:tr>
      <w:tr>
        <w:trPr>
          <w:cantSplit/>
        </w:trPr>
        <w:tc>
          <w:tcPr>
            <w:tcW w:type="dxa" w:w="3556"/>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CC BY-NC 4.0</w:t>
            </w:r>
          </w:p>
        </w:tc>
        <w:tc>
          <w:tcPr>
            <w:tcW w:type="dxa" w:w="4000"/>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6 registros</w:t>
            </w:r>
          </w:p>
        </w:tc>
        <w:tc>
          <w:tcPr>
            <w:tcW w:type="dxa" w:w="10225"/>
            <w:tcMar>
              <w:top w:w="100" w:type="dxa"/>
              <w:start w:w="120" w:type="dxa"/>
              <w:bottom w:w="100" w:type="dxa"/>
              <w:end w:w="120" w:type="dxa"/>
            </w:tcMar>
            <w:vAlign w:val="center"/>
          </w:tcPr>
          <w:p>
            <w:pPr>
              <w:spacing w:before="0" w:after="0" w:line="240" w:lineRule="auto"/>
            </w:pPr>
            <w:r>
              <w:rPr>
                <w:rFonts w:ascii="Aptos" w:hAnsi="Aptos"/>
                <w:b w:val="0"/>
                <w:i w:val="0"/>
                <w:color w:val="1F2933"/>
                <w:sz w:val="24"/>
              </w:rPr>
              <w:t>Reuso com atribuição e apenas para fins não comerciais; pode limitar reutilização futura.</w:t>
            </w:r>
          </w:p>
        </w:tc>
      </w:tr>
    </w:tbl>
    <w:p>
      <w:pPr>
        <w:pStyle w:val="ListBullet"/>
      </w:pPr>
      <w:r>
        <w:t>speciesLink: a política geral declara CC BY 4.0 para dados textuais e CC BY-SA 4.0 para imagens. Algumas coleções apresentam condições diferentes, e o TXT.GZ da aula não incorpora licença. Preserve a política, as páginas das coleções e a data; em caso de conflito, não infira qual licença prevalece.</w:t>
      </w:r>
    </w:p>
    <w:p>
      <w:pPr>
        <w:pStyle w:val="ListBullet"/>
      </w:pPr>
      <w:r>
        <w:t>JABOT: o campo right do CSV é genérico e corresponde a um campo legado do arquivo observado; no IPT, confirme dcterms:license do dataset específico, sem generalizá-la para todo o sistema.</w:t>
      </w:r>
    </w:p>
    <w:p>
      <w:pPr>
        <w:pStyle w:val="ListBullet"/>
      </w:pPr>
      <w:r>
        <w:t>Reflora: associe ao relatório a consulta, a data e a licença aplicável; dados e imagens podem exigir verificações distintas.</w:t>
      </w:r>
    </w:p>
    <w:p>
      <w:pPr>
        <w:pStyle w:val="ListBullet"/>
      </w:pPr>
      <w:r>
        <w:t>Flora e Funga do Brasil e Catálogo Taxonômico da Fauna do Brasil: nos DwC-A usados na aula, o eml.xml declara CC BY 4.0 no nível do dataset. Preserve a versão do Archive e a citação; não é necessário repetir a licença em cada linha do Taxon Core.</w:t>
      </w:r>
    </w:p>
    <w:p>
      <w:pPr>
        <w:pStyle w:val="ListBullet"/>
      </w:pPr>
      <w:r>
        <w:t>GBIF: um download combinado pode reunir CC0, CC BY e CC BY-NC; preserve license, rights.txt, citations.txt e a página/metadados associados ao DOI do download.</w:t>
      </w:r>
    </w:p>
    <w:p>
      <w:r/>
    </w:p>
    <w:p>
      <w:pPr>
        <w:pStyle w:val="Heading1"/>
        <w:keepNext/>
        <w:keepLines w:val="1"/>
      </w:pPr>
      <w:r>
        <w:t>7. Exploração final dos arquivos fornecidos</w:t>
      </w:r>
    </w:p>
    <w:p>
      <w:pPr>
        <w:spacing w:before="120" w:after="160"/>
        <w:ind w:left="180" w:right="180"/>
        <w:shd w:fill="EAF3F6"/>
        <w:keepNext w:val="0"/>
        <w:pBdr>
          <w:left w:val="single" w:sz="18" w:color="1F6F8B"/>
        </w:pBdr>
      </w:pPr>
      <w:r>
        <w:t xml:space="preserve">ABRIR O EXPLORADOR — </w:t>
      </w:r>
      <w:hyperlink r:id="rId51">
        <w:r>
          <w:rPr>
            <w:color w:val="0563C1"/>
            <w:u w:val="single"/>
            <w:b/>
          </w:rPr>
          <w:t>Explorador da Aula 1 — exploração integrada</w:t>
        </w:r>
      </w:hyperlink>
      <w:r>
        <w:t xml:space="preserve"> — percorra speciesLink, JABOT, IPT JABOT, Reflora, IPT Reflora, Flora e Funga, Catálogo da Fauna e GBIF nesta ordem; compare estrutura, conteúdo, nomes científicos, FAIR e licenças, mantendo o GBIF por último no bloco integrado.</w:t>
      </w:r>
    </w:p>
    <w:p>
      <w:pPr>
        <w:pStyle w:val="ListNumber"/>
      </w:pPr>
      <w:r>
        <w:t>speciesLink: identifique delimitador, número de linhas, colunas de coleção, nome e coordenadas.</w:t>
      </w:r>
    </w:p>
    <w:p>
      <w:pPr>
        <w:pStyle w:val="ListNumber"/>
      </w:pPr>
      <w:r>
        <w:t>JABOT: localize o erro scientifcname, right e valores ausentes; discuta interoperabilidade e licença.</w:t>
      </w:r>
    </w:p>
    <w:p>
      <w:pPr>
        <w:pStyle w:val="ListNumber"/>
      </w:pPr>
      <w:r>
        <w:t>Reflora: identifique 22 registros, 36 colunas, códigos de barra, herbário de origem, duplicatas e nome científico.</w:t>
      </w:r>
    </w:p>
    <w:p>
      <w:pPr>
        <w:pStyle w:val="ListNumber"/>
      </w:pPr>
      <w:r>
        <w:t>Flora e Funga do Brasil: no Taxon Core, leia conjuntamente scientificName, taxonomicStatus, acceptedNameUsage e acceptedNameUsageID e reconheça as extensões declaradas no Archive.</w:t>
      </w:r>
    </w:p>
    <w:p>
      <w:pPr>
        <w:pStyle w:val="ListNumber"/>
      </w:pPr>
      <w:r>
        <w:t>Catálogo Taxonômico da Fauna do Brasil: no Taxon Core e nas extensões, reconheça nomes, status taxonômico, relações com o nome aceito e a estrutura publicada pelo IPT.</w:t>
      </w:r>
    </w:p>
    <w:p>
      <w:pPr>
        <w:pStyle w:val="ListNumber"/>
      </w:pPr>
      <w:r>
        <w:t>GBIF Simple: reconheça uma tabela chapada com 1.423 ocorrências e três licenças.</w:t>
      </w:r>
    </w:p>
    <w:p>
      <w:pPr>
        <w:pStyle w:val="ListNumber"/>
      </w:pPr>
      <w:r>
        <w:t>GBIF DwC-A: diferencie occurrence.txt (dados interpretados), verbatim.txt (dados como recebidos), multimedia.txt (mídia relacionada), meta.xml (estrutura), metadata.xml/EML, rights.txt e citations.txt.</w:t>
      </w:r>
    </w:p>
    <w:p>
      <w:pPr/>
      <w:r>
        <w:t>Nota conceitual — Em muitos portais e DwC-A, Occurrence mantém o uso operacional de registro/evidência de presença. Na Aula 3_4, esse uso é contrastado com a definição conceitual vigente, sem alterar os valores publicados.</w:t>
      </w:r>
    </w:p>
    <w:p>
      <w:pPr/>
      <w:r>
        <w:t xml:space="preserve">Fonte: </w:t>
      </w:r>
      <w:hyperlink r:id="rId11">
        <w:r>
          <w:rPr>
            <w:color w:val="0563C1"/>
            <w:u w:val="single"/>
          </w:rPr>
          <w:t>Darwin Core List of Terms (TDWG)</w:t>
        </w:r>
      </w:hyperlink>
    </w:p>
    <w:p>
      <w:pPr>
        <w:pStyle w:val="ListNumber"/>
      </w:pPr>
      <w:r>
        <w:t>Species list — leitura orientada: primeiro, em uma única lista, leia conjuntamente scientificName, taxonomicStatus e acceptedScientificName (campo GBIF). Localize uma linha em que scientificName = acceptedScientificName e, se disponível, outra em que sejam diferentes; interprete o que taxonomicStatus informa. Depois compare taxonKey e acceptedTaxonKey e, somente então, confronte as duas Species lists (COL XR × GBIF Backbone), registrando DOI e request.checklistKey.</w:t>
      </w:r>
    </w:p>
    <w:p>
      <w:pPr>
        <w:pStyle w:val="IntenseQuote"/>
        <w:keepNext w:val="0"/>
      </w:pPr>
      <w:r>
        <w:t xml:space="preserve">ABRIR O EXPLORADOR — </w:t>
      </w:r>
      <w:hyperlink r:id="rId52">
        <w:r>
          <w:rPr>
            <w:color w:val="0563C1"/>
            <w:u w:val="single"/>
            <w:b/>
          </w:rPr>
          <w:t>Explorador da Aula 1 — GBIF Species list</w:t>
        </w:r>
      </w:hyperlink>
      <w:r>
        <w:t xml:space="preserve"> — abra diretamente o teste controlado COL XR × GBIF Backbone e confronte o esperado com os arquivos exportados.</w:t>
      </w:r>
    </w:p>
    <w:tbl>
      <w:tblPr>
        <w:tblStyle w:val="TableGrid"/>
        <w:tblW w:type="auto" w:w="0"/>
        <w:tblLayout w:type="fixed"/>
        <w:tblLook w:firstColumn="1" w:firstRow="1" w:lastColumn="0" w:lastRow="0" w:noHBand="0" w:noVBand="1" w:val="04A0"/>
      </w:tblPr>
      <w:tblGrid>
        <w:gridCol w:w="17782"/>
      </w:tblGrid>
      <w:tr>
        <w:trPr>
          <w:tblHeader w:val="true"/>
        </w:trPr>
        <w:tc>
          <w:tcPr>
            <w:tcW w:type="dxa" w:w="9432"/>
            <w:shd w:fill="EAF3F6"/>
            <w:tcMar>
              <w:top w:w="120" w:type="dxa"/>
              <w:start w:w="160" w:type="dxa"/>
              <w:bottom w:w="120" w:type="dxa"/>
              <w:end w:w="160" w:type="dxa"/>
            </w:tcMar>
            <w:vAlign w:val="center"/>
          </w:tcPr>
          <w:p>
            <w:r>
              <w:t>Teste controlado — Os downloads 0008869 (GBIF Backbone) e 0008956 (COL XR) usam os mesmos filtros; somente request.checklistKey difere. A documentação do GBIF indica que a taxonomia selecionada deve definir as colunas taxonômicas do download. Esperavam-se, portanto, chaves numéricas legadas no primeiro arquivo e chaves COL XR predominantemente alfanuméricas no segundo. Contudo, os conjuntos e as frequências de scientificName, acceptedScientificName, taxonKey, acceptedTaxonKey e family são idênticos; ambas as saídas usam as mesmas chaves alfanuméricas. Isso comprova solicitações diferentes, mas não dois tratamentos materializados. Registre como possível limitação ou comportamento transitório do exportador Species list — não como erro confirmado nem equivalência entre backbones. Método, números e evidências oficiais: Explorador da Aula 1.</w:t>
            </w:r>
          </w:p>
        </w:tc>
      </w:tr>
    </w:tbl>
    <w:p>
      <w:pPr>
        <w:spacing w:after="20"/>
      </w:pPr>
      <w:r/>
    </w:p>
    <w:p>
      <w:pPr>
        <w:pStyle w:val="Heading1"/>
        <w:pageBreakBefore/>
        <w:spacing w:after="120"/>
        <w:keepNext/>
      </w:pPr>
      <w:r>
        <w:t>8. Fechamento da Aula 1 — o caminho percorrido</w:t>
      </w:r>
    </w:p>
    <w:p>
      <w:pPr>
        <w:spacing w:after="120"/>
        <w:keepNext/>
      </w:pPr>
      <w:r>
        <w:rPr>
          <w:b/>
        </w:rPr>
        <w:t xml:space="preserve">Síntese visual — </w:t>
      </w:r>
      <w:r>
        <w:t>A Aula 1 termina retomando as decisões que acompanham o uso responsável de dados de biodiversidade. Siga os blocos da esquerda para a direita e continue na segunda linha.</w:t>
      </w:r>
    </w:p>
    <w:tbl>
      <w:tblPr>
        <w:tblW w:type="auto" w:w="0"/>
        <w:jc w:val="center"/>
        <w:tblLayout w:type="fixed"/>
        <w:tblLook w:firstColumn="1" w:firstRow="1" w:lastColumn="0" w:lastRow="0" w:noHBand="0" w:noVBand="1" w:val="04A0"/>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blGrid>
        <w:gridCol w:w="4445"/>
        <w:gridCol w:w="4445"/>
        <w:gridCol w:w="4445"/>
        <w:gridCol w:w="4445"/>
      </w:tblGrid>
      <w:tr>
        <w:trPr>
          <w:cantSplit/>
        </w:trPr>
        <w:tc>
          <w:tcPr>
            <w:tcW w:type="dxa" w:w="4374"/>
            <w:vAlign w:val="top"/>
            <w:tcMar>
              <w:top w:w="100" w:type="dxa"/>
              <w:start w:w="125" w:type="dxa"/>
              <w:bottom w:w="100" w:type="dxa"/>
              <w:end w:w="125" w:type="dxa"/>
            </w:tcMar>
            <w:shd w:fill="EAF3F6"/>
          </w:tcPr>
          <w:p>
            <w:pPr>
              <w:spacing w:after="80"/>
              <w:jc w:val="left"/>
            </w:pPr>
            <w:r>
              <w:rPr>
                <w:b/>
                <w:color w:val="15566D"/>
                <w:sz w:val="20"/>
              </w:rPr>
              <w:t>1  PERGUNTA DE PESQUISA</w:t>
            </w:r>
          </w:p>
          <w:p>
            <w:pPr>
              <w:spacing w:after="0" w:line="240" w:lineRule="auto"/>
            </w:pPr>
            <w:r>
              <w:rPr>
                <w:color w:val="263238"/>
                <w:sz w:val="17"/>
              </w:rPr>
              <w:t>O que quero saber?</w:t>
              <w:br/>
              <w:t>Ocorrência • espécime • nome/status • distribuição • fonte.</w:t>
            </w:r>
          </w:p>
        </w:tc>
        <w:tc>
          <w:tcPr>
            <w:tcW w:type="dxa" w:w="4374"/>
            <w:vAlign w:val="top"/>
            <w:tcMar>
              <w:top w:w="100" w:type="dxa"/>
              <w:start w:w="125" w:type="dxa"/>
              <w:bottom w:w="100" w:type="dxa"/>
              <w:end w:w="125" w:type="dxa"/>
            </w:tcMar>
            <w:shd w:fill="E8F3EE"/>
          </w:tcPr>
          <w:p>
            <w:pPr>
              <w:spacing w:after="80"/>
              <w:jc w:val="left"/>
            </w:pPr>
            <w:r>
              <w:rPr>
                <w:b/>
                <w:color w:val="2D6A4F"/>
                <w:sz w:val="20"/>
              </w:rPr>
              <w:t>2  RECONHECER A FONTE</w:t>
            </w:r>
          </w:p>
          <w:p>
            <w:pPr>
              <w:spacing w:after="0" w:line="240" w:lineRule="auto"/>
            </w:pPr>
            <w:r>
              <w:rPr>
                <w:color w:val="263238"/>
                <w:sz w:val="17"/>
              </w:rPr>
              <w:t>Agregador = integra fontes; coleção = administra acervo; herbário virtual = espécimes + imagens; catálogo/backbone = nomes e classificação; ciência cidadã = observações + mídia; IPT = publica datasets e metadados.</w:t>
            </w:r>
          </w:p>
        </w:tc>
        <w:tc>
          <w:tcPr>
            <w:tcW w:type="dxa" w:w="4374"/>
            <w:vAlign w:val="top"/>
            <w:tcMar>
              <w:top w:w="100" w:type="dxa"/>
              <w:start w:w="125" w:type="dxa"/>
              <w:bottom w:w="100" w:type="dxa"/>
              <w:end w:w="125" w:type="dxa"/>
            </w:tcMar>
            <w:shd w:fill="FFF3D9"/>
          </w:tcPr>
          <w:p>
            <w:pPr>
              <w:spacing w:after="80"/>
              <w:jc w:val="left"/>
            </w:pPr>
            <w:r>
              <w:rPr>
                <w:b/>
                <w:color w:val="A66A00"/>
                <w:sz w:val="20"/>
              </w:rPr>
              <w:t>3  ESCOLHER O PRODUTO</w:t>
            </w:r>
          </w:p>
          <w:p>
            <w:pPr>
              <w:spacing w:after="0" w:line="240" w:lineRule="auto"/>
            </w:pPr>
            <w:r>
              <w:rPr>
                <w:color w:val="263238"/>
                <w:sz w:val="17"/>
              </w:rPr>
              <w:t>Portal, CSV/XLSX, DwC-A ou Species list. Produtos diferentes podem representar unidades e estruturas diferentes.</w:t>
            </w:r>
          </w:p>
        </w:tc>
        <w:tc>
          <w:tcPr>
            <w:tcW w:type="dxa" w:w="4374"/>
            <w:vAlign w:val="top"/>
            <w:tcMar>
              <w:top w:w="100" w:type="dxa"/>
              <w:start w:w="125" w:type="dxa"/>
              <w:bottom w:w="100" w:type="dxa"/>
              <w:end w:w="125" w:type="dxa"/>
            </w:tcMar>
            <w:shd w:fill="F0ECF7"/>
          </w:tcPr>
          <w:p>
            <w:pPr>
              <w:spacing w:after="80"/>
              <w:jc w:val="left"/>
            </w:pPr>
            <w:r>
              <w:rPr>
                <w:b/>
                <w:color w:val="65558F"/>
                <w:sz w:val="20"/>
              </w:rPr>
              <w:t>4  INTERPRETAR A UNIDADE</w:t>
            </w:r>
          </w:p>
          <w:p>
            <w:pPr>
              <w:spacing w:after="0" w:line="240" w:lineRule="auto"/>
            </w:pPr>
            <w:r>
              <w:rPr>
                <w:color w:val="263238"/>
                <w:sz w:val="17"/>
              </w:rPr>
              <w:t>Pergunte o que uma linha representa: ocorrência, espécime, táxon, observação ou outra unidade declarada.</w:t>
            </w:r>
          </w:p>
        </w:tc>
      </w:tr>
      <w:tr>
        <w:trPr>
          <w:cantSplit/>
        </w:trPr>
        <w:tc>
          <w:tcPr>
            <w:tcW w:type="dxa" w:w="4374"/>
            <w:vAlign w:val="top"/>
            <w:tcMar>
              <w:top w:w="100" w:type="dxa"/>
              <w:start w:w="125" w:type="dxa"/>
              <w:bottom w:w="100" w:type="dxa"/>
              <w:end w:w="125" w:type="dxa"/>
            </w:tcMar>
            <w:shd w:fill="EAF3F6"/>
          </w:tcPr>
          <w:p>
            <w:pPr>
              <w:spacing w:after="80"/>
              <w:jc w:val="left"/>
            </w:pPr>
            <w:r>
              <w:rPr>
                <w:b/>
                <w:color w:val="15566D"/>
                <w:sz w:val="20"/>
              </w:rPr>
              <w:t>5  LER A EVIDÊNCIA</w:t>
            </w:r>
          </w:p>
          <w:p>
            <w:pPr>
              <w:spacing w:after="0" w:line="240" w:lineRule="auto"/>
            </w:pPr>
            <w:r>
              <w:rPr>
                <w:color w:val="263238"/>
                <w:sz w:val="17"/>
              </w:rPr>
              <w:t>Campos, filtros, metadados, versão, DOI e proveniência sustentam a interpretação e a rastreabilidade.</w:t>
            </w:r>
          </w:p>
        </w:tc>
        <w:tc>
          <w:tcPr>
            <w:tcW w:type="dxa" w:w="4374"/>
            <w:vAlign w:val="top"/>
            <w:tcMar>
              <w:top w:w="100" w:type="dxa"/>
              <w:start w:w="125" w:type="dxa"/>
              <w:bottom w:w="100" w:type="dxa"/>
              <w:end w:w="125" w:type="dxa"/>
            </w:tcMar>
            <w:shd w:fill="E8F3EE"/>
          </w:tcPr>
          <w:p>
            <w:pPr>
              <w:spacing w:after="80"/>
              <w:jc w:val="left"/>
            </w:pPr>
            <w:r>
              <w:rPr>
                <w:b/>
                <w:color w:val="2D6A4F"/>
                <w:sz w:val="20"/>
              </w:rPr>
              <w:t>6  AVALIAR FAIR + LICENÇA</w:t>
            </w:r>
          </w:p>
          <w:p>
            <w:pPr>
              <w:spacing w:after="0" w:line="240" w:lineRule="auto"/>
            </w:pPr>
            <w:r>
              <w:rPr>
                <w:color w:val="263238"/>
                <w:sz w:val="17"/>
              </w:rPr>
              <w:t>É localizável, acessível, interoperável e reutilizável? Onde a licença foi declarada? BY, SA, NC e ND impõem condições distintas.</w:t>
            </w:r>
          </w:p>
        </w:tc>
        <w:tc>
          <w:tcPr>
            <w:tcW w:type="dxa" w:w="4374"/>
            <w:vAlign w:val="top"/>
            <w:tcMar>
              <w:top w:w="100" w:type="dxa"/>
              <w:start w:w="125" w:type="dxa"/>
              <w:bottom w:w="100" w:type="dxa"/>
              <w:end w:w="125" w:type="dxa"/>
            </w:tcMar>
            <w:shd w:fill="FFF3D9"/>
          </w:tcPr>
          <w:p>
            <w:pPr>
              <w:spacing w:after="80"/>
              <w:jc w:val="left"/>
            </w:pPr>
            <w:r>
              <w:rPr>
                <w:b/>
                <w:color w:val="A66A00"/>
                <w:sz w:val="20"/>
              </w:rPr>
              <w:t>7  COMPARAR SEM FORÇAR EQUIVALÊNCIA</w:t>
            </w:r>
          </w:p>
          <w:p>
            <w:pPr>
              <w:spacing w:after="0" w:line="240" w:lineRule="auto"/>
            </w:pPr>
            <w:r>
              <w:rPr>
                <w:color w:val="263238"/>
                <w:sz w:val="17"/>
              </w:rPr>
              <w:t>Mesma pergunta não garante mesmos filtros, cobertura, nomes, produtos ou resultados. Registre as diferenças.</w:t>
            </w:r>
          </w:p>
        </w:tc>
        <w:tc>
          <w:tcPr>
            <w:tcW w:type="dxa" w:w="4374"/>
            <w:vAlign w:val="top"/>
            <w:tcMar>
              <w:top w:w="100" w:type="dxa"/>
              <w:start w:w="125" w:type="dxa"/>
              <w:bottom w:w="100" w:type="dxa"/>
              <w:end w:w="125" w:type="dxa"/>
            </w:tcMar>
            <w:shd w:fill="DDEAF0"/>
          </w:tcPr>
          <w:p>
            <w:pPr>
              <w:spacing w:after="80"/>
              <w:jc w:val="left"/>
            </w:pPr>
            <w:r>
              <w:rPr>
                <w:b/>
                <w:color w:val="0D4357"/>
                <w:sz w:val="20"/>
              </w:rPr>
              <w:t>→  PRÓXIMO PASSO: AULA 2</w:t>
            </w:r>
          </w:p>
          <w:p>
            <w:pPr>
              <w:spacing w:after="0" w:line="240" w:lineRule="auto"/>
            </w:pPr>
            <w:r>
              <w:rPr>
                <w:color w:val="263238"/>
                <w:sz w:val="17"/>
              </w:rPr>
              <w:t>Depois de escolher, reconhecer e interpretar a fonte, passaremos a organizar os dados em tabelas, chaves e relações.</w:t>
            </w:r>
          </w:p>
        </w:tc>
      </w:tr>
    </w:tbl>
    <w:p>
      <w:pPr>
        <w:pStyle w:val="IntenseQuote"/>
        <w:spacing w:before="120" w:after="0"/>
      </w:pPr>
      <w:r>
        <w:rPr>
          <w:b/>
        </w:rPr>
        <w:t xml:space="preserve">Em uma frase — </w:t>
      </w:r>
      <w:r>
        <w:t>Na Aula 1, aprendemos a escolher, reconhecer e interpretar fontes de dados de biodiversidade antes de organizar esses dados relacionalmente.</w:t>
      </w:r>
    </w:p>
    <w:p>
      <w:pPr>
        <w:pStyle w:val="Heading1"/>
        <w:keepNext/>
        <w:keepLines w:val="1"/>
        <w:pageBreakBefore w:val="1"/>
      </w:pPr>
      <w:r>
        <w:t>9. Atividade Aula 1 — entrega</w:t>
      </w:r>
    </w:p>
    <w:p>
      <w:pPr/>
      <w:r>
        <w:t>Critério da comparação — Defina antes da busca um táxon vegetal e um recorte geográfico que possam ser expressos nas quatro interfaces. Repita a intenção, registre qualquer adaptação necessária e não force igualdade numérica entre os resultados.</w:t>
      </w:r>
    </w:p>
    <w:tbl>
      <w:tblPr>
        <w:tblStyle w:val="TableGrid"/>
        <w:tblW w:type="auto" w:w="0"/>
        <w:tblLayout w:type="fixed"/>
        <w:tblLook w:firstColumn="1" w:firstRow="1" w:lastColumn="0" w:lastRow="0" w:noHBand="0" w:noVBand="1" w:val="04A0"/>
      </w:tblPr>
      <w:tblGrid>
        <w:gridCol w:w="17782"/>
      </w:tblGrid>
      <w:tr>
        <w:trPr>
          <w:tblHeader w:val="true"/>
        </w:trPr>
        <w:tc>
          <w:tcPr>
            <w:tcW w:type="dxa" w:w="9432"/>
            <w:shd w:fill="EAF3F6"/>
            <w:tcMar>
              <w:top w:w="120" w:type="dxa"/>
              <w:start w:w="160" w:type="dxa"/>
              <w:bottom w:w="120" w:type="dxa"/>
              <w:end w:w="160" w:type="dxa"/>
            </w:tcMar>
            <w:vAlign w:val="center"/>
          </w:tcPr>
          <w:p>
            <w:pPr>
              <w:spacing w:after="0"/>
            </w:pPr>
            <w:r/>
            <w:r>
              <w:rPr>
                <w:sz w:val="18"/>
              </w:rPr>
              <w:t>Backbone obrigatório na Atividade Aula 1 — Para os três downloads do GBIF, use o backbone GBIF. No DOCX da atividade, registre o filtro utilizado e o DOI de cada um dos três produtos. A Species list contém apenas um CSV e não inclui metadata.txt; o nome da pasta ou do arquivo, isoladamente, não comprova o backbone.</w:t>
            </w:r>
          </w:p>
        </w:tc>
      </w:tr>
    </w:tbl>
    <w:p>
      <w:r>
        <w:t>Política de trabalho e entrega — As atividades podem, e recomenda-se que sejam, desenvolvidas em grupo. Entretanto, todas as entregas da disciplina são individuais. A Aula 1 vale 15 pontos. Cada estudante envia o DOCX preenchido como anexo e, no corpo do e-mail, o link compartilhado para o ZIP contendo somente os downloads. Use o padrão “Atividade Aula 1 - Nome Sobrenome” para os dois arquivos, com as extensões .docx e .zip. As instruções completas estão na pasta atividade/.</w:t>
      </w:r>
    </w:p>
    <w:p>
      <w:pPr>
        <w:sectPr w:rsidR="00FC693F" w:rsidRPr="0006063C" w:rsidSect="00034616">
          <w:type w:val="nextPage"/>
          <w:headerReference w:type="default" r:id="rId9"/>
          <w:footerReference w:type="default" r:id="rId10"/>
          <w:pgSz w:w="19200" w:h="10800" w:orient="landscape"/>
          <w:pgMar w:top="595" w:right="709" w:bottom="539" w:left="709" w:header="198" w:footer="198" w:gutter="0"/>
          <w:cols w:space="720"/>
          <w:docGrid w:linePitch="360"/>
        </w:sectPr>
      </w:pPr>
    </w:p>
    <w:p>
      <w:pPr>
        <w:pStyle w:val="CaptionAula"/>
        <w:spacing w:after="80" w:before="80" w:line="252" w:lineRule="auto"/>
        <w:jc w:val="left"/>
        <w:keepNext/>
        <w:keepLines/>
      </w:pPr>
      <w:r>
        <w:t>Tabela 20. Atividade Aula 1 — entrega — Subpasta, Conteúdo obrigatório.</w:t>
      </w:r>
    </w:p>
    <w:tbl>
      <w:tblPr>
        <w:tblStyle w:val="TableGrid"/>
        <w:tblW w:type="dxa" w:w="17782"/>
        <w:jc w:val="center"/>
        <w:tblLayout w:type="fixed"/>
        <w:tblLook w:firstColumn="1" w:firstRow="1" w:lastColumn="0" w:lastRow="0" w:noHBand="0" w:noVBand="1" w:val="04A0"/>
      </w:tblPr>
      <w:tblGrid>
        <w:gridCol w:w="8891"/>
        <w:gridCol w:w="8891"/>
      </w:tblGrid>
      <w:tr>
        <w:trPr>
          <w:cantSplit/>
          <w:tblHeader w:val="true"/>
        </w:trPr>
        <w:tc>
          <w:tcPr>
            <w:tcW w:type="dxa" w:w="8891"/>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Subpasta</w:t>
            </w:r>
          </w:p>
        </w:tc>
        <w:tc>
          <w:tcPr>
            <w:tcW w:type="dxa" w:w="8891"/>
            <w:shd w:fill="15566D"/>
            <w:tcMar>
              <w:top w:w="100" w:type="dxa"/>
              <w:start w:w="120" w:type="dxa"/>
              <w:bottom w:w="100" w:type="dxa"/>
              <w:end w:w="120" w:type="dxa"/>
            </w:tcMar>
            <w:vAlign w:val="center"/>
          </w:tcPr>
          <w:p>
            <w:pPr>
              <w:spacing w:before="0" w:after="0" w:line="240" w:lineRule="auto"/>
              <w:jc w:val="center"/>
              <w:keepNext/>
            </w:pPr>
            <w:r>
              <w:rPr>
                <w:rFonts w:ascii="Aptos" w:hAnsi="Aptos"/>
                <w:b/>
                <w:i w:val="0"/>
                <w:color w:val="FFFFFF"/>
                <w:sz w:val="24"/>
              </w:rPr>
              <w:t>Conteúdo obrigatório</w:t>
            </w:r>
          </w:p>
        </w:tc>
      </w:tr>
      <w:tr>
        <w:trPr>
          <w:cantSplit/>
        </w:trPr>
        <w:tc>
          <w:tcPr>
            <w:tcW w:type="dxa" w:w="8891"/>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splink/</w:t>
            </w:r>
          </w:p>
        </w:tc>
        <w:tc>
          <w:tcPr>
            <w:tcW w:type="dxa" w:w="8891"/>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Um download com o filtro comum.</w:t>
            </w:r>
          </w:p>
        </w:tc>
      </w:tr>
      <w:tr>
        <w:trPr>
          <w:cantSplit/>
        </w:trPr>
        <w:tc>
          <w:tcPr>
            <w:tcW w:type="dxa" w:w="8891"/>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jabot/</w:t>
            </w:r>
          </w:p>
        </w:tc>
        <w:tc>
          <w:tcPr>
            <w:tcW w:type="dxa" w:w="8891"/>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Um download com o filtro comum/adaptação documentada.</w:t>
            </w:r>
          </w:p>
        </w:tc>
      </w:tr>
      <w:tr>
        <w:trPr>
          <w:cantSplit/>
        </w:trPr>
        <w:tc>
          <w:tcPr>
            <w:tcW w:type="dxa" w:w="8891"/>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reflora/</w:t>
            </w:r>
          </w:p>
        </w:tc>
        <w:tc>
          <w:tcPr>
            <w:tcW w:type="dxa" w:w="8891"/>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Um relatório/download com o filtro comum.</w:t>
            </w:r>
          </w:p>
        </w:tc>
      </w:tr>
      <w:tr>
        <w:trPr>
          <w:cantSplit/>
        </w:trPr>
        <w:tc>
          <w:tcPr>
            <w:tcW w:type="dxa" w:w="8891"/>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gbif/simple/</w:t>
            </w:r>
          </w:p>
        </w:tc>
        <w:tc>
          <w:tcPr>
            <w:tcW w:type="dxa" w:w="8891"/>
            <w:tcMar>
              <w:top w:w="100" w:type="dxa"/>
              <w:start w:w="120" w:type="dxa"/>
              <w:bottom w:w="100" w:type="dxa"/>
              <w:end w:w="120" w:type="dxa"/>
            </w:tcMar>
            <w:vAlign w:val="center"/>
            <w:shd w:fill="F4F8FA"/>
          </w:tcPr>
          <w:p>
            <w:pPr>
              <w:spacing w:before="0" w:after="0" w:line="240" w:lineRule="auto"/>
              <w:keepNext/>
            </w:pPr>
            <w:r>
              <w:rPr>
                <w:rFonts w:ascii="Aptos" w:hAnsi="Aptos"/>
                <w:b w:val="0"/>
                <w:i w:val="0"/>
                <w:color w:val="1F2933"/>
                <w:sz w:val="24"/>
              </w:rPr>
              <w:t>Download Simple usando backbone GBIF.</w:t>
            </w:r>
          </w:p>
        </w:tc>
      </w:tr>
      <w:tr>
        <w:trPr>
          <w:cantSplit/>
        </w:trPr>
        <w:tc>
          <w:tcPr>
            <w:tcW w:type="dxa" w:w="8891"/>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gbif/dwca/</w:t>
            </w:r>
          </w:p>
        </w:tc>
        <w:tc>
          <w:tcPr>
            <w:tcW w:type="dxa" w:w="8891"/>
            <w:tcMar>
              <w:top w:w="100" w:type="dxa"/>
              <w:start w:w="120" w:type="dxa"/>
              <w:bottom w:w="100" w:type="dxa"/>
              <w:end w:w="120" w:type="dxa"/>
            </w:tcMar>
            <w:vAlign w:val="center"/>
          </w:tcPr>
          <w:p>
            <w:pPr>
              <w:spacing w:before="0" w:after="0" w:line="240" w:lineRule="auto"/>
              <w:keepNext/>
            </w:pPr>
            <w:r>
              <w:rPr>
                <w:rFonts w:ascii="Aptos" w:hAnsi="Aptos"/>
                <w:b w:val="0"/>
                <w:i w:val="0"/>
                <w:color w:val="1F2933"/>
                <w:sz w:val="24"/>
              </w:rPr>
              <w:t>Download DwC-A da mesma consulta e backbone.</w:t>
            </w:r>
          </w:p>
        </w:tc>
      </w:tr>
      <w:tr>
        <w:trPr>
          <w:cantSplit/>
        </w:trPr>
        <w:tc>
          <w:tcPr>
            <w:tcW w:type="dxa" w:w="8891"/>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4"/>
              </w:rPr>
              <w:t>gbif/species_list/</w:t>
            </w:r>
          </w:p>
        </w:tc>
        <w:tc>
          <w:tcPr>
            <w:tcW w:type="dxa" w:w="8891"/>
            <w:tcMar>
              <w:top w:w="100" w:type="dxa"/>
              <w:start w:w="120" w:type="dxa"/>
              <w:bottom w:w="100" w:type="dxa"/>
              <w:end w:w="120" w:type="dxa"/>
            </w:tcMar>
            <w:vAlign w:val="center"/>
            <w:shd w:fill="F4F8FA"/>
          </w:tcPr>
          <w:p>
            <w:pPr>
              <w:spacing w:before="0" w:after="0" w:line="240" w:lineRule="auto"/>
            </w:pPr>
            <w:r>
              <w:rPr>
                <w:rFonts w:ascii="Aptos" w:hAnsi="Aptos"/>
                <w:b w:val="0"/>
                <w:i w:val="0"/>
                <w:color w:val="1F2933"/>
                <w:sz w:val="24"/>
              </w:rPr>
              <w:t>Species list da mesma consulta e backbone.</w:t>
            </w:r>
          </w:p>
        </w:tc>
      </w:tr>
    </w:tbl>
    <w:p>
      <w:pPr>
        <w:spacing w:after="20"/>
      </w:pPr>
      <w:r/>
    </w:p>
    <w:tbl>
      <w:tblPr>
        <w:tblStyle w:val="TableGrid"/>
        <w:tblW w:type="auto" w:w="0"/>
        <w:tblLayout w:type="fixed"/>
        <w:tblLook w:firstColumn="1" w:firstRow="1" w:lastColumn="0" w:lastRow="0" w:noHBand="0" w:noVBand="1" w:val="04A0"/>
      </w:tblPr>
      <w:tblGrid>
        <w:gridCol w:w="17782"/>
      </w:tblGrid>
      <w:tr>
        <w:trPr>
          <w:tblHeader w:val="true"/>
        </w:trPr>
        <w:tc>
          <w:tcPr>
            <w:tcW w:type="dxa" w:w="9432"/>
            <w:shd w:fill="EAF3F6"/>
            <w:tcMar>
              <w:top w:w="120" w:type="dxa"/>
              <w:start w:w="160" w:type="dxa"/>
              <w:bottom w:w="120" w:type="dxa"/>
              <w:end w:w="160" w:type="dxa"/>
            </w:tcMar>
            <w:vAlign w:val="center"/>
          </w:tcPr>
          <w:p>
            <w:pPr>
              <w:spacing w:after="0"/>
            </w:pPr>
            <w:r/>
            <w:r>
              <w:rPr>
                <w:sz w:val="18"/>
              </w:rPr>
              <w:t>Entrega — Preencha “Atividade Aula 1 - Nome Sobrenome.docx” e envie-o como anexo para pablopains@yahoo.com.br. Compacte somente os downloads em “Atividade Aula 1 - Nome Sobrenome.zip”, hospede o ZIP em Google Drive, OneDrive ou serviço equivalente, teste o acesso em janela anônima e envie o link compartilhado no corpo do mesmo e-mail. Não envie o ZIP como anexo.</w:t>
            </w:r>
          </w:p>
        </w:tc>
      </w:tr>
    </w:tbl>
    <w:p>
      <w:pPr>
        <w:spacing w:after="20"/>
      </w:pPr>
      <w:r/>
    </w:p>
    <w:p>
      <w:pPr>
        <w:pStyle w:val="Heading1"/>
        <w:keepNext/>
        <w:keepLines w:val="1"/>
        <w:pageBreakBefore w:val="0"/>
      </w:pPr>
      <w:r>
        <w:t>10. Fontes institucionais</w:t>
      </w:r>
    </w:p>
    <w:p>
      <w:pPr/>
      <w:r>
        <w:t>Creative Commons — tipos de licenças e significado de BY, SA, NC e ND</w:t>
      </w:r>
    </w:p>
    <w:p>
      <w:pPr/>
      <w:r>
        <w:t>https://creativecommons.org/cc-licenses/</w:t>
      </w:r>
    </w:p>
    <w:p>
      <w:pPr/>
      <w:r>
        <w:t>speciesLink — Política de compartilhamento de dados</w:t>
      </w:r>
    </w:p>
    <w:p>
      <w:pPr/>
      <w:r>
        <w:t>https://specieslink.net/data_sharing_policy</w:t>
      </w:r>
    </w:p>
    <w:p>
      <w:r>
        <w:t>GBIF Terms</w:t>
      </w:r>
    </w:p>
    <w:p>
      <w:pPr/>
      <w:hyperlink r:id="rId37" w:history="1">
        <w:r>
          <w:rPr>
            <w:color w:val="0563C1"/>
            <w:u w:val="single"/>
          </w:rPr>
          <w:t>https://www.gbif.org/terms</w:t>
        </w:r>
      </w:hyperlink>
    </w:p>
    <w:p>
      <w:pPr/>
      <w:r>
        <w:t>Darwin Core Text Guide — estrutura de arquivos textuais e meta.xml</w:t>
      </w:r>
    </w:p>
    <w:p>
      <w:pPr/>
      <w:hyperlink r:id="rId53">
        <w:r>
          <w:rPr>
            <w:color w:val="0563C1"/>
            <w:u w:val="single"/>
          </w:rPr>
          <w:t>https://dwc.tdwg.org/text/</w:t>
        </w:r>
      </w:hyperlink>
    </w:p>
    <w:p>
      <w:pPr/>
      <w:r>
        <w:t>GBIF IPT User Manual — Darwin Core Archives</w:t>
      </w:r>
    </w:p>
    <w:p>
      <w:pPr/>
      <w:hyperlink r:id="rId54">
        <w:r>
          <w:rPr>
            <w:color w:val="0563C1"/>
            <w:u w:val="single"/>
          </w:rPr>
          <w:t>https://ipt.gbif.org/manual/en/ipt/latest/dwca-guide</w:t>
        </w:r>
      </w:hyperlink>
    </w:p>
    <w:p>
      <w:r>
        <w:t>GBIF IPT — licenças</w:t>
      </w:r>
    </w:p>
    <w:p>
      <w:pPr/>
      <w:hyperlink r:id="rId38" w:history="1">
        <w:r>
          <w:rPr>
            <w:color w:val="0563C1"/>
            <w:u w:val="single"/>
          </w:rPr>
          <w:t>https://ipt.gbif.org/manual/en/ipt/latest/applying-license</w:t>
        </w:r>
      </w:hyperlink>
    </w:p>
    <w:p>
      <w:r>
        <w:t>GBIF — princípios de uso</w:t>
      </w:r>
    </w:p>
    <w:p>
      <w:pPr/>
      <w:hyperlink r:id="rId39" w:history="1">
        <w:r>
          <w:rPr>
            <w:color w:val="0563C1"/>
            <w:u w:val="single"/>
          </w:rPr>
          <w:t>https://training.gbif.org/en/data-use/gbif-mediated-data-principles</w:t>
        </w:r>
      </w:hyperlink>
    </w:p>
    <w:p>
      <w:r>
        <w:t>FAIR Principles</w:t>
      </w:r>
    </w:p>
    <w:p>
      <w:pPr/>
      <w:hyperlink r:id="rId40" w:history="1">
        <w:r>
          <w:rPr>
            <w:color w:val="0563C1"/>
            <w:u w:val="single"/>
          </w:rPr>
          <w:t>https://www.go-fair.org/fair-principles/</w:t>
        </w:r>
      </w:hyperlink>
    </w:p>
    <w:p>
      <w:pPr/>
      <w:r>
        <w:t>Darwin Core Quick Reference Guide / List of Terms — scientificName, taxonomicStatus, acceptedNameUsage, acceptedNameUsageID, dcterms:license, dcterms:rightsHolder, dcterms:accessRights e dcterms:rights — https://dwc.tdwg.org/terms/</w:t>
      </w:r>
    </w:p>
    <w:p>
      <w:pPr/>
      <w:r>
        <w:t>GBIF Technical Documentation — Occurrence download formats — Species list downloads — https://techdocs.gbif.org/en/data-use/download-formats</w:t>
      </w:r>
    </w:p>
    <w:sectPr w:rsidR="00FC693F" w:rsidRPr="0006063C" w:rsidSect="00034616">
      <w:headerReference w:type="default" r:id="rId9"/>
      <w:footerReference w:type="default" r:id="rId10"/>
      <w:pgSz w:w="19200" w:h="10800" w:orient="landscape"/>
      <w:pgMar w:top="595" w:right="709" w:bottom="539" w:left="709" w:header="198"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DIP BIG863 • Banco de Dados Biológicos • 2026 • MATERIAL DO ESTUDANTE • p.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55B73"/>
        <w:sz w:val="16"/>
      </w:rPr>
      <w:t>UFMG • ICB • PPG-ECMVS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5566D"/>
      <w:sz w:val="4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6F8B"/>
      <w:sz w:val="3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F6F8B"/>
      <w:sz w:val="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15566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pPr>
    <w:rPr>
      <w:rFonts w:asciiTheme="majorHAnsi" w:eastAsiaTheme="majorEastAsia" w:hAnsiTheme="majorHAnsi" w:cstheme="majorBidi" w:ascii="Aptos" w:hAnsi="Aptos"/>
      <w:b/>
      <w:i/>
      <w:iCs/>
      <w:color w:val="5E6B73"/>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z w:val="28"/>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wc.tdwg.org/terms/#dwc_Occurrence" TargetMode="External"/><Relationship Id="rId13" Type="http://schemas.openxmlformats.org/officeDocument/2006/relationships/hyperlink" Target="../00_Disciplina/referencias/artigos/Robertson_et_al_2014_IPT.pdf" TargetMode="External"/><Relationship Id="rId14" Type="http://schemas.openxmlformats.org/officeDocument/2006/relationships/hyperlink" Target="data/exemplos/ipt_jbrj/flora_e_funga_do_brasil/taxon_core/dwca-lista_especies_flora_brasil-v393.428.zip" TargetMode="External"/><Relationship Id="rId15" Type="http://schemas.openxmlformats.org/officeDocument/2006/relationships/hyperlink" Target="data/exemplos/ipt_jbrj/catalogo_taxonomico_da_fauna_do_brasil/taxon_core/dwca-catalogo_taxonomico_da_fauna_do_brasil-v1.53.zip" TargetMode="External"/><Relationship Id="rId16" Type="http://schemas.openxmlformats.org/officeDocument/2006/relationships/hyperlink" Target="../00_Disciplina/referencias/artigos/Wilkinson_et_al_2016_FAIR.pdf" TargetMode="External"/><Relationship Id="rId17" Type="http://schemas.openxmlformats.org/officeDocument/2006/relationships/hyperlink" Target="../00_Disciplina/referencias/artigos/Chapman_2005_Principles_Data_Quality_PT.pdf" TargetMode="External"/><Relationship Id="rId18" Type="http://schemas.openxmlformats.org/officeDocument/2006/relationships/hyperlink" Target="https://specieslink.net/search/" TargetMode="External"/><Relationship Id="rId19" Type="http://schemas.openxmlformats.org/officeDocument/2006/relationships/hyperlink" Target="https://specieslink.net/data_sharing_policy" TargetMode="External"/><Relationship Id="rId20" Type="http://schemas.openxmlformats.org/officeDocument/2006/relationships/hyperlink" Target="https://specieslink.net/col/SPSC/" TargetMode="External"/><Relationship Id="rId21" Type="http://schemas.openxmlformats.org/officeDocument/2006/relationships/hyperlink" Target="https://specieslink.net/col/F-Seedplants/" TargetMode="External"/><Relationship Id="rId22" Type="http://schemas.openxmlformats.org/officeDocument/2006/relationships/hyperlink" Target="https://jabot.jbrj.gov.br" TargetMode="External"/><Relationship Id="rId23" Type="http://schemas.openxmlformats.org/officeDocument/2006/relationships/hyperlink" Target="https://ipt.jbrj.gov.br/jabot/" TargetMode="External"/><Relationship Id="rId24" Type="http://schemas.openxmlformats.org/officeDocument/2006/relationships/hyperlink" Target="https://reflora.jbrj.gov.br/reflora/herbarioVirtual" TargetMode="External"/><Relationship Id="rId25" Type="http://schemas.openxmlformats.org/officeDocument/2006/relationships/hyperlink" Target="https://ipt.jbrj.gov.br/reflora/" TargetMode="External"/><Relationship Id="rId26" Type="http://schemas.openxmlformats.org/officeDocument/2006/relationships/hyperlink" Target="https://sibbr.gov.br/" TargetMode="External"/><Relationship Id="rId27" Type="http://schemas.openxmlformats.org/officeDocument/2006/relationships/hyperlink" Target="https://ipt.sibbr.gov.br/sibbr/" TargetMode="External"/><Relationship Id="rId28" Type="http://schemas.openxmlformats.org/officeDocument/2006/relationships/hyperlink" Target="https://floradobrasil.jbrj.gov.br" TargetMode="External"/><Relationship Id="rId29" Type="http://schemas.openxmlformats.org/officeDocument/2006/relationships/hyperlink" Target="https://ipt.jbrj.gov.br/jbrj/resource?r=lista_especies_flora_brasil" TargetMode="External"/><Relationship Id="rId30" Type="http://schemas.openxmlformats.org/officeDocument/2006/relationships/hyperlink" Target="https://fauna.jbrj.gov.br" TargetMode="External"/><Relationship Id="rId31" Type="http://schemas.openxmlformats.org/officeDocument/2006/relationships/hyperlink" Target="https://ipt.jbrj.gov.br/jbrj/resource?r=catalogo_taxonomico_da_fauna_do_brasil" TargetMode="External"/><Relationship Id="rId32" Type="http://schemas.openxmlformats.org/officeDocument/2006/relationships/hyperlink" Target="https://www.catalogueoflife.org" TargetMode="External"/><Relationship Id="rId33" Type="http://schemas.openxmlformats.org/officeDocument/2006/relationships/hyperlink" Target="https://powo.science.kew.org" TargetMode="External"/><Relationship Id="rId34" Type="http://schemas.openxmlformats.org/officeDocument/2006/relationships/hyperlink" Target="https://www.inaturalist.org/observations" TargetMode="External"/><Relationship Id="rId35" Type="http://schemas.openxmlformats.org/officeDocument/2006/relationships/hyperlink" Target="https://www.ncbi.nlm.nih.gov/nucleotide/" TargetMode="External"/><Relationship Id="rId36" Type="http://schemas.openxmlformats.org/officeDocument/2006/relationships/hyperlink" Target="https://www.gbif.org/occurrence/search" TargetMode="External"/><Relationship Id="rId37" Type="http://schemas.openxmlformats.org/officeDocument/2006/relationships/hyperlink" Target="https://www.gbif.org/terms" TargetMode="External"/><Relationship Id="rId38" Type="http://schemas.openxmlformats.org/officeDocument/2006/relationships/hyperlink" Target="https://ipt.gbif.org/manual/en/ipt/latest/applying-license" TargetMode="External"/><Relationship Id="rId39" Type="http://schemas.openxmlformats.org/officeDocument/2006/relationships/hyperlink" Target="https://training.gbif.org/en/data-use/gbif-mediated-data-principles" TargetMode="External"/><Relationship Id="rId40" Type="http://schemas.openxmlformats.org/officeDocument/2006/relationships/hyperlink" Target="https://www.go-fair.org/fair-principles/" TargetMode="External"/><Relationship Id="rId41" Type="http://schemas.openxmlformats.org/officeDocument/2006/relationships/hyperlink" Target="explorador/Explorador_Aula1.html#splink" TargetMode="External"/><Relationship Id="rId42" Type="http://schemas.openxmlformats.org/officeDocument/2006/relationships/hyperlink" Target="explorador/Explorador_Aula1.html#jabot" TargetMode="External"/><Relationship Id="rId43" Type="http://schemas.openxmlformats.org/officeDocument/2006/relationships/hyperlink" Target="explorador/Explorador_Aula1.html#ipt-jabot-analysis" TargetMode="External"/><Relationship Id="rId44" Type="http://schemas.openxmlformats.org/officeDocument/2006/relationships/hyperlink" Target="explorador/Explorador_Aula1.html#reflora" TargetMode="External"/><Relationship Id="rId45" Type="http://schemas.openxmlformats.org/officeDocument/2006/relationships/hyperlink" Target="explorador/Explorador_Aula1.html#ipt-reflora-analysis" TargetMode="External"/><Relationship Id="rId46" Type="http://schemas.openxmlformats.org/officeDocument/2006/relationships/hyperlink" Target="explorador/Explorador_Aula1.html#flora-ipt" TargetMode="External"/><Relationship Id="rId47" Type="http://schemas.openxmlformats.org/officeDocument/2006/relationships/hyperlink" Target="explorador/Explorador_Aula1.html#fauna-ipt" TargetMode="External"/><Relationship Id="rId48" Type="http://schemas.openxmlformats.org/officeDocument/2006/relationships/hyperlink" Target="explorador/Explorador_Aula1.html#gbif" TargetMode="External"/><Relationship Id="rId49" Type="http://schemas.openxmlformats.org/officeDocument/2006/relationships/hyperlink" Target="explorador/Explorador_Aula1.html#fair-evidencias" TargetMode="External"/><Relationship Id="rId50" Type="http://schemas.openxmlformats.org/officeDocument/2006/relationships/hyperlink" Target="explorador/Explorador_Aula1.html#licencas-reuso" TargetMode="External"/><Relationship Id="rId51" Type="http://schemas.openxmlformats.org/officeDocument/2006/relationships/hyperlink" Target="explorador/Explorador_Aula1.html#exploracao-integrada" TargetMode="External"/><Relationship Id="rId52" Type="http://schemas.openxmlformats.org/officeDocument/2006/relationships/hyperlink" Target="explorador/Explorador_Aula1.html#gbif-species-list" TargetMode="External"/><Relationship Id="rId53" Type="http://schemas.openxmlformats.org/officeDocument/2006/relationships/hyperlink" Target="https://dwc.tdwg.org/text/" TargetMode="External"/><Relationship Id="rId54" Type="http://schemas.openxmlformats.org/officeDocument/2006/relationships/hyperlink" Target="https://ipt.gbif.org/manual/en/ipt/latest/dwca-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Tópicos Especiais em Ecologia, Conservação e Manejo da Vida Silvestre II: Banco de Dados Biológicos</dc:subject>
  <dc:creator>Pablo Hendrigo Alves de Melo</dc:creator>
  <cp:keywords>UFMG; PPG-ECMVS; dados de biodiversidade; Darwin Core</cp:keywords>
  <dc:description/>
  <cp:lastModifiedBy/>
  <cp:revision>1</cp:revision>
  <dcterms:created xsi:type="dcterms:W3CDTF">2013-12-23T23:15:00Z</dcterms:created>
  <dcterms:modified xsi:type="dcterms:W3CDTF">2013-12-23T23:15:00Z</dcterms:modified>
  <cp:category/>
</cp:coreProperties>
</file>