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Atividade Aula 3_4 — Investigação de um Darwin Core Archive</w:t>
      </w:r>
    </w:p>
    <w:p>
      <w:pPr>
        <w:jc w:val="center"/>
      </w:pPr>
      <w:r>
        <w:rPr>
          <w:i/>
          <w:color w:val="52666F"/>
          <w:sz w:val="24"/>
        </w:rPr>
        <w:t>Resposta do estudante • 15 pontos • entrega individual</w:t>
      </w:r>
    </w:p>
    <w:p>
      <w:r>
        <w:t>Orientação — Escolha um único conjunto no Explorador da Atividade Aula 3_4 e use o mesmo conjunto nas seis questões. O explorador funciona como percurso orientado: apresenta o enunciado, as evidências, dicas de interpretação e, ao final de cada questão, a resposta esperada para conferência. Registre as respostas neste documento.</w:t>
      </w:r>
    </w:p>
    <w:p>
      <w:pPr>
        <w:spacing w:after="160"/>
      </w:pPr>
      <w:r>
        <w:t>Entrega — renomeie o arquivo como “Atividade Aula 3_4 - Nome Sobrenome.docx” e envie-o como anexo para pablopains@yahoo.com.br. A entrega é individual.</w:t>
      </w:r>
    </w:p>
    <w:p>
      <w:hyperlink r:id="rId11">
        <w:r>
          <w:rPr>
            <w:color w:val="15566D"/>
            <w:u w:val="single"/>
          </w:rPr>
          <w:t>Abrir o Explorador da Atividade Aula 3_4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8891"/>
        <w:gridCol w:w="8891"/>
      </w:tblGrid>
      <w:tr>
        <w:trPr>
          <w:tblHeader w:val="true"/>
        </w:trPr>
        <w:tc>
          <w:tcPr>
            <w:tcW w:type="dxa" w:w="4195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386"/>
            <w:vAlign w:val="center"/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Resposta</w:t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Nome completo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Matrícula UFMG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E-mail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  <w:tr>
        <w:trPr/>
        <w:tc>
          <w:tcPr>
            <w:tcW w:type="dxa" w:w="4195"/>
            <w:vAlign w:val="center"/>
            <w:shd w:fill="EAF3F6"/>
          </w:tcPr>
          <w:p>
            <w:pPr>
              <w:spacing w:after="0"/>
            </w:pPr>
            <w:r>
              <w:rPr>
                <w:b/>
                <w:color w:val="1F6075"/>
                <w:sz w:val="20"/>
              </w:rPr>
            </w:r>
            <w:r>
              <w:rPr>
                <w:b/>
                <w:color w:val="1F6075"/>
                <w:sz w:val="20"/>
              </w:rPr>
              <w:t>Data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</w:r>
          </w:p>
        </w:tc>
      </w:tr>
    </w:tbl>
    <w:p>
      <w:pPr>
        <w:pStyle w:val="Heading1"/>
        <w:keepNext/>
      </w:pPr>
      <w:r>
        <w:t>Conjunto escolhido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>
          <w:tblHeader w:val="true"/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Marque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Conjunto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before="0"/>
            </w:pPr>
            <w:r>
              <w:rPr>
                <w:sz w:val="21"/>
              </w:rPr>
              <w:t>☐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sz w:val="21"/>
              </w:rPr>
              <w:t>Flora e Funga do Brasil - Lista Oficial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before="0"/>
            </w:pPr>
            <w:r>
              <w:rPr>
                <w:sz w:val="21"/>
              </w:rPr>
              <w:t>☐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sz w:val="21"/>
              </w:rPr>
              <w:t>Brandt Meio Ambiente - Monitoramento da herpetofauna - Usina Hidrelétrica de São Simão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  <w:t>☐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Embrapa Pecuária Sul - Herbário CNPO</w:t>
            </w:r>
          </w:p>
        </w:tc>
      </w:tr>
    </w:tbl>
    <w:p>
      <w:pPr>
        <w:pStyle w:val="Heading1"/>
        <w:keepNext/>
      </w:pPr>
      <w:r>
        <w:t>1. Identificação e contexto — 1,0 ponto</w:t>
      </w:r>
    </w:p>
    <w:p>
      <w:pPr/>
      <w:r>
        <w:t>Informe o título completo, a instituição publicadora ou responsável declarada nos metadados e a versão fixada no conjunto escolhido.</w:t>
      </w:r>
    </w:p>
    <w:p>
      <w:pPr/>
      <w:r>
        <w:t xml:space="preserve">Consultar no Explorador — </w:t>
      </w:r>
      <w:hyperlink r:id="rId19">
        <w:r>
          <w:rPr>
            <w:color w:val="0563C1"/>
            <w:u w:val="single"/>
            <w:b/>
          </w:rPr>
          <w:t>Questão 1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>
          <w:tblHeader w:val="true"/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Resposta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before="0"/>
            </w:pPr>
            <w:r>
              <w:rPr>
                <w:sz w:val="21"/>
              </w:rPr>
              <w:t>Título completo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before="0"/>
            </w:pPr>
            <w:r>
              <w:rPr>
                <w:sz w:val="21"/>
              </w:rPr>
            </w:r>
          </w:p>
          <w:p>
            <w:pPr>
              <w:keepNext/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sz w:val="21"/>
              </w:rPr>
              <w:t>Instituição publicadora ou responsável declarada nos metadados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before="0"/>
            </w:pPr>
            <w:r>
              <w:rPr>
                <w:sz w:val="21"/>
              </w:rPr>
            </w:r>
          </w:p>
          <w:p>
            <w:pPr>
              <w:keepNext/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Versão fixada no conjunto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</w:tbl>
    <w:p>
      <w:pPr>
        <w:pStyle w:val="Heading1"/>
        <w:keepNext/>
      </w:pPr>
      <w:r>
        <w:t>2. Core e unidade da linha — 2,0 pontos</w:t>
      </w:r>
    </w:p>
    <w:p>
      <w:pPr/>
      <w:r>
        <w:t>Identifique o arquivo definido como Core, o rowType, o nome completo da classe, o elemento &lt;id&gt; e explique o que uma linha do Core representa.</w:t>
      </w:r>
    </w:p>
    <w:p>
      <w:pPr/>
      <w:r>
        <w:t xml:space="preserve">Consultar no Explorador — </w:t>
      </w:r>
      <w:hyperlink r:id="rId18">
        <w:r>
          <w:rPr>
            <w:color w:val="0563C1"/>
            <w:u w:val="single"/>
            <w:b/>
          </w:rPr>
          <w:t>Questão 2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>
          <w:tblHeader w:val="true"/>
          <w:cantSplit w:val="true"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spacing w:after="0" w:before="0"/>
            </w:pPr>
            <w:r>
              <w:rPr>
                <w:b/>
                <w:color w:val="FFFFFF"/>
                <w:sz w:val="21"/>
              </w:rPr>
              <w:t>Resposta</w:t>
            </w:r>
          </w:p>
        </w:tc>
      </w:tr>
      <w:tr>
        <w:trPr>
          <w:cantSplit w:val="true"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  <w:t>Arquivo definido como Core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 w:val="true"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  <w:t>rowType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 w:val="true"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  <w:t>Nome completo da classe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 w:val="true"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  <w:t>Elemento &lt;id&gt;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 w:val="true"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  <w:t>O que uma linha do Core representa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</w:tbl>
    <w:p>
      <w:pPr>
        <w:pStyle w:val="Heading1"/>
        <w:keepNext/>
      </w:pPr>
      <w:r>
        <w:t>3. Extensões e unidade das linhas — 2,0 pontos</w:t>
      </w:r>
    </w:p>
    <w:p>
      <w:pPr/>
      <w:r>
        <w:t xml:space="preserve">Consultar no Explorador — </w:t>
      </w:r>
      <w:hyperlink r:id="rId17">
        <w:r>
          <w:rPr>
            <w:color w:val="0563C1"/>
            <w:u w:val="single"/>
            <w:b/>
          </w:rPr>
          <w:t>Questão 3</w:t>
        </w:r>
      </w:hyperlink>
    </w:p>
    <w:p>
      <w:r>
        <w:t>Informe as extensões presentes no conjunto e o que uma linha de cada extensão representa. Caso o conjunto não possua extensões, registre essa condição.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445"/>
        <w:gridCol w:w="4445"/>
        <w:gridCol w:w="4445"/>
        <w:gridCol w:w="4445"/>
      </w:tblGrid>
      <w:tr>
        <w:trPr>
          <w:cantSplit w:val="true"/>
          <w:tblHeader w:val="true"/>
        </w:trPr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Arquivo de extensão</w:t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rowType e classe</w:t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&lt;coreid&gt;</w:t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 w:before="0"/>
            </w:pPr>
            <w:r>
              <w:rPr>
                <w:b/>
                <w:color w:val="FFFFFF"/>
                <w:sz w:val="17"/>
              </w:rPr>
              <w:t>O que uma linha representa</w:t>
            </w:r>
          </w:p>
        </w:tc>
      </w:tr>
      <w:tr>
        <w:trPr>
          <w:cantSplit w:val="true"/>
        </w:trPr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Exemplo: multimedia.txt</w:t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hyperlink r:id="rId12" w:history="1">
              <w:r>
                <w:rPr>
                  <w:b w:val="0"/>
                  <w:sz w:val="17"/>
                  <w:color w:val="0563C1"/>
                  <w:u w:val="single"/>
                </w:rPr>
                <w:t>http://rs.gbif.org/terms/1.0/Multimedia</w:t>
              </w:r>
            </w:hyperlink>
            <w:r>
              <w:rPr>
                <w:b w:val="0"/>
                <w:sz w:val="17"/>
              </w:rPr>
              <w:t xml:space="preserve"> — Multimedia</w:t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&lt;coreid index="0"&gt;</w:t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um recurso multimídia associado ao registro do Core</w:t>
            </w:r>
          </w:p>
        </w:tc>
      </w:tr>
      <w:tr>
        <w:trPr>
          <w:cantSplit w:val="true"/>
        </w:trPr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  <w:tr>
        <w:trPr/>
        <w:tc>
          <w:tcPr>
            <w:tcW w:type="dxa" w:w="444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  <w:tc>
          <w:tcPr>
            <w:tcW w:type="dxa" w:w="4445"/>
            <w:vAlign w:val="center"/>
          </w:tcPr>
          <w:p>
            <w:pPr>
              <w:spacing w:after="0"/>
            </w:pPr>
            <w:r>
              <w:rPr>
                <w:sz w:val="17"/>
              </w:rPr>
            </w:r>
            <w:r>
              <w:rPr>
                <w:sz w:val="17"/>
              </w:rPr>
            </w:r>
          </w:p>
        </w:tc>
      </w:tr>
    </w:tbl>
    <w:p>
      <w:pPr>
        <w:pStyle w:val="Heading1"/>
        <w:keepNext/>
      </w:pPr>
      <w:r>
        <w:t>4. Colunas, termos e namespaces — 4,0 pontos</w:t>
      </w:r>
    </w:p>
    <w:p>
      <w:pPr/>
      <w:r>
        <w:t xml:space="preserve">Consultar no Explorador — </w:t>
      </w:r>
      <w:hyperlink r:id="rId16">
        <w:r>
          <w:rPr>
            <w:color w:val="0563C1"/>
            <w:u w:val="single"/>
            <w:b/>
          </w:rPr>
          <w:t>Questão 4</w:t>
        </w:r>
      </w:hyperlink>
    </w:p>
    <w:p>
      <w:r>
        <w:t>Para o conjunto escolhido, analise exatamente as quatro colunas indicadas abaixo. Para cada uma, registre o termo completo (URI), o prefixo ou namespace, um valor real e seu significado e interpretação no contexto do dado.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>
          <w:tblHeader w:val="true"/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r>
              <w:rPr>
                <w:sz w:val="21"/>
              </w:rPr>
              <w:t>Conjunto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r>
              <w:rPr>
                <w:sz w:val="21"/>
              </w:rPr>
              <w:t>Quatro colunas indicadas para a questão 4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Flora e Funga do Brasil - Lista Oficial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taxon.txt / scientificName</w:t>
              <w:br/>
              <w:t>taxon.txt / taxonomicStatus</w:t>
              <w:br/>
              <w:t>distribution.txt / countryCode</w:t>
              <w:br/>
              <w:t>resourcerelationship.txt / relationshipOfResource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Brandt Meio Ambiente - Monitoramento da herpetofauna - Usina Hidrelétrica de São Simão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event.txt / eventDate</w:t>
              <w:br/>
              <w:t>event.txt / samplingProtocol</w:t>
              <w:br/>
              <w:t>event.txt / locality</w:t>
              <w:br/>
              <w:t>occurrence.txt / scientificName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Embrapa Pecuária Sul - Herbário CNPO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occurrence.txt / basisOfRecord</w:t>
              <w:br/>
              <w:t>occurrence.txt / eventDate</w:t>
              <w:br/>
              <w:t>occurrence.txt / verbatimLocality</w:t>
              <w:br/>
              <w:t>occurrence.txt / scientificName</w:t>
            </w:r>
          </w:p>
        </w:tc>
      </w:tr>
    </w:tbl>
    <w:p>
      <w:pPr>
        <w:spacing w:before="0" w:after="0" w:line="20" w:lineRule="exact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56"/>
        <w:gridCol w:w="3556"/>
        <w:gridCol w:w="3556"/>
        <w:gridCol w:w="3556"/>
        <w:gridCol w:w="3556"/>
      </w:tblGrid>
      <w:tr>
        <w:trPr>
          <w:cantSplit w:val="true"/>
          <w:tblHeader w:val="true"/>
        </w:trPr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Arquivo e coluna indicada</w:t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Termo completo (URI)</w:t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Prefixo ou namespace</w:t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Valor real consultado</w:t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6075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Significado e interpretação</w:t>
            </w:r>
          </w:p>
        </w:tc>
      </w:tr>
      <w:tr>
        <w:trPr>
          <w:cantSplit w:val="true"/>
        </w:trPr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Exemplo: occurrence.txt / occurrenceID</w:t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hyperlink r:id="rId13" w:history="1">
              <w:r>
                <w:rPr>
                  <w:sz w:val="16"/>
                  <w:color w:val="0563C1"/>
                  <w:u w:val="single"/>
                </w:rPr>
                <w:t>http://rs.tdwg.org/dwc/terms/occurrenceID</w:t>
              </w:r>
            </w:hyperlink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dwc:</w:t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OCC-EXEMPLO-001</w:t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  <w:t>identificador da Occurrence representada na linha</w:t>
            </w:r>
          </w:p>
        </w:tc>
      </w:tr>
      <w:tr>
        <w:trPr>
          <w:cantSplit w:val="true"/>
        </w:trPr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  <w:tr>
        <w:trPr/>
        <w:tc>
          <w:tcPr>
            <w:tcW w:type="dxa" w:w="355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  <w:tc>
          <w:tcPr>
            <w:tcW w:type="dxa" w:w="3556"/>
            <w:vAlign w:val="center"/>
          </w:tcPr>
          <w:p>
            <w:pPr>
              <w:spacing w:after="0"/>
            </w:pPr>
            <w:r>
              <w:rPr>
                <w:sz w:val="16"/>
              </w:rPr>
            </w:r>
            <w:r>
              <w:rPr>
                <w:sz w:val="16"/>
              </w:rPr>
            </w:r>
          </w:p>
        </w:tc>
      </w:tr>
    </w:tbl>
    <w:p>
      <w:pPr>
        <w:pStyle w:val="Heading1"/>
        <w:keepNext/>
      </w:pPr>
      <w:r>
        <w:t>5. Licença e citação — 2,0 pontos</w:t>
      </w:r>
    </w:p>
    <w:p>
      <w:pPr/>
      <w:r>
        <w:t xml:space="preserve">Consultar no Explorador — </w:t>
      </w:r>
      <w:hyperlink r:id="rId15">
        <w:r>
          <w:rPr>
            <w:color w:val="0563C1"/>
            <w:u w:val="single"/>
            <w:b/>
          </w:rPr>
          <w:t>Questão 5</w:t>
        </w:r>
      </w:hyperlink>
    </w:p>
    <w:p>
      <w:r>
        <w:t>Informe a licença do conjunto de dados e a forma de citação ou referência indicada nos metadados.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>
          <w:tblHeader w:val="true"/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Resposta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sz w:val="21"/>
              </w:rPr>
              <w:t>Licença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before="0"/>
            </w:pPr>
            <w:r>
              <w:rPr>
                <w:sz w:val="21"/>
              </w:rPr>
            </w:r>
          </w:p>
          <w:p>
            <w:pPr>
              <w:keepNext/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Citação ou referência indicada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</w:tbl>
    <w:p>
      <w:pPr>
        <w:pStyle w:val="Heading1"/>
        <w:keepNext/>
      </w:pPr>
      <w:r>
        <w:t>6. Síntese e recomendações — 4,0 pontos</w:t>
      </w:r>
    </w:p>
    <w:p>
      <w:pPr/>
      <w:r>
        <w:t>Com base nas evidências das questões 1 a 5, indique usos para os quais o conjunto é adequado e os cuidados ou restrições necessários.</w:t>
      </w:r>
    </w:p>
    <w:p>
      <w:pPr/>
      <w:r>
        <w:t xml:space="preserve">Consultar no Explorador — </w:t>
      </w:r>
      <w:hyperlink r:id="rId14">
        <w:r>
          <w:rPr>
            <w:color w:val="0563C1"/>
            <w:u w:val="single"/>
            <w:b/>
          </w:rPr>
          <w:t>Questão 6</w:t>
        </w:r>
      </w:hyperlink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891"/>
        <w:gridCol w:w="8891"/>
      </w:tblGrid>
      <w:tr>
        <w:trPr>
          <w:tblHeader w:val="true"/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Campo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5566D"/>
          </w:tcPr>
          <w:p>
            <w:pPr>
              <w:keepNext/>
              <w:spacing w:after="0" w:before="0"/>
            </w:pPr>
            <w:r>
              <w:rPr>
                <w:b/>
                <w:color w:val="FFFFFF"/>
                <w:sz w:val="21"/>
              </w:rPr>
              <w:t>Resposta</w:t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</w:pPr>
            <w:r>
              <w:rPr>
                <w:sz w:val="21"/>
              </w:rPr>
              <w:t>Usos para os quais o conjunto é adequado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keepNext/>
              <w:spacing w:after="0" w:before="0"/>
            </w:pPr>
            <w:r>
              <w:rPr>
                <w:sz w:val="21"/>
              </w:rPr>
            </w:r>
          </w:p>
          <w:p>
            <w:pPr>
              <w:keepNext/>
              <w:spacing w:after="0" w:before="0"/>
            </w:pPr>
            <w:r>
              <w:rPr>
                <w:sz w:val="21"/>
              </w:rPr>
              <w:t/>
            </w:r>
          </w:p>
          <w:p>
            <w:pPr>
              <w:keepNext/>
              <w:spacing w:after="0" w:before="0"/>
            </w:pPr>
            <w:r>
              <w:rPr>
                <w:sz w:val="21"/>
              </w:rPr>
              <w:t/>
            </w:r>
          </w:p>
          <w:p>
            <w:pPr>
              <w:keepNext/>
              <w:spacing w:after="0" w:before="0"/>
            </w:pPr>
            <w:r>
              <w:rPr>
                <w:sz w:val="21"/>
              </w:rPr>
              <w:t/>
            </w:r>
          </w:p>
        </w:tc>
      </w:tr>
      <w:tr>
        <w:trPr>
          <w:cantSplit/>
        </w:trPr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21"/>
              </w:rPr>
              <w:t>Cuidados ou restrições necessários</w:t>
            </w:r>
          </w:p>
        </w:tc>
        <w:tc>
          <w:tcPr>
            <w:tcW w:type="dxa" w:w="88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>
              <w:rPr>
                <w:sz w:val="21"/>
              </w:rPr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  <w:p>
            <w:pPr>
              <w:spacing w:after="0" w:before="0"/>
            </w:pPr>
            <w:r>
              <w:rPr>
                <w:sz w:val="21"/>
              </w:rPr>
              <w:t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9200" w:h="10800" w:orient="landscape"/>
      <w:pgMar w:top="595" w:right="709" w:bottom="539" w:left="709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Atividade Aula 3_4 • Resposta do estudante • Banco de Dados Biológicos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ptos" w:hAnsi="Aptos"/>
        <w:b/>
        <w:color w:val="1F4E78"/>
        <w:sz w:val="16"/>
      </w:rPr>
      <w:t>UFMG • ICB • PPG-ECMVS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5566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F6F8B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6F8B"/>
      <w:sz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5566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00"/>
    </w:pPr>
    <w:rPr>
      <w:rFonts w:asciiTheme="majorHAnsi" w:eastAsiaTheme="majorEastAsia" w:hAnsiTheme="majorHAnsi" w:cstheme="majorBidi" w:ascii="Aptos" w:hAnsi="Aptos"/>
      <w:b/>
      <w:i/>
      <w:iCs/>
      <w:color w:val="5E6B73"/>
      <w:spacing w:val="15"/>
      <w:sz w:val="3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sz w:val="27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3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sz w:val="27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explorador/Explorador_Atividade_Aula_3_4.html#atividade" TargetMode="External"/><Relationship Id="rId12" Type="http://schemas.openxmlformats.org/officeDocument/2006/relationships/hyperlink" Target="http://rs.gbif.org/terms/1.0/Multimedia" TargetMode="External"/><Relationship Id="rId13" Type="http://schemas.openxmlformats.org/officeDocument/2006/relationships/hyperlink" Target="http://rs.tdwg.org/dwc/terms/occurrenceID" TargetMode="External"/><Relationship Id="rId14" Type="http://schemas.openxmlformats.org/officeDocument/2006/relationships/hyperlink" Target="../explorador/Explorador_Atividade_Aula_3_4.html#q6" TargetMode="External"/><Relationship Id="rId15" Type="http://schemas.openxmlformats.org/officeDocument/2006/relationships/hyperlink" Target="../explorador/Explorador_Atividade_Aula_3_4.html#q5" TargetMode="External"/><Relationship Id="rId16" Type="http://schemas.openxmlformats.org/officeDocument/2006/relationships/hyperlink" Target="../explorador/Explorador_Atividade_Aula_3_4.html#q4" TargetMode="External"/><Relationship Id="rId17" Type="http://schemas.openxmlformats.org/officeDocument/2006/relationships/hyperlink" Target="../explorador/Explorador_Atividade_Aula_3_4.html#q3" TargetMode="External"/><Relationship Id="rId18" Type="http://schemas.openxmlformats.org/officeDocument/2006/relationships/hyperlink" Target="../explorador/Explorador_Atividade_Aula_3_4.html#q2" TargetMode="External"/><Relationship Id="rId19" Type="http://schemas.openxmlformats.org/officeDocument/2006/relationships/hyperlink" Target="../explorador/Explorador_Atividade_Aula_3_4.html#q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Tópicos Especiais em Ecologia, Conservação e Manejo da Vida Silvestre II: Banco de Dados Biológicos</dc:subject>
  <dc:creator>Pablo Hendrigo Alves de Melo</dc:creator>
  <cp:keywords>UFMG; PPG-ECMVS; dados de biodiversidade; Darwin Core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